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37008" w14:textId="77777777" w:rsidR="00B35658" w:rsidRPr="00020A16" w:rsidRDefault="00B35658" w:rsidP="00B35658">
      <w:pPr>
        <w:autoSpaceDE w:val="0"/>
        <w:autoSpaceDN w:val="0"/>
        <w:adjustRightInd w:val="0"/>
        <w:spacing w:line="480" w:lineRule="auto"/>
        <w:rPr>
          <w:rFonts w:ascii="Times New Roman" w:eastAsia="MinionPro-Regular" w:hAnsi="Times New Roman"/>
          <w:b/>
          <w:bCs/>
          <w:kern w:val="0"/>
          <w:sz w:val="22"/>
        </w:rPr>
      </w:pPr>
      <w:r w:rsidRPr="00020A16">
        <w:rPr>
          <w:rFonts w:ascii="Times New Roman" w:eastAsia="MinionPro-Regular" w:hAnsi="Times New Roman"/>
          <w:b/>
          <w:bCs/>
          <w:kern w:val="0"/>
          <w:sz w:val="22"/>
        </w:rPr>
        <w:t>SUPPORTING INFORMATION</w:t>
      </w:r>
    </w:p>
    <w:p w14:paraId="67CDA5D1" w14:textId="77777777" w:rsidR="00B35658" w:rsidRPr="00020A16" w:rsidRDefault="00B35658" w:rsidP="00B35658">
      <w:pPr>
        <w:autoSpaceDE w:val="0"/>
        <w:autoSpaceDN w:val="0"/>
        <w:adjustRightInd w:val="0"/>
        <w:spacing w:line="480" w:lineRule="auto"/>
        <w:rPr>
          <w:rFonts w:ascii="Times New Roman" w:eastAsia="MinionPro-Regular" w:hAnsi="Times New Roman"/>
          <w:b/>
          <w:bCs/>
          <w:kern w:val="0"/>
          <w:sz w:val="22"/>
        </w:rPr>
      </w:pPr>
    </w:p>
    <w:p w14:paraId="575F24A2" w14:textId="77777777" w:rsidR="00B35658" w:rsidRPr="00020A16" w:rsidRDefault="00B35658" w:rsidP="00B35658">
      <w:pPr>
        <w:autoSpaceDE w:val="0"/>
        <w:autoSpaceDN w:val="0"/>
        <w:adjustRightInd w:val="0"/>
        <w:spacing w:line="480" w:lineRule="auto"/>
        <w:rPr>
          <w:rFonts w:ascii="Times New Roman" w:eastAsia="MinionPro-Regular" w:hAnsi="Times New Roman"/>
          <w:b/>
          <w:bCs/>
          <w:kern w:val="0"/>
          <w:sz w:val="22"/>
        </w:rPr>
      </w:pPr>
      <w:r w:rsidRPr="00020A16">
        <w:rPr>
          <w:rFonts w:ascii="Times New Roman" w:eastAsia="MinionPro-Regular" w:hAnsi="Times New Roman"/>
          <w:b/>
          <w:bCs/>
          <w:kern w:val="0"/>
          <w:sz w:val="22"/>
        </w:rPr>
        <w:t>Box S1: How to estimate trophic transfer efficiency</w:t>
      </w:r>
    </w:p>
    <w:p w14:paraId="780D2F4B" w14:textId="77777777" w:rsidR="00B35658" w:rsidRPr="00020A16" w:rsidRDefault="00B35658" w:rsidP="00B35658">
      <w:pPr>
        <w:autoSpaceDE w:val="0"/>
        <w:autoSpaceDN w:val="0"/>
        <w:adjustRightInd w:val="0"/>
        <w:spacing w:line="480" w:lineRule="auto"/>
        <w:rPr>
          <w:rFonts w:ascii="Times New Roman" w:eastAsia="MinionPro-Regular" w:hAnsi="Times New Roman"/>
          <w:kern w:val="0"/>
          <w:sz w:val="22"/>
        </w:rPr>
      </w:pPr>
      <w:r w:rsidRPr="00020A16">
        <w:rPr>
          <w:rFonts w:ascii="Times New Roman" w:eastAsia="MinionPro-Regular" w:hAnsi="Times New Roman"/>
          <w:kern w:val="0"/>
          <w:sz w:val="22"/>
        </w:rPr>
        <w:t xml:space="preserve">According to the metabolic theory of ecology (Brown &amp; Gillooly, 2003; Brown et al., 2004), the VDH predicts that TTE depends on size distribution of communities (Wang &amp; Brose, 2018). TTE can also be empirically estimated from </w:t>
      </w:r>
      <w:r>
        <w:rPr>
          <w:rFonts w:ascii="Times New Roman" w:eastAsia="MinionPro-Regular" w:hAnsi="Times New Roman"/>
          <w:kern w:val="0"/>
          <w:sz w:val="22"/>
        </w:rPr>
        <w:t xml:space="preserve">the </w:t>
      </w:r>
      <w:r w:rsidRPr="00020A16">
        <w:rPr>
          <w:rFonts w:ascii="Times New Roman" w:eastAsia="MinionPro-Regular" w:hAnsi="Times New Roman"/>
          <w:kern w:val="0"/>
          <w:sz w:val="22"/>
        </w:rPr>
        <w:t>allometric relationships between body mass, biomass, and TP for a member of size-based food webs (Jennings et al., 2002). The allometric scaling of mass-specific production against body mass across diverse invertebrate taxa was empirically formulated by (Banse &amp; Mosher, 1980)</w:t>
      </w:r>
      <w:r>
        <w:rPr>
          <w:rFonts w:ascii="Times New Roman" w:eastAsia="MinionPro-Regular" w:hAnsi="Times New Roman"/>
          <w:kern w:val="0"/>
          <w:sz w:val="22"/>
        </w:rPr>
        <w:t xml:space="preserve"> </w:t>
      </w:r>
      <w:r w:rsidRPr="00020A16">
        <w:rPr>
          <w:rFonts w:ascii="Times New Roman" w:eastAsia="MinionPro-Regular" w:hAnsi="Times New Roman"/>
          <w:kern w:val="0"/>
          <w:sz w:val="22"/>
        </w:rPr>
        <w:t>as follows</w:t>
      </w:r>
      <w:r>
        <w:rPr>
          <w:rFonts w:ascii="Times New Roman" w:eastAsia="MinionPro-Regular" w:hAnsi="Times New Roman"/>
          <w:kern w:val="0"/>
          <w:sz w:val="22"/>
        </w:rPr>
        <w:t>:</w:t>
      </w:r>
    </w:p>
    <w:p w14:paraId="2CDC4549" w14:textId="77777777" w:rsidR="00B35658" w:rsidRPr="00020A16" w:rsidRDefault="00B35658" w:rsidP="00B35658">
      <w:pPr>
        <w:autoSpaceDE w:val="0"/>
        <w:autoSpaceDN w:val="0"/>
        <w:adjustRightInd w:val="0"/>
        <w:spacing w:line="480" w:lineRule="auto"/>
        <w:rPr>
          <w:rFonts w:ascii="Times New Roman" w:eastAsia="MinionPro-Regular" w:hAnsi="Times New Roman"/>
          <w:kern w:val="0"/>
          <w:sz w:val="22"/>
        </w:rPr>
      </w:pPr>
    </w:p>
    <w:p w14:paraId="195AD0DF" w14:textId="77777777" w:rsidR="00B35658" w:rsidRPr="00020A16" w:rsidRDefault="00B35658" w:rsidP="00B35658">
      <w:pPr>
        <w:autoSpaceDE w:val="0"/>
        <w:autoSpaceDN w:val="0"/>
        <w:adjustRightInd w:val="0"/>
        <w:spacing w:line="480" w:lineRule="auto"/>
        <w:rPr>
          <w:rFonts w:ascii="Times New Roman" w:eastAsia="MinionPro-Regular" w:hAnsi="Times New Roman"/>
          <w:kern w:val="0"/>
          <w:sz w:val="22"/>
        </w:rPr>
      </w:pPr>
      <w:r w:rsidRPr="00020A16">
        <w:rPr>
          <w:rFonts w:ascii="Times New Roman" w:eastAsia="MinionPro-Regular" w:hAnsi="Times New Roman"/>
          <w:kern w:val="0"/>
          <w:sz w:val="22"/>
        </w:rPr>
        <w:t>log (P</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/B</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 xml:space="preserve">) = –0.16 – 0.34 </w:t>
      </w:r>
      <w:r w:rsidRPr="00020A16">
        <w:rPr>
          <w:rFonts w:ascii="Times New Roman" w:hAnsi="Times New Roman"/>
          <w:sz w:val="22"/>
          <w:szCs w:val="24"/>
        </w:rPr>
        <w:t xml:space="preserve">× </w:t>
      </w:r>
      <w:r w:rsidRPr="00020A16">
        <w:rPr>
          <w:rFonts w:ascii="Times New Roman" w:eastAsia="MinionPro-Regular" w:hAnsi="Times New Roman"/>
          <w:kern w:val="0"/>
          <w:sz w:val="22"/>
        </w:rPr>
        <w:t>log (M</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w:t>
      </w:r>
      <w:r w:rsidRPr="00020A16">
        <w:rPr>
          <w:rFonts w:ascii="Times New Roman" w:eastAsia="MinionPro-Regular" w:hAnsi="Times New Roman"/>
          <w:kern w:val="0"/>
          <w:sz w:val="22"/>
        </w:rPr>
        <w:tab/>
      </w:r>
      <w:r w:rsidRPr="00020A16">
        <w:rPr>
          <w:rFonts w:ascii="Times New Roman" w:eastAsia="MinionPro-Regular" w:hAnsi="Times New Roman"/>
          <w:kern w:val="0"/>
          <w:sz w:val="22"/>
        </w:rPr>
        <w:tab/>
      </w:r>
      <w:r w:rsidRPr="00020A16">
        <w:rPr>
          <w:rFonts w:ascii="Times New Roman" w:eastAsia="MinionPro-Regular" w:hAnsi="Times New Roman"/>
          <w:kern w:val="0"/>
          <w:sz w:val="22"/>
        </w:rPr>
        <w:tab/>
      </w:r>
      <w:r w:rsidR="0033204B">
        <w:rPr>
          <w:rFonts w:ascii="Times New Roman" w:eastAsia="MinionPro-Regular" w:hAnsi="Times New Roman"/>
          <w:kern w:val="0"/>
          <w:sz w:val="22"/>
        </w:rPr>
        <w:tab/>
      </w:r>
      <w:r w:rsidRPr="00020A16">
        <w:rPr>
          <w:rFonts w:ascii="Times New Roman" w:eastAsia="MinionPro-Regular" w:hAnsi="Times New Roman"/>
          <w:kern w:val="0"/>
          <w:sz w:val="22"/>
        </w:rPr>
        <w:tab/>
      </w:r>
      <w:r w:rsidRPr="00020A16">
        <w:rPr>
          <w:rFonts w:ascii="Times New Roman" w:eastAsia="MinionPro-Regular" w:hAnsi="Times New Roman"/>
          <w:kern w:val="0"/>
          <w:sz w:val="22"/>
        </w:rPr>
        <w:tab/>
      </w:r>
      <w:r w:rsidRPr="0033204B">
        <w:rPr>
          <w:rFonts w:ascii="Times New Roman" w:eastAsia="MinionPro-Regular" w:hAnsi="Times New Roman"/>
          <w:kern w:val="0"/>
          <w:sz w:val="22"/>
        </w:rPr>
        <w:t>(S1)</w:t>
      </w:r>
    </w:p>
    <w:p w14:paraId="4C0BBC33" w14:textId="77777777" w:rsidR="00B35658" w:rsidRPr="00020A16" w:rsidRDefault="00B35658" w:rsidP="00B35658">
      <w:pPr>
        <w:autoSpaceDE w:val="0"/>
        <w:autoSpaceDN w:val="0"/>
        <w:adjustRightInd w:val="0"/>
        <w:spacing w:line="480" w:lineRule="auto"/>
        <w:rPr>
          <w:rFonts w:ascii="Times New Roman" w:eastAsia="MinionPro-Regular" w:hAnsi="Times New Roman"/>
          <w:kern w:val="0"/>
          <w:sz w:val="22"/>
        </w:rPr>
      </w:pPr>
    </w:p>
    <w:p w14:paraId="793FCB6A" w14:textId="77777777" w:rsidR="00B35658" w:rsidRPr="00020A16" w:rsidRDefault="00B35658" w:rsidP="00B35658">
      <w:pPr>
        <w:autoSpaceDE w:val="0"/>
        <w:autoSpaceDN w:val="0"/>
        <w:adjustRightInd w:val="0"/>
        <w:spacing w:line="480" w:lineRule="auto"/>
        <w:rPr>
          <w:rFonts w:ascii="Times New Roman" w:eastAsia="MinionPro-Regular" w:hAnsi="Times New Roman"/>
          <w:kern w:val="0"/>
          <w:sz w:val="22"/>
        </w:rPr>
      </w:pPr>
      <w:r w:rsidRPr="00020A16">
        <w:rPr>
          <w:rFonts w:ascii="Times New Roman" w:eastAsia="MinionPro-Regular" w:hAnsi="Times New Roman"/>
          <w:kern w:val="0"/>
          <w:sz w:val="22"/>
        </w:rPr>
        <w:t>where P</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 xml:space="preserve"> </w:t>
      </w:r>
      <w:r>
        <w:rPr>
          <w:rFonts w:ascii="Times New Roman" w:eastAsia="MinionPro-Regular" w:hAnsi="Times New Roman"/>
          <w:kern w:val="0"/>
          <w:sz w:val="22"/>
        </w:rPr>
        <w:t>denotes the</w:t>
      </w:r>
      <w:r w:rsidRPr="00020A16">
        <w:rPr>
          <w:rFonts w:ascii="Times New Roman" w:eastAsia="MinionPro-Regular" w:hAnsi="Times New Roman"/>
          <w:kern w:val="0"/>
          <w:sz w:val="22"/>
        </w:rPr>
        <w:t xml:space="preserve"> production for taxon </w:t>
      </w:r>
      <w:r w:rsidRPr="00020A16">
        <w:rPr>
          <w:rFonts w:ascii="Times New Roman" w:eastAsia="MinionPro-Regular" w:hAnsi="Times New Roman"/>
          <w:i/>
          <w:kern w:val="0"/>
          <w:sz w:val="22"/>
        </w:rPr>
        <w:t>i</w:t>
      </w:r>
      <w:r w:rsidRPr="00020A16">
        <w:rPr>
          <w:rFonts w:ascii="Times New Roman" w:eastAsia="MinionPro-Regular" w:hAnsi="Times New Roman"/>
          <w:kern w:val="0"/>
          <w:sz w:val="22"/>
        </w:rPr>
        <w:t xml:space="preserve"> with body mass M</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 xml:space="preserve"> and biomass B</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 From Eq. S1, we attempted to estimate production for each taxon of local communities based on</w:t>
      </w:r>
      <w:r>
        <w:rPr>
          <w:rFonts w:ascii="Times New Roman" w:eastAsia="MinionPro-Regular" w:hAnsi="Times New Roman"/>
          <w:kern w:val="0"/>
          <w:sz w:val="22"/>
        </w:rPr>
        <w:t xml:space="preserve"> the</w:t>
      </w:r>
      <w:r w:rsidRPr="00020A16">
        <w:rPr>
          <w:rFonts w:ascii="Times New Roman" w:eastAsia="MinionPro-Regular" w:hAnsi="Times New Roman"/>
          <w:kern w:val="0"/>
          <w:sz w:val="22"/>
        </w:rPr>
        <w:t xml:space="preserve"> M</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 xml:space="preserve"> and B</w:t>
      </w:r>
      <w:r w:rsidRPr="00020A16">
        <w:rPr>
          <w:rFonts w:ascii="Times New Roman" w:eastAsia="MinionPro-Regular" w:hAnsi="Times New Roman"/>
          <w:i/>
          <w:kern w:val="0"/>
          <w:sz w:val="22"/>
          <w:vertAlign w:val="subscript"/>
        </w:rPr>
        <w:t>i</w:t>
      </w:r>
      <w:r w:rsidRPr="00020A16">
        <w:rPr>
          <w:rFonts w:ascii="Times New Roman" w:eastAsia="MinionPro-Regular" w:hAnsi="Times New Roman"/>
          <w:kern w:val="0"/>
          <w:sz w:val="22"/>
        </w:rPr>
        <w:t xml:space="preserve"> measurements. By plotting the production of each taxon against its TP for each local community, TTE (%) can be estimated from the slope </w:t>
      </w:r>
      <w:r w:rsidRPr="00020A16">
        <w:rPr>
          <w:rFonts w:ascii="Times New Roman" w:eastAsia="MinionPro-Regular" w:hAnsi="Times New Roman"/>
          <w:i/>
          <w:kern w:val="0"/>
          <w:sz w:val="22"/>
        </w:rPr>
        <w:t>a</w:t>
      </w:r>
      <w:r w:rsidRPr="00020A16">
        <w:rPr>
          <w:rFonts w:ascii="Times New Roman" w:eastAsia="MinionPro-Regular" w:hAnsi="Times New Roman"/>
          <w:kern w:val="0"/>
          <w:sz w:val="22"/>
        </w:rPr>
        <w:t xml:space="preserve"> of production against TP as 100 </w:t>
      </w:r>
      <w:r w:rsidRPr="00020A16">
        <w:rPr>
          <w:rFonts w:ascii="Times New Roman" w:hAnsi="Times New Roman"/>
          <w:sz w:val="22"/>
          <w:szCs w:val="24"/>
        </w:rPr>
        <w:t>×</w:t>
      </w:r>
      <w:r>
        <w:rPr>
          <w:rFonts w:ascii="Times New Roman" w:hAnsi="Times New Roman"/>
          <w:sz w:val="22"/>
          <w:szCs w:val="24"/>
        </w:rPr>
        <w:t xml:space="preserve"> </w:t>
      </w:r>
      <w:r w:rsidRPr="00020A16">
        <w:rPr>
          <w:rFonts w:ascii="Times New Roman" w:eastAsia="MinionPro-Regular" w:hAnsi="Times New Roman"/>
          <w:kern w:val="0"/>
          <w:sz w:val="22"/>
        </w:rPr>
        <w:t>10</w:t>
      </w:r>
      <w:r w:rsidRPr="00020A16">
        <w:rPr>
          <w:rFonts w:ascii="Times New Roman" w:eastAsia="MinionPro-Regular" w:hAnsi="Times New Roman"/>
          <w:i/>
          <w:kern w:val="0"/>
          <w:sz w:val="22"/>
          <w:vertAlign w:val="superscript"/>
        </w:rPr>
        <w:t>a</w:t>
      </w:r>
      <w:r w:rsidRPr="00020A16">
        <w:rPr>
          <w:rFonts w:ascii="Times New Roman" w:eastAsia="MinionPro-Regular" w:hAnsi="Times New Roman"/>
          <w:kern w:val="0"/>
          <w:sz w:val="22"/>
        </w:rPr>
        <w:t xml:space="preserve"> </w:t>
      </w:r>
      <w:r w:rsidRPr="00020A16">
        <w:rPr>
          <w:rFonts w:ascii="Times New Roman" w:hAnsi="Times New Roman"/>
          <w:sz w:val="22"/>
        </w:rPr>
        <w:t>(Jennings et al., 2002)</w:t>
      </w:r>
      <w:r w:rsidRPr="00020A16">
        <w:rPr>
          <w:rFonts w:ascii="Times New Roman" w:eastAsia="MinionPro-Regular" w:hAnsi="Times New Roman"/>
          <w:kern w:val="0"/>
          <w:sz w:val="22"/>
        </w:rPr>
        <w:t>.</w:t>
      </w:r>
    </w:p>
    <w:p w14:paraId="1F6B8803" w14:textId="77777777" w:rsidR="005533CA" w:rsidRDefault="00B35658" w:rsidP="00B35658">
      <w:pPr>
        <w:autoSpaceDE w:val="0"/>
        <w:autoSpaceDN w:val="0"/>
        <w:adjustRightInd w:val="0"/>
        <w:spacing w:line="480" w:lineRule="auto"/>
        <w:ind w:firstLine="840"/>
        <w:rPr>
          <w:rFonts w:ascii="Times New Roman" w:eastAsia="MinionPro-Regular" w:hAnsi="Times New Roman"/>
          <w:kern w:val="0"/>
          <w:sz w:val="22"/>
        </w:rPr>
      </w:pPr>
      <w:r w:rsidRPr="00020A16">
        <w:rPr>
          <w:rFonts w:ascii="Times New Roman" w:eastAsia="MinionPro-Regular" w:hAnsi="Times New Roman"/>
          <w:kern w:val="0"/>
          <w:sz w:val="22"/>
        </w:rPr>
        <w:t>In our system, most local communities did not show significant slopes</w:t>
      </w:r>
      <w:r>
        <w:rPr>
          <w:rFonts w:ascii="Times New Roman" w:eastAsia="MinionPro-Regular" w:hAnsi="Times New Roman"/>
          <w:kern w:val="0"/>
          <w:sz w:val="22"/>
        </w:rPr>
        <w:t>,</w:t>
      </w:r>
      <w:r w:rsidRPr="00020A16">
        <w:rPr>
          <w:rFonts w:ascii="Times New Roman" w:eastAsia="MinionPro-Regular" w:hAnsi="Times New Roman"/>
          <w:kern w:val="0"/>
          <w:sz w:val="22"/>
        </w:rPr>
        <w:t xml:space="preserve"> and TTE was </w:t>
      </w:r>
      <w:r w:rsidRPr="00020A16">
        <w:rPr>
          <w:rFonts w:ascii="Times New Roman" w:eastAsia="MinionPro-Regular" w:hAnsi="Times New Roman"/>
          <w:kern w:val="0"/>
          <w:sz w:val="22"/>
        </w:rPr>
        <w:lastRenderedPageBreak/>
        <w:t xml:space="preserve">estimated as 9.77% only for a community with a significant slope (Table S6), which is within the range of literature values reported for benthic communities. Many other communities </w:t>
      </w:r>
      <w:r>
        <w:rPr>
          <w:rFonts w:ascii="Times New Roman" w:eastAsia="MinionPro-Regular" w:hAnsi="Times New Roman"/>
          <w:kern w:val="0"/>
          <w:sz w:val="22"/>
        </w:rPr>
        <w:t>demonstrated</w:t>
      </w:r>
      <w:r w:rsidRPr="00020A16">
        <w:rPr>
          <w:rFonts w:ascii="Times New Roman" w:eastAsia="MinionPro-Regular" w:hAnsi="Times New Roman"/>
          <w:kern w:val="0"/>
          <w:sz w:val="22"/>
        </w:rPr>
        <w:t xml:space="preserve"> positive slopes, resulting in TTE exceeding 100%. With high uncertainty, the insignificant slopes can be partly due to weak correlations among body mass, biomass, and TP for benthic macroinvertebrate communities with the narrow size range (Fig. 2a, d). In theory, TTE of more than 100% is unrealistic in closed systems but likely in open systems in which allochthonous resources subsidize consumers (Polis et al., 1997). This is true if plankton products are regarded as an allochthonous resource for benthic communities, as is the case for suspension-feeding bivalves with higher biomass and TPs than other primary consumers relying on benthic algal production (Fig. 2d). In benthic communities, plankton productivity negatively affects benthic algal grazer biomass directly through habitat degradation </w:t>
      </w:r>
      <w:r>
        <w:rPr>
          <w:rFonts w:ascii="Times New Roman" w:eastAsia="MinionPro-Regular" w:hAnsi="Times New Roman"/>
          <w:kern w:val="0"/>
          <w:sz w:val="22"/>
        </w:rPr>
        <w:t>because of</w:t>
      </w:r>
      <w:r w:rsidRPr="00020A16">
        <w:rPr>
          <w:rFonts w:ascii="Times New Roman" w:eastAsia="MinionPro-Regular" w:hAnsi="Times New Roman"/>
          <w:kern w:val="0"/>
          <w:sz w:val="22"/>
        </w:rPr>
        <w:t xml:space="preserve"> organic matter loading (</w:t>
      </w:r>
      <w:proofErr w:type="spellStart"/>
      <w:r w:rsidRPr="00020A16">
        <w:rPr>
          <w:rFonts w:ascii="Times New Roman" w:eastAsia="MinionPro-Regular" w:hAnsi="Times New Roman"/>
          <w:kern w:val="0"/>
          <w:sz w:val="22"/>
        </w:rPr>
        <w:t>Paerl</w:t>
      </w:r>
      <w:proofErr w:type="spellEnd"/>
      <w:r w:rsidRPr="00020A16">
        <w:rPr>
          <w:rFonts w:ascii="Times New Roman" w:eastAsia="MinionPro-Regular" w:hAnsi="Times New Roman"/>
          <w:kern w:val="0"/>
          <w:sz w:val="22"/>
        </w:rPr>
        <w:t xml:space="preserve"> et al., 1998; Wolowicz et al., 2007) and indirectly through </w:t>
      </w:r>
      <w:r>
        <w:rPr>
          <w:rFonts w:ascii="Times New Roman" w:eastAsia="MinionPro-Regular" w:hAnsi="Times New Roman"/>
          <w:kern w:val="0"/>
          <w:sz w:val="22"/>
        </w:rPr>
        <w:t xml:space="preserve">the </w:t>
      </w:r>
      <w:r w:rsidRPr="00020A16">
        <w:rPr>
          <w:rFonts w:ascii="Times New Roman" w:eastAsia="MinionPro-Regular" w:hAnsi="Times New Roman"/>
          <w:kern w:val="0"/>
          <w:sz w:val="22"/>
        </w:rPr>
        <w:t>depression of benthic microalgal production by phytoplankton from reduced light penetration to the lake bottom (Vadeboncoeur et al., 2003; Vadeboncoeur et al., 2001; Vadeboncoeur et al., 2008). Such benthic</w:t>
      </w:r>
      <w:r>
        <w:rPr>
          <w:rFonts w:ascii="Times New Roman" w:eastAsia="MinionPro-Regular" w:hAnsi="Times New Roman"/>
          <w:kern w:val="0"/>
          <w:sz w:val="22"/>
        </w:rPr>
        <w:t>–</w:t>
      </w:r>
      <w:r w:rsidRPr="00020A16">
        <w:rPr>
          <w:rFonts w:ascii="Times New Roman" w:eastAsia="MinionPro-Regular" w:hAnsi="Times New Roman"/>
          <w:kern w:val="0"/>
          <w:sz w:val="22"/>
        </w:rPr>
        <w:t>pelagic interactions make benthic food webs more complex, which limits</w:t>
      </w:r>
      <w:r>
        <w:rPr>
          <w:rFonts w:ascii="Times New Roman" w:eastAsia="MinionPro-Regular" w:hAnsi="Times New Roman"/>
          <w:kern w:val="0"/>
          <w:sz w:val="22"/>
        </w:rPr>
        <w:t xml:space="preserve"> the</w:t>
      </w:r>
      <w:r w:rsidRPr="00020A16">
        <w:rPr>
          <w:rFonts w:ascii="Times New Roman" w:eastAsia="MinionPro-Regular" w:hAnsi="Times New Roman"/>
          <w:kern w:val="0"/>
          <w:sz w:val="22"/>
        </w:rPr>
        <w:t xml:space="preserve"> testability of the VDH in size-based food webs.</w:t>
      </w:r>
    </w:p>
    <w:p w14:paraId="7B4DA125" w14:textId="77777777" w:rsidR="0033204B" w:rsidRDefault="0033204B" w:rsidP="0033204B">
      <w:pPr>
        <w:autoSpaceDE w:val="0"/>
        <w:autoSpaceDN w:val="0"/>
        <w:adjustRightInd w:val="0"/>
        <w:spacing w:line="480" w:lineRule="auto"/>
        <w:rPr>
          <w:rFonts w:ascii="Times New Roman" w:eastAsia="MinionPro-Regular" w:hAnsi="Times New Roman"/>
          <w:kern w:val="0"/>
          <w:sz w:val="22"/>
        </w:rPr>
      </w:pPr>
    </w:p>
    <w:p w14:paraId="6C2C0246" w14:textId="77777777" w:rsidR="0033204B" w:rsidRPr="00020A16" w:rsidRDefault="0033204B" w:rsidP="0033204B">
      <w:pPr>
        <w:autoSpaceDE w:val="0"/>
        <w:autoSpaceDN w:val="0"/>
        <w:adjustRightInd w:val="0"/>
        <w:spacing w:line="480" w:lineRule="auto"/>
        <w:rPr>
          <w:rFonts w:ascii="Times New Roman" w:eastAsia="MinionPro-Regular" w:hAnsi="Times New Roman"/>
          <w:b/>
          <w:bCs/>
          <w:kern w:val="0"/>
          <w:sz w:val="22"/>
        </w:rPr>
      </w:pPr>
      <w:r w:rsidRPr="00020A16">
        <w:rPr>
          <w:rFonts w:ascii="Times New Roman" w:eastAsia="MinionPro-Regular" w:hAnsi="Times New Roman"/>
          <w:b/>
          <w:bCs/>
          <w:kern w:val="0"/>
          <w:sz w:val="22"/>
        </w:rPr>
        <w:t>REFERENCES</w:t>
      </w:r>
    </w:p>
    <w:p w14:paraId="6F601EC1" w14:textId="77777777" w:rsidR="0033204B" w:rsidRPr="00B35658" w:rsidRDefault="0033204B" w:rsidP="00BF5680">
      <w:pPr>
        <w:autoSpaceDE w:val="0"/>
        <w:autoSpaceDN w:val="0"/>
        <w:adjustRightInd w:val="0"/>
        <w:spacing w:line="480" w:lineRule="auto"/>
        <w:rPr>
          <w:rFonts w:ascii="Times New Roman" w:eastAsia="MinionPro-Regular" w:hAnsi="Times New Roman"/>
          <w:kern w:val="0"/>
          <w:sz w:val="22"/>
        </w:rPr>
      </w:pPr>
    </w:p>
    <w:p w14:paraId="5588BE89"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Banse, K.&amp; Mosher, S. (1980) Adult body mass and annual production/biomass relationships of field populations. </w:t>
      </w:r>
      <w:r w:rsidRPr="00B35658">
        <w:rPr>
          <w:rFonts w:ascii="Times New Roman" w:eastAsia="MinionPro-Regular" w:hAnsi="Times New Roman"/>
          <w:i/>
          <w:kern w:val="0"/>
          <w:sz w:val="22"/>
        </w:rPr>
        <w:t>Ecological Monographs</w:t>
      </w:r>
      <w:r w:rsidRPr="00B35658">
        <w:rPr>
          <w:rFonts w:ascii="Times New Roman" w:eastAsia="MinionPro-Regular" w:hAnsi="Times New Roman"/>
          <w:kern w:val="0"/>
          <w:sz w:val="22"/>
        </w:rPr>
        <w:t>, 50, 355-379.</w:t>
      </w:r>
    </w:p>
    <w:p w14:paraId="7A026150"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Brown, J.H.&amp; Gillooly, J.F. (2003) Ecological food webs: High-quality data facilitate theoretical unification. </w:t>
      </w:r>
      <w:r w:rsidRPr="00B35658">
        <w:rPr>
          <w:rFonts w:ascii="Times New Roman" w:eastAsia="MinionPro-Regular" w:hAnsi="Times New Roman"/>
          <w:i/>
          <w:kern w:val="0"/>
          <w:sz w:val="22"/>
        </w:rPr>
        <w:t>Proceedings of the National Academy of Sciences of USA</w:t>
      </w:r>
      <w:r w:rsidRPr="00B35658">
        <w:rPr>
          <w:rFonts w:ascii="Times New Roman" w:eastAsia="MinionPro-Regular" w:hAnsi="Times New Roman"/>
          <w:kern w:val="0"/>
          <w:sz w:val="22"/>
        </w:rPr>
        <w:t>, 100, 1467-1468.</w:t>
      </w:r>
    </w:p>
    <w:p w14:paraId="485C2835"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Brown, J.H., Gillooly, J.F., Allen, A.P., Savage, V.M.&amp; West, G.B. (2004) Toward a metabolic theory of ecology. </w:t>
      </w:r>
      <w:r w:rsidRPr="00B35658">
        <w:rPr>
          <w:rFonts w:ascii="Times New Roman" w:eastAsia="MinionPro-Regular" w:hAnsi="Times New Roman"/>
          <w:i/>
          <w:kern w:val="0"/>
          <w:sz w:val="22"/>
        </w:rPr>
        <w:t>Ecology</w:t>
      </w:r>
      <w:r w:rsidRPr="00B35658">
        <w:rPr>
          <w:rFonts w:ascii="Times New Roman" w:eastAsia="MinionPro-Regular" w:hAnsi="Times New Roman"/>
          <w:kern w:val="0"/>
          <w:sz w:val="22"/>
        </w:rPr>
        <w:t>, 85, 1771-1789.</w:t>
      </w:r>
    </w:p>
    <w:p w14:paraId="127F53B2"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Jennings, S., Warr, K.J.&amp; Mackinson, S. (2002) Use of size-based production and stable isotope analyses to predict trophic transfer efficiencies and predator-prey body mass ratios in food webs. </w:t>
      </w:r>
      <w:r w:rsidRPr="00B35658">
        <w:rPr>
          <w:rFonts w:ascii="Times New Roman" w:eastAsia="MinionPro-Regular" w:hAnsi="Times New Roman"/>
          <w:i/>
          <w:kern w:val="0"/>
          <w:sz w:val="22"/>
        </w:rPr>
        <w:t>Marine Ecology Progress Series</w:t>
      </w:r>
      <w:r w:rsidRPr="00B35658">
        <w:rPr>
          <w:rFonts w:ascii="Times New Roman" w:eastAsia="MinionPro-Regular" w:hAnsi="Times New Roman"/>
          <w:kern w:val="0"/>
          <w:sz w:val="22"/>
        </w:rPr>
        <w:t>, 240, 11-20.</w:t>
      </w:r>
    </w:p>
    <w:p w14:paraId="39BA905B"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proofErr w:type="spellStart"/>
      <w:r w:rsidRPr="00B35658">
        <w:rPr>
          <w:rFonts w:ascii="Times New Roman" w:eastAsia="MinionPro-Regular" w:hAnsi="Times New Roman"/>
          <w:kern w:val="0"/>
          <w:sz w:val="22"/>
        </w:rPr>
        <w:t>Paerl</w:t>
      </w:r>
      <w:proofErr w:type="spellEnd"/>
      <w:r w:rsidRPr="00B35658">
        <w:rPr>
          <w:rFonts w:ascii="Times New Roman" w:eastAsia="MinionPro-Regular" w:hAnsi="Times New Roman"/>
          <w:kern w:val="0"/>
          <w:sz w:val="22"/>
        </w:rPr>
        <w:t xml:space="preserve">, H.W., Pinckney, J.L., Fear, J.M.&amp; Peierls, B.L. (1998) Ecosystem responses to internal and watershed organic matter loading: consequences for hypoxia in the </w:t>
      </w:r>
      <w:proofErr w:type="spellStart"/>
      <w:r w:rsidRPr="00B35658">
        <w:rPr>
          <w:rFonts w:ascii="Times New Roman" w:eastAsia="MinionPro-Regular" w:hAnsi="Times New Roman"/>
          <w:kern w:val="0"/>
          <w:sz w:val="22"/>
        </w:rPr>
        <w:t>eutrophying</w:t>
      </w:r>
      <w:proofErr w:type="spellEnd"/>
      <w:r w:rsidRPr="00B35658">
        <w:rPr>
          <w:rFonts w:ascii="Times New Roman" w:eastAsia="MinionPro-Regular" w:hAnsi="Times New Roman"/>
          <w:kern w:val="0"/>
          <w:sz w:val="22"/>
        </w:rPr>
        <w:t xml:space="preserve"> </w:t>
      </w:r>
      <w:proofErr w:type="gramStart"/>
      <w:r w:rsidRPr="00B35658">
        <w:rPr>
          <w:rFonts w:ascii="Times New Roman" w:eastAsia="MinionPro-Regular" w:hAnsi="Times New Roman"/>
          <w:kern w:val="0"/>
          <w:sz w:val="22"/>
        </w:rPr>
        <w:t>Neuse river</w:t>
      </w:r>
      <w:proofErr w:type="gramEnd"/>
      <w:r w:rsidRPr="00B35658">
        <w:rPr>
          <w:rFonts w:ascii="Times New Roman" w:eastAsia="MinionPro-Regular" w:hAnsi="Times New Roman"/>
          <w:kern w:val="0"/>
          <w:sz w:val="22"/>
        </w:rPr>
        <w:t xml:space="preserve"> estuary, North Carolina, USA. </w:t>
      </w:r>
      <w:r w:rsidRPr="00B35658">
        <w:rPr>
          <w:rFonts w:ascii="Times New Roman" w:eastAsia="MinionPro-Regular" w:hAnsi="Times New Roman"/>
          <w:i/>
          <w:kern w:val="0"/>
          <w:sz w:val="22"/>
        </w:rPr>
        <w:t>Marine Ecology Progress Series</w:t>
      </w:r>
      <w:r w:rsidRPr="00B35658">
        <w:rPr>
          <w:rFonts w:ascii="Times New Roman" w:eastAsia="MinionPro-Regular" w:hAnsi="Times New Roman"/>
          <w:kern w:val="0"/>
          <w:sz w:val="22"/>
        </w:rPr>
        <w:t>, 166, 17-25.</w:t>
      </w:r>
    </w:p>
    <w:p w14:paraId="4540D1D8"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Polis, G.A., Anderson, W.B.&amp; Holt, R.D. (1997) Toward an integration of landscape and food web ecology: The dynamics of spatially subsidized food webs. </w:t>
      </w:r>
      <w:r w:rsidRPr="00B35658">
        <w:rPr>
          <w:rFonts w:ascii="Times New Roman" w:eastAsia="MinionPro-Regular" w:hAnsi="Times New Roman"/>
          <w:i/>
          <w:kern w:val="0"/>
          <w:sz w:val="22"/>
        </w:rPr>
        <w:t>Annual Review of Ecology and Systematics</w:t>
      </w:r>
      <w:r w:rsidRPr="00B35658">
        <w:rPr>
          <w:rFonts w:ascii="Times New Roman" w:eastAsia="MinionPro-Regular" w:hAnsi="Times New Roman"/>
          <w:kern w:val="0"/>
          <w:sz w:val="22"/>
        </w:rPr>
        <w:t>, 28, 289-316.</w:t>
      </w:r>
    </w:p>
    <w:p w14:paraId="62BF1CB0"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Vadeboncoeur, Y., Jeppesen, E., Vander Zanden, M.J., Schierup, H.-H., Christoffersen, K.&amp; Lodge, D.M. (2003) From Greenland to green lakes: Cultural eutrophication and the loss of benthic pathways in lakes. </w:t>
      </w:r>
      <w:r w:rsidRPr="00B35658">
        <w:rPr>
          <w:rFonts w:ascii="Times New Roman" w:eastAsia="MinionPro-Regular" w:hAnsi="Times New Roman"/>
          <w:i/>
          <w:kern w:val="0"/>
          <w:sz w:val="22"/>
        </w:rPr>
        <w:t>Limnology and Oceanography</w:t>
      </w:r>
      <w:r w:rsidRPr="00B35658">
        <w:rPr>
          <w:rFonts w:ascii="Times New Roman" w:eastAsia="MinionPro-Regular" w:hAnsi="Times New Roman"/>
          <w:kern w:val="0"/>
          <w:sz w:val="22"/>
        </w:rPr>
        <w:t>, 48, 1408-1418.</w:t>
      </w:r>
    </w:p>
    <w:p w14:paraId="58BC883E"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Vadeboncoeur, Y., Lodge, D.M.&amp; Carpenter, S.R. (2001) Whole-lake fertilization effects on distribution of primary production between benthic and pelagic habitats. </w:t>
      </w:r>
      <w:r w:rsidRPr="00B35658">
        <w:rPr>
          <w:rFonts w:ascii="Times New Roman" w:eastAsia="MinionPro-Regular" w:hAnsi="Times New Roman"/>
          <w:i/>
          <w:kern w:val="0"/>
          <w:sz w:val="22"/>
        </w:rPr>
        <w:t>Ecology</w:t>
      </w:r>
      <w:r w:rsidRPr="00B35658">
        <w:rPr>
          <w:rFonts w:ascii="Times New Roman" w:eastAsia="MinionPro-Regular" w:hAnsi="Times New Roman"/>
          <w:kern w:val="0"/>
          <w:sz w:val="22"/>
        </w:rPr>
        <w:t>, 82, 1065-1077.</w:t>
      </w:r>
    </w:p>
    <w:p w14:paraId="53C39979"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Vadeboncoeur, Y., Peterson, G., Vander Zanden, M.J.&amp; </w:t>
      </w:r>
      <w:proofErr w:type="spellStart"/>
      <w:r w:rsidRPr="00B35658">
        <w:rPr>
          <w:rFonts w:ascii="Times New Roman" w:eastAsia="MinionPro-Regular" w:hAnsi="Times New Roman"/>
          <w:kern w:val="0"/>
          <w:sz w:val="22"/>
        </w:rPr>
        <w:t>Kalff</w:t>
      </w:r>
      <w:proofErr w:type="spellEnd"/>
      <w:r w:rsidRPr="00B35658">
        <w:rPr>
          <w:rFonts w:ascii="Times New Roman" w:eastAsia="MinionPro-Regular" w:hAnsi="Times New Roman"/>
          <w:kern w:val="0"/>
          <w:sz w:val="22"/>
        </w:rPr>
        <w:t xml:space="preserve">, J. (2008) Benthic algal production across lake size gradients: Interactions among morphometry, nutrients, and light. </w:t>
      </w:r>
      <w:r w:rsidRPr="00B35658">
        <w:rPr>
          <w:rFonts w:ascii="Times New Roman" w:eastAsia="MinionPro-Regular" w:hAnsi="Times New Roman"/>
          <w:i/>
          <w:kern w:val="0"/>
          <w:sz w:val="22"/>
        </w:rPr>
        <w:t>Ecology</w:t>
      </w:r>
      <w:r w:rsidRPr="00B35658">
        <w:rPr>
          <w:rFonts w:ascii="Times New Roman" w:eastAsia="MinionPro-Regular" w:hAnsi="Times New Roman"/>
          <w:kern w:val="0"/>
          <w:sz w:val="22"/>
        </w:rPr>
        <w:t>, 89, 2542-2552.</w:t>
      </w:r>
    </w:p>
    <w:p w14:paraId="11E3A6D4"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Wang, S.P.&amp; Brose, U. (2018) Biodiversity and ecosystem functioning in food webs: the vertical diversity hypothesis. </w:t>
      </w:r>
      <w:r w:rsidRPr="00B35658">
        <w:rPr>
          <w:rFonts w:ascii="Times New Roman" w:eastAsia="MinionPro-Regular" w:hAnsi="Times New Roman"/>
          <w:i/>
          <w:kern w:val="0"/>
          <w:sz w:val="22"/>
        </w:rPr>
        <w:t>Ecology Letters</w:t>
      </w:r>
      <w:r w:rsidRPr="00B35658">
        <w:rPr>
          <w:rFonts w:ascii="Times New Roman" w:eastAsia="MinionPro-Regular" w:hAnsi="Times New Roman"/>
          <w:kern w:val="0"/>
          <w:sz w:val="22"/>
        </w:rPr>
        <w:t>, 21, 9-20.</w:t>
      </w:r>
    </w:p>
    <w:p w14:paraId="6583CDC2" w14:textId="77777777" w:rsidR="0033204B" w:rsidRPr="00B35658" w:rsidRDefault="0033204B" w:rsidP="00BF5680">
      <w:pPr>
        <w:autoSpaceDE w:val="0"/>
        <w:autoSpaceDN w:val="0"/>
        <w:adjustRightInd w:val="0"/>
        <w:spacing w:line="480" w:lineRule="auto"/>
        <w:ind w:left="720" w:hanging="720"/>
        <w:rPr>
          <w:rFonts w:ascii="Times New Roman" w:eastAsia="MinionPro-Regular" w:hAnsi="Times New Roman"/>
          <w:kern w:val="0"/>
          <w:sz w:val="22"/>
        </w:rPr>
      </w:pPr>
      <w:r w:rsidRPr="00B35658">
        <w:rPr>
          <w:rFonts w:ascii="Times New Roman" w:eastAsia="MinionPro-Regular" w:hAnsi="Times New Roman"/>
          <w:kern w:val="0"/>
          <w:sz w:val="22"/>
        </w:rPr>
        <w:t xml:space="preserve">Wolowicz, M., Sokolowski, A.&amp; Lasota, R. (2007) Estuaries: a biological point of view. </w:t>
      </w:r>
      <w:r w:rsidRPr="00B35658">
        <w:rPr>
          <w:rFonts w:ascii="Times New Roman" w:eastAsia="MinionPro-Regular" w:hAnsi="Times New Roman"/>
          <w:i/>
          <w:kern w:val="0"/>
          <w:sz w:val="22"/>
        </w:rPr>
        <w:t>Oceanological and Hydrobiological Studies</w:t>
      </w:r>
      <w:r w:rsidRPr="00B35658">
        <w:rPr>
          <w:rFonts w:ascii="Times New Roman" w:eastAsia="MinionPro-Regular" w:hAnsi="Times New Roman"/>
          <w:kern w:val="0"/>
          <w:sz w:val="22"/>
        </w:rPr>
        <w:t>, 36, 113-130.</w:t>
      </w:r>
    </w:p>
    <w:sectPr w:rsidR="0033204B" w:rsidRPr="00B3565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EA3C0" w14:textId="77777777" w:rsidR="005D7CA4" w:rsidRDefault="005D7CA4" w:rsidP="00BF5680">
      <w:r>
        <w:separator/>
      </w:r>
    </w:p>
  </w:endnote>
  <w:endnote w:type="continuationSeparator" w:id="0">
    <w:p w14:paraId="75E8B205" w14:textId="77777777" w:rsidR="005D7CA4" w:rsidRDefault="005D7CA4" w:rsidP="00BF5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ionPro-Regular">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F8D1" w14:textId="77777777" w:rsidR="005D7CA4" w:rsidRDefault="005D7CA4" w:rsidP="00BF5680">
      <w:r>
        <w:separator/>
      </w:r>
    </w:p>
  </w:footnote>
  <w:footnote w:type="continuationSeparator" w:id="0">
    <w:p w14:paraId="1DF9D7D8" w14:textId="77777777" w:rsidR="005D7CA4" w:rsidRDefault="005D7CA4" w:rsidP="00BF56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58"/>
    <w:rsid w:val="00020A16"/>
    <w:rsid w:val="00263579"/>
    <w:rsid w:val="0033204B"/>
    <w:rsid w:val="00363733"/>
    <w:rsid w:val="005533CA"/>
    <w:rsid w:val="005D7CA4"/>
    <w:rsid w:val="00B35658"/>
    <w:rsid w:val="00BF5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868B33"/>
  <w14:defaultImageDpi w14:val="0"/>
  <w15:docId w15:val="{DB57F623-2700-41B3-8774-34BA45FC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5658"/>
    <w:pPr>
      <w:widowControl w:val="0"/>
      <w:jc w:val="both"/>
    </w:pPr>
    <w:rPr>
      <w:rFonts w:ascii="Century" w:eastAsia="ＭＳ 明朝" w:hAnsi="Century"/>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35658"/>
    <w:rPr>
      <w:rFonts w:cs="Times New Roman"/>
      <w:sz w:val="18"/>
      <w:szCs w:val="18"/>
    </w:rPr>
  </w:style>
  <w:style w:type="paragraph" w:styleId="a4">
    <w:name w:val="annotation text"/>
    <w:basedOn w:val="a"/>
    <w:link w:val="a5"/>
    <w:autoRedefine/>
    <w:uiPriority w:val="99"/>
    <w:unhideWhenUsed/>
    <w:rsid w:val="00B35658"/>
    <w:pPr>
      <w:jc w:val="left"/>
    </w:pPr>
    <w:rPr>
      <w:rFonts w:ascii="Times New Roman" w:hAnsi="Times New Roman"/>
    </w:rPr>
  </w:style>
  <w:style w:type="character" w:customStyle="1" w:styleId="a5">
    <w:name w:val="コメント文字列 (文字)"/>
    <w:basedOn w:val="a0"/>
    <w:link w:val="a4"/>
    <w:uiPriority w:val="99"/>
    <w:locked/>
    <w:rsid w:val="00B35658"/>
    <w:rPr>
      <w:rFonts w:ascii="Times New Roman" w:eastAsia="ＭＳ 明朝" w:hAnsi="Times New Roman" w:cs="Times New Roman"/>
    </w:rPr>
  </w:style>
  <w:style w:type="paragraph" w:styleId="a6">
    <w:name w:val="header"/>
    <w:basedOn w:val="a"/>
    <w:link w:val="a7"/>
    <w:uiPriority w:val="99"/>
    <w:unhideWhenUsed/>
    <w:rsid w:val="00BF5680"/>
    <w:pPr>
      <w:tabs>
        <w:tab w:val="center" w:pos="4252"/>
        <w:tab w:val="right" w:pos="8504"/>
      </w:tabs>
      <w:snapToGrid w:val="0"/>
    </w:pPr>
  </w:style>
  <w:style w:type="character" w:customStyle="1" w:styleId="a7">
    <w:name w:val="ヘッダー (文字)"/>
    <w:basedOn w:val="a0"/>
    <w:link w:val="a6"/>
    <w:uiPriority w:val="99"/>
    <w:rsid w:val="00BF5680"/>
    <w:rPr>
      <w:rFonts w:ascii="Century" w:eastAsia="ＭＳ 明朝" w:hAnsi="Century"/>
      <w:szCs w:val="22"/>
    </w:rPr>
  </w:style>
  <w:style w:type="paragraph" w:styleId="a8">
    <w:name w:val="footer"/>
    <w:basedOn w:val="a"/>
    <w:link w:val="a9"/>
    <w:uiPriority w:val="99"/>
    <w:unhideWhenUsed/>
    <w:rsid w:val="00BF5680"/>
    <w:pPr>
      <w:tabs>
        <w:tab w:val="center" w:pos="4252"/>
        <w:tab w:val="right" w:pos="8504"/>
      </w:tabs>
      <w:snapToGrid w:val="0"/>
    </w:pPr>
  </w:style>
  <w:style w:type="character" w:customStyle="1" w:styleId="a9">
    <w:name w:val="フッター (文字)"/>
    <w:basedOn w:val="a0"/>
    <w:link w:val="a8"/>
    <w:uiPriority w:val="99"/>
    <w:rsid w:val="00BF5680"/>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695</Words>
  <Characters>3964</Characters>
  <Application>Microsoft Office Word</Application>
  <DocSecurity>0</DocSecurity>
  <Lines>33</Lines>
  <Paragraphs>9</Paragraphs>
  <ScaleCrop>false</ScaleCrop>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Okuda Noboru</dc:creator>
  <cp:keywords/>
  <dc:description/>
  <cp:lastModifiedBy>Okuda Noboru</cp:lastModifiedBy>
  <cp:revision>3</cp:revision>
  <dcterms:created xsi:type="dcterms:W3CDTF">2021-09-09T04:50:00Z</dcterms:created>
  <dcterms:modified xsi:type="dcterms:W3CDTF">2021-09-09T08:17:00Z</dcterms:modified>
</cp:coreProperties>
</file>