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6EEE70" w14:textId="7696A3B5" w:rsidR="00F13598" w:rsidRDefault="00F13598" w:rsidP="002C3263">
      <w:pPr>
        <w:pStyle w:val="Title"/>
      </w:pPr>
      <w:r>
        <w:rPr>
          <w:noProof/>
        </w:rPr>
        <w:drawing>
          <wp:inline distT="0" distB="0" distL="0" distR="0" wp14:anchorId="0C135B88" wp14:editId="3B6ED7AA">
            <wp:extent cx="1612900" cy="757126"/>
            <wp:effectExtent l="0" t="0" r="6350" b="5080"/>
            <wp:docPr id="1145305958"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05958" name="Picture 1" descr="Logo&#10;&#10;Description automatically generated"/>
                    <pic:cNvPicPr/>
                  </pic:nvPicPr>
                  <pic:blipFill>
                    <a:blip r:embed="rId7"/>
                    <a:stretch>
                      <a:fillRect/>
                    </a:stretch>
                  </pic:blipFill>
                  <pic:spPr>
                    <a:xfrm>
                      <a:off x="0" y="0"/>
                      <a:ext cx="1618986" cy="759983"/>
                    </a:xfrm>
                    <a:prstGeom prst="rect">
                      <a:avLst/>
                    </a:prstGeom>
                  </pic:spPr>
                </pic:pic>
              </a:graphicData>
            </a:graphic>
          </wp:inline>
        </w:drawing>
      </w:r>
    </w:p>
    <w:p w14:paraId="28856EE9" w14:textId="77777777" w:rsidR="00F13598" w:rsidRPr="00F13598" w:rsidRDefault="00F13598" w:rsidP="00F13598"/>
    <w:p w14:paraId="653843DF" w14:textId="3A342D68" w:rsidR="008A6077" w:rsidRDefault="008A6077" w:rsidP="008A6077"/>
    <w:p w14:paraId="3051FA1D" w14:textId="77777777" w:rsidR="00BD47BB" w:rsidRDefault="00BD47BB" w:rsidP="00B120F3">
      <w:pPr>
        <w:pStyle w:val="Title"/>
        <w:sectPr w:rsidR="00BD47BB"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64AEAA0B" w14:textId="77777777" w:rsidR="00FA693A" w:rsidRDefault="00FA693A" w:rsidP="00FA693A">
      <w:pPr>
        <w:pStyle w:val="Title"/>
      </w:pPr>
      <w:r w:rsidRPr="00E048E4">
        <w:t xml:space="preserve">Underestimation of </w:t>
      </w:r>
      <w:r>
        <w:t>F</w:t>
      </w:r>
      <w:r w:rsidRPr="00E048E4">
        <w:t xml:space="preserve">requent </w:t>
      </w:r>
      <w:r>
        <w:t>F</w:t>
      </w:r>
      <w:r w:rsidRPr="00E048E4">
        <w:t xml:space="preserve">loods when </w:t>
      </w:r>
      <w:r>
        <w:t>U</w:t>
      </w:r>
      <w:r w:rsidRPr="00E048E4">
        <w:t xml:space="preserve">sing </w:t>
      </w:r>
      <w:r>
        <w:t>A</w:t>
      </w:r>
      <w:r w:rsidRPr="00E048E4">
        <w:t xml:space="preserve">nnual </w:t>
      </w:r>
      <w:r>
        <w:t>M</w:t>
      </w:r>
      <w:r w:rsidRPr="00E048E4">
        <w:t xml:space="preserve">axima for </w:t>
      </w:r>
      <w:r>
        <w:t>F</w:t>
      </w:r>
      <w:r w:rsidRPr="00E048E4">
        <w:t xml:space="preserve">requency </w:t>
      </w:r>
      <w:r>
        <w:t>A</w:t>
      </w:r>
      <w:r w:rsidRPr="00E048E4">
        <w:t xml:space="preserve">nalysis: </w:t>
      </w:r>
      <w:r>
        <w:t>Driver</w:t>
      </w:r>
      <w:r w:rsidRPr="00E048E4">
        <w:t xml:space="preserve">s, </w:t>
      </w:r>
      <w:r>
        <w:t>Spatial V</w:t>
      </w:r>
      <w:r w:rsidRPr="00E048E4">
        <w:t xml:space="preserve">ariability, and </w:t>
      </w:r>
      <w:r>
        <w:t>P</w:t>
      </w:r>
      <w:r w:rsidRPr="00E048E4">
        <w:t xml:space="preserve">ossible </w:t>
      </w:r>
      <w:r>
        <w:t>S</w:t>
      </w:r>
      <w:r w:rsidRPr="00E048E4">
        <w:t>olutions</w:t>
      </w:r>
    </w:p>
    <w:p w14:paraId="38AA067D" w14:textId="77777777" w:rsidR="00FA693A" w:rsidRPr="00FA693A" w:rsidRDefault="00FA693A" w:rsidP="00FA693A"/>
    <w:p w14:paraId="32E6B0CF" w14:textId="777190D3" w:rsidR="00C94AA5" w:rsidRPr="00E07429" w:rsidRDefault="00FA693A" w:rsidP="00B120F3">
      <w:pPr>
        <w:pStyle w:val="Authors"/>
        <w:rPr>
          <w:lang w:val="it-IT"/>
        </w:rPr>
      </w:pPr>
      <w:r w:rsidRPr="00E07429">
        <w:rPr>
          <w:lang w:val="it-IT"/>
        </w:rPr>
        <w:t>F</w:t>
      </w:r>
      <w:r w:rsidR="00C94AA5" w:rsidRPr="00E07429">
        <w:rPr>
          <w:lang w:val="it-IT"/>
        </w:rPr>
        <w:t xml:space="preserve">. </w:t>
      </w:r>
      <w:r w:rsidRPr="00E07429">
        <w:rPr>
          <w:lang w:val="it-IT"/>
        </w:rPr>
        <w:t>Dell’Aira</w:t>
      </w:r>
      <w:r w:rsidR="00545B6C" w:rsidRPr="00E07429">
        <w:rPr>
          <w:vertAlign w:val="superscript"/>
          <w:lang w:val="it-IT"/>
        </w:rPr>
        <w:t>1</w:t>
      </w:r>
      <w:r w:rsidR="00C94AA5" w:rsidRPr="00E07429">
        <w:rPr>
          <w:lang w:val="it-IT"/>
        </w:rPr>
        <w:t xml:space="preserve">, </w:t>
      </w:r>
      <w:r w:rsidRPr="00E07429">
        <w:rPr>
          <w:lang w:val="it-IT"/>
        </w:rPr>
        <w:t>A</w:t>
      </w:r>
      <w:r w:rsidR="00C94AA5" w:rsidRPr="00E07429">
        <w:rPr>
          <w:lang w:val="it-IT"/>
        </w:rPr>
        <w:t xml:space="preserve">. </w:t>
      </w:r>
      <w:r w:rsidRPr="00E07429">
        <w:rPr>
          <w:lang w:val="it-IT"/>
        </w:rPr>
        <w:t>Cancelliere</w:t>
      </w:r>
      <w:r w:rsidR="00545B6C" w:rsidRPr="00E07429">
        <w:rPr>
          <w:vertAlign w:val="superscript"/>
          <w:lang w:val="it-IT"/>
        </w:rPr>
        <w:t>2</w:t>
      </w:r>
      <w:r w:rsidR="00C94AA5" w:rsidRPr="00E07429">
        <w:rPr>
          <w:lang w:val="it-IT"/>
        </w:rPr>
        <w:t xml:space="preserve">, </w:t>
      </w:r>
      <w:r w:rsidR="00545B6C" w:rsidRPr="00E07429">
        <w:rPr>
          <w:lang w:val="it-IT"/>
        </w:rPr>
        <w:t xml:space="preserve">and </w:t>
      </w:r>
      <w:r w:rsidRPr="00E07429">
        <w:rPr>
          <w:lang w:val="it-IT"/>
        </w:rPr>
        <w:t>C</w:t>
      </w:r>
      <w:r w:rsidR="00C94AA5" w:rsidRPr="00E07429">
        <w:rPr>
          <w:lang w:val="it-IT"/>
        </w:rPr>
        <w:t xml:space="preserve">. </w:t>
      </w:r>
      <w:r w:rsidRPr="00E07429">
        <w:rPr>
          <w:lang w:val="it-IT"/>
        </w:rPr>
        <w:t>I</w:t>
      </w:r>
      <w:r w:rsidR="00C94AA5" w:rsidRPr="00E07429">
        <w:rPr>
          <w:lang w:val="it-IT"/>
        </w:rPr>
        <w:t xml:space="preserve">. </w:t>
      </w:r>
      <w:r w:rsidRPr="00E07429">
        <w:rPr>
          <w:lang w:val="it-IT"/>
        </w:rPr>
        <w:t>Meie</w:t>
      </w:r>
      <w:r w:rsidR="00C94AA5" w:rsidRPr="00E07429">
        <w:rPr>
          <w:lang w:val="it-IT"/>
        </w:rPr>
        <w:t>r</w:t>
      </w:r>
      <w:r w:rsidR="00BD2757" w:rsidRPr="00E07429">
        <w:rPr>
          <w:vertAlign w:val="superscript"/>
          <w:lang w:val="it-IT"/>
        </w:rPr>
        <w:t>1</w:t>
      </w:r>
      <w:r w:rsidR="006F662E" w:rsidRPr="00E07429">
        <w:rPr>
          <w:lang w:val="it-IT"/>
        </w:rPr>
        <w:t xml:space="preserve"> </w:t>
      </w:r>
    </w:p>
    <w:p w14:paraId="4F35496B" w14:textId="68131920" w:rsidR="00C94AA5" w:rsidRDefault="008A6077" w:rsidP="00B719C8">
      <w:pPr>
        <w:pStyle w:val="Affiliation"/>
      </w:pPr>
      <w:r w:rsidRPr="00B43FDE">
        <w:rPr>
          <w:vertAlign w:val="superscript"/>
        </w:rPr>
        <w:t>1</w:t>
      </w:r>
      <w:r w:rsidR="00E22BCE">
        <w:t>University of Memphis, D</w:t>
      </w:r>
      <w:r w:rsidR="00602E1D">
        <w:t>epartment of Civil Engineerin</w:t>
      </w:r>
      <w:r w:rsidR="00BE18D0">
        <w:t>g</w:t>
      </w:r>
      <w:r w:rsidR="00602E1D">
        <w:t xml:space="preserve">, </w:t>
      </w:r>
      <w:r w:rsidR="00BD2757">
        <w:t>Memphis</w:t>
      </w:r>
      <w:r w:rsidR="003F3C2C">
        <w:t>, Tennessee, USA</w:t>
      </w:r>
      <w:r w:rsidR="00C94AA5">
        <w:t>.</w:t>
      </w:r>
      <w:r w:rsidR="00325827">
        <w:t xml:space="preserve"> </w:t>
      </w:r>
      <w:r w:rsidR="00545B6C">
        <w:rPr>
          <w:vertAlign w:val="superscript"/>
        </w:rPr>
        <w:t>2</w:t>
      </w:r>
      <w:r w:rsidR="00E22BCE">
        <w:t>University of Catania, D</w:t>
      </w:r>
      <w:r w:rsidR="00602E1D">
        <w:t>epartment of Civil Engineering and Architecture, Catania, Italy</w:t>
      </w:r>
      <w:r w:rsidR="00C94AA5">
        <w:t>.</w:t>
      </w:r>
    </w:p>
    <w:p w14:paraId="67634248" w14:textId="77777777" w:rsidR="008417A4" w:rsidRDefault="008417A4" w:rsidP="00B719C8">
      <w:pPr>
        <w:pStyle w:val="Affiliation"/>
      </w:pPr>
    </w:p>
    <w:p w14:paraId="5614852F" w14:textId="7A9C8711" w:rsidR="00DE3F91" w:rsidRDefault="008A6077" w:rsidP="003137C3">
      <w:pPr>
        <w:pStyle w:val="Affiliation"/>
      </w:pPr>
      <w:r>
        <w:t>Correspond</w:t>
      </w:r>
      <w:r w:rsidR="00DE3F91">
        <w:t>ing</w:t>
      </w:r>
      <w:r>
        <w:t xml:space="preserve"> </w:t>
      </w:r>
      <w:r w:rsidR="006F662E">
        <w:t>author:</w:t>
      </w:r>
      <w:r>
        <w:t xml:space="preserve"> </w:t>
      </w:r>
      <w:r w:rsidR="000774D7">
        <w:t>Francesco Dell’Aira</w:t>
      </w:r>
      <w:r w:rsidR="00DE3F91">
        <w:t xml:space="preserve"> (</w:t>
      </w:r>
      <w:hyperlink r:id="rId11" w:history="1">
        <w:r w:rsidR="008417A4" w:rsidRPr="008943D3">
          <w:rPr>
            <w:rStyle w:val="Hyperlink"/>
          </w:rPr>
          <w:t>fdllaira@memphis.edu)</w:t>
        </w:r>
      </w:hyperlink>
      <w:r w:rsidR="00DE3F91">
        <w:t xml:space="preserve"> </w:t>
      </w:r>
    </w:p>
    <w:p w14:paraId="299263C0" w14:textId="77777777" w:rsidR="00014D21" w:rsidRDefault="00014D21" w:rsidP="003137C3">
      <w:pPr>
        <w:pStyle w:val="Affiliation"/>
      </w:pPr>
    </w:p>
    <w:p w14:paraId="5E8855FC" w14:textId="77777777" w:rsidR="00014D21" w:rsidRPr="00014D21" w:rsidRDefault="00014D21" w:rsidP="00014D21">
      <w:pPr>
        <w:pStyle w:val="Affiliation"/>
        <w:rPr>
          <w:b/>
          <w:bCs/>
        </w:rPr>
      </w:pPr>
      <w:r w:rsidRPr="00014D21">
        <w:rPr>
          <w:b/>
          <w:bCs/>
        </w:rPr>
        <w:t>Author Contributions:</w:t>
      </w:r>
    </w:p>
    <w:p w14:paraId="22051D00" w14:textId="57181F59" w:rsidR="00014D21" w:rsidRDefault="00014D21" w:rsidP="00014D21">
      <w:pPr>
        <w:pStyle w:val="Affiliation"/>
      </w:pPr>
      <w:r>
        <w:t>Funding acquisition and Supervision: C. I. Meier; Conceptualization: F. Dell’Aira and A. Cancelliere; Methodology, Software, and Data Curation: F. Dell’Aira</w:t>
      </w:r>
      <w:r w:rsidR="00D761B1">
        <w:t xml:space="preserve">; </w:t>
      </w:r>
      <w:r>
        <w:t>Writing – review &amp; editing: F. Dell’Aira and C.I. Meier</w:t>
      </w:r>
    </w:p>
    <w:p w14:paraId="7572B2D9" w14:textId="77777777" w:rsidR="00906A68" w:rsidRDefault="00906A68" w:rsidP="003137C3">
      <w:pPr>
        <w:pStyle w:val="Affiliation"/>
      </w:pPr>
    </w:p>
    <w:p w14:paraId="52EAA876" w14:textId="0F4D9CB3" w:rsidR="00C94AA5" w:rsidRDefault="00C94AA5" w:rsidP="005358D5">
      <w:pPr>
        <w:pStyle w:val="Heading-Main"/>
      </w:pPr>
      <w:r>
        <w:t>Key Points:</w:t>
      </w:r>
    </w:p>
    <w:p w14:paraId="02BB4FFB" w14:textId="36122676" w:rsidR="00C94AA5" w:rsidRDefault="00425D97" w:rsidP="00C81368">
      <w:pPr>
        <w:pStyle w:val="KeyPoints"/>
        <w:numPr>
          <w:ilvl w:val="0"/>
          <w:numId w:val="9"/>
        </w:numPr>
      </w:pPr>
      <w:r>
        <w:t xml:space="preserve">The underestimation of frequent floods </w:t>
      </w:r>
      <w:r w:rsidR="00C1281B">
        <w:t xml:space="preserve">due to frequency analysis with annual maxima displays a strong spatial pattern and can be severe. </w:t>
      </w:r>
    </w:p>
    <w:p w14:paraId="405A84B1" w14:textId="27358731" w:rsidR="00C94AA5" w:rsidRDefault="0088013C" w:rsidP="00C81368">
      <w:pPr>
        <w:pStyle w:val="KeyPoints"/>
        <w:numPr>
          <w:ilvl w:val="0"/>
          <w:numId w:val="9"/>
        </w:numPr>
      </w:pPr>
      <w:r>
        <w:t xml:space="preserve">The variability in underestimation is explained </w:t>
      </w:r>
      <w:r w:rsidR="00F65D8F">
        <w:t>by specific distributional attributes reflecting climate and basin characteristics.</w:t>
      </w:r>
    </w:p>
    <w:p w14:paraId="7764C210" w14:textId="33B6B66D" w:rsidR="00460378" w:rsidRPr="00460378" w:rsidRDefault="00460378" w:rsidP="00460378">
      <w:pPr>
        <w:pStyle w:val="KeyPoints"/>
        <w:numPr>
          <w:ilvl w:val="0"/>
          <w:numId w:val="9"/>
        </w:numPr>
      </w:pPr>
      <w:r w:rsidRPr="00460378">
        <w:t>We propose an equation to correct frequent floods predicted with annual maxima, but it is not valid in basins with mixed flood populations.</w:t>
      </w:r>
    </w:p>
    <w:p w14:paraId="6A9C6262" w14:textId="63831AB4" w:rsidR="00C94AA5" w:rsidRPr="00C81368" w:rsidRDefault="00C94AA5" w:rsidP="00460378">
      <w:pPr>
        <w:pStyle w:val="KeyPoints"/>
        <w:ind w:left="720"/>
      </w:pPr>
    </w:p>
    <w:p w14:paraId="5C03B4CB" w14:textId="77777777" w:rsidR="00B719C8" w:rsidRDefault="00B719C8">
      <w:pPr>
        <w:rPr>
          <w:color w:val="00B0F0"/>
        </w:rPr>
      </w:pPr>
      <w:r>
        <w:br w:type="page"/>
      </w:r>
    </w:p>
    <w:p w14:paraId="2659CCE1" w14:textId="77777777" w:rsidR="002F3B11" w:rsidRDefault="008A6077" w:rsidP="00C81368">
      <w:pPr>
        <w:pStyle w:val="Heading-Main"/>
      </w:pPr>
      <w:r w:rsidRPr="00987EE5">
        <w:lastRenderedPageBreak/>
        <w:t>Abstract</w:t>
      </w:r>
    </w:p>
    <w:p w14:paraId="51809AE4" w14:textId="46FB007B" w:rsidR="00DE3F91" w:rsidRPr="001E48DD" w:rsidRDefault="00B73B4B" w:rsidP="001E48DD">
      <w:pPr>
        <w:pStyle w:val="Abstract"/>
        <w:jc w:val="both"/>
      </w:pPr>
      <w:r w:rsidRPr="001E48DD">
        <w:t>Because they are conceptually unable to consider events at the sub-annual scale, probabilistic flood analyses based on annual maxima (AM) underestimate the actual frequency of frequent floods (with return periods under 5 years), so that peaks-over-threshold (POT) approaches should be preferred. While this has been acknowledged for decades, frequent floods are still estimated too often using AM, probably because the procedure is simpler, and AM series are longer and easier to obtain. However, the negative bias incurred when performing flood frequency with AM can be severe. This affects fields such as river restoration, stream ecology, and fluvial geomorphology, which require a correct characterization of frequent floods. Using hundreds of U.S. watersheds with natural flow regimes, across different climatic and geomorphic conditions, we systematically study the variability in how AM frequency analyses underestimate frequent floods, finding clear spatial patterns. Exploiting the duality between the Generalized Extreme Value and the Generalized Pareto distributions (used for modeling AM and POT, respectively), we identify the drivers of frequent-flood underestimation, studying the influence of the distributions’ shapes. In turn, with the support of an optimal feature-selection technique, we determine the physical drivers explaining underestimation, from a wide spectrum of basin descriptors, investigating their linkages with the distributional characteristics that affect underestimation. A theoretical relationship is derived to infer the underestimation rate, allowing for post-hoc correction of AM-predicted frequent floods, without the need to perform POT frequency analyses. However, this approach underperforms at sites with mixed flood populations.</w:t>
      </w:r>
    </w:p>
    <w:p w14:paraId="69A5DBFD" w14:textId="5331CD54" w:rsidR="00FC3EAC" w:rsidRPr="00FC3EAC" w:rsidRDefault="00FC3EAC" w:rsidP="00DE3F91">
      <w:pPr>
        <w:pStyle w:val="Abstract"/>
        <w:rPr>
          <w:b/>
        </w:rPr>
      </w:pPr>
      <w:r w:rsidRPr="00FC3EAC">
        <w:rPr>
          <w:b/>
        </w:rPr>
        <w:t>Plain Language Summary</w:t>
      </w:r>
    </w:p>
    <w:p w14:paraId="0FC5922B" w14:textId="72F701E8" w:rsidR="009238B9" w:rsidRPr="009238B9" w:rsidRDefault="009238B9" w:rsidP="004678FA">
      <w:pPr>
        <w:pStyle w:val="Abstract"/>
        <w:jc w:val="both"/>
      </w:pPr>
      <w:r w:rsidRPr="009238B9">
        <w:t xml:space="preserve">Engineers and river scientists perform probabilistic analyses of floods to describe how frequently a given peak discharge is equaled or exceeded at a river location. The two approaches for selecting the peak values to be analyzed yield different flood predictions: annual maxima (AM), which takes only the maximum discharge from each single year in the record, tends to underestimate flood frequency (or overestimate the average time between events) as compared to peaks-over-threshold (POT), which includes all floods above a threshold. Even though this bias becomes significant when estimating frequent floods (those that occur on average at least once every </w:t>
      </w:r>
      <w:r w:rsidR="0081288F">
        <w:t>5</w:t>
      </w:r>
      <w:r w:rsidRPr="009238B9">
        <w:t xml:space="preserve"> years), which play crucial roles in stream restoration, river ecology, and fluvial geomorphology, many still prefer AM over POT. This work studies frequent flood underestimation by AM at hundreds of U.S. basins, showing that its severity is strongly site-dependent and influenced by the climate: higher underestimation rates should be expected in arid and semi-arid regions. A theoretical correction approach is proposed to adjust the magnitude of frequent floods predicted with AM. An investigation into its limits of applicability finds poorer performances for basins where major floods happen anytime in the year, due to the occurrence of different flood-generating mechanisms.</w:t>
      </w:r>
    </w:p>
    <w:p w14:paraId="16752E20" w14:textId="77777777" w:rsidR="002F3B11" w:rsidRDefault="002F3B11" w:rsidP="00C81368">
      <w:pPr>
        <w:pStyle w:val="Heading-Main"/>
      </w:pPr>
      <w:r>
        <w:t>1 Introduction</w:t>
      </w:r>
    </w:p>
    <w:p w14:paraId="7044D284" w14:textId="302AD047" w:rsidR="00900B25" w:rsidRDefault="00900B25" w:rsidP="004678FA">
      <w:pPr>
        <w:pStyle w:val="Text"/>
        <w:jc w:val="both"/>
      </w:pPr>
      <w:r>
        <w:t xml:space="preserve">State-of-the-art methods for flood frequency analysis (FFA) use either annual maxima (AM) or peaks-over-threshold (POT) series (Pan et al., 2022). AM consider the largest event for each water year (starting on October 1, in the U.S.; Barth et al., 2017), while POT (also known as “exceedances” or partial duration series – PDS; </w:t>
      </w:r>
      <w:proofErr w:type="spellStart"/>
      <w:r>
        <w:t>Bezak</w:t>
      </w:r>
      <w:proofErr w:type="spellEnd"/>
      <w:r>
        <w:t xml:space="preserve"> et al., 2014) correspond to all the independent peaks extracted from the continuous hydrograph, that exceed a suitably defined threshold (Coles, 2001). The two methods predict average interarrival times (AITs) between two floods larger than a certain magnitude (also referred to as “events”) which are conceptually different from each other (Wang &amp; Holmes, 2020). AM-FFA produces what is conventionally </w:t>
      </w:r>
      <w:r>
        <w:lastRenderedPageBreak/>
        <w:t xml:space="preserve">referred to as return period </w:t>
      </w:r>
      <m:oMath>
        <m:r>
          <w:rPr>
            <w:rFonts w:ascii="Cambria Math" w:hAnsi="Cambria Math"/>
          </w:rPr>
          <m:t>R</m:t>
        </m:r>
      </m:oMath>
      <w:r>
        <w:t xml:space="preserve">, i.e., the average number of years with no events before a year with at least one event. Mathematically, the domain of </w:t>
      </w:r>
      <m:oMath>
        <m:r>
          <w:rPr>
            <w:rFonts w:ascii="Cambria Math" w:hAnsi="Cambria Math"/>
          </w:rPr>
          <m:t>R</m:t>
        </m:r>
      </m:oMath>
      <w:r>
        <w:t xml:space="preserve"> is (</w:t>
      </w:r>
      <w:proofErr w:type="gramStart"/>
      <w:r>
        <w:t>1,∞</w:t>
      </w:r>
      <w:proofErr w:type="gramEnd"/>
      <w:r>
        <w:t>) years, which implies that AM-FFA cannot consider events potentially occurring multiple times annually (Wang &amp; Holmes, 2020). In contrast, POT-FFA predicts an Average Recurrence Interval (</w:t>
      </w:r>
      <m:oMath>
        <m:r>
          <w:rPr>
            <w:rFonts w:ascii="Cambria Math" w:hAnsi="Cambria Math"/>
          </w:rPr>
          <m:t>ARI</m:t>
        </m:r>
      </m:oMath>
      <w:r>
        <w:t>) with domain (</w:t>
      </w:r>
      <w:proofErr w:type="gramStart"/>
      <w:r>
        <w:t>0,∞</w:t>
      </w:r>
      <w:proofErr w:type="gramEnd"/>
      <w:r>
        <w:t>) years, thus also covering more frequent events, at the sub-annual scale (Wang &amp; Holmes, 2020). This conceptual difference implies that, given the AM and POT series of peak flows observed at a given river section, the two methods will predict different AIT values between consecutive events of the same flood magnitude, independently of any sampling variability effect. Since their difference is negligible for large floods (Langbein, 1949; Wang &amp; Holmes, 2020), the two methods have often been used almost interchangeably in many FFA applications (</w:t>
      </w:r>
      <w:proofErr w:type="spellStart"/>
      <w:r>
        <w:t>Adamowski</w:t>
      </w:r>
      <w:proofErr w:type="spellEnd"/>
      <w:r>
        <w:t xml:space="preserve">, 2000; </w:t>
      </w:r>
      <w:proofErr w:type="spellStart"/>
      <w:r>
        <w:t>Bezak</w:t>
      </w:r>
      <w:proofErr w:type="spellEnd"/>
      <w:r>
        <w:t xml:space="preserve"> et al., 2014; Karim et al., 2017; Madsen et al., 1997; Metzger et al., 2020; </w:t>
      </w:r>
      <w:proofErr w:type="spellStart"/>
      <w:r>
        <w:t>Norheim</w:t>
      </w:r>
      <w:proofErr w:type="spellEnd"/>
      <w:r>
        <w:t xml:space="preserve">, 2018; </w:t>
      </w:r>
      <w:proofErr w:type="spellStart"/>
      <w:r>
        <w:t>Ouarda</w:t>
      </w:r>
      <w:proofErr w:type="spellEnd"/>
      <w:r>
        <w:t xml:space="preserve"> et al., 2006). On the other hand, if the analysis focuses on frequent floods (</w:t>
      </w:r>
      <w:proofErr w:type="gramStart"/>
      <w:r>
        <w:t>FFs;</w:t>
      </w:r>
      <w:proofErr w:type="gramEnd"/>
      <w:r>
        <w:t xml:space="preserve"> i.e., events with </w:t>
      </w:r>
      <m:oMath>
        <m:r>
          <w:rPr>
            <w:rFonts w:ascii="Cambria Math" w:hAnsi="Cambria Math"/>
          </w:rPr>
          <m:t>R</m:t>
        </m:r>
      </m:oMath>
      <w:r>
        <w:t xml:space="preserve"> not larger than 5 years), the conceptual difference between </w:t>
      </w:r>
      <m:oMath>
        <m:r>
          <w:rPr>
            <w:rFonts w:ascii="Cambria Math" w:hAnsi="Cambria Math"/>
          </w:rPr>
          <m:t>R</m:t>
        </m:r>
      </m:oMath>
      <w:r>
        <w:t xml:space="preserve"> and </w:t>
      </w:r>
      <m:oMath>
        <m:r>
          <w:rPr>
            <w:rFonts w:ascii="Cambria Math" w:hAnsi="Cambria Math"/>
          </w:rPr>
          <m:t>ARI</m:t>
        </m:r>
      </m:oMath>
      <w:r>
        <w:t xml:space="preserve"> may translate into significantly different numerical values of the AITs predicted by the two methods, for the same flood magnitude (Ball et al., 2019; Karim et al., 2017; </w:t>
      </w:r>
      <w:proofErr w:type="spellStart"/>
      <w:r>
        <w:t>Wyżga</w:t>
      </w:r>
      <w:proofErr w:type="spellEnd"/>
      <w:r>
        <w:t xml:space="preserve">, 1995). </w:t>
      </w:r>
      <m:oMath>
        <m:r>
          <w:rPr>
            <w:rFonts w:ascii="Cambria Math" w:hAnsi="Cambria Math"/>
          </w:rPr>
          <m:t>R</m:t>
        </m:r>
      </m:oMath>
      <w:r>
        <w:t xml:space="preserve"> predicted for a given FF by AM-FFA is larger than its corresponding </w:t>
      </w:r>
      <m:oMath>
        <m:r>
          <w:rPr>
            <w:rFonts w:ascii="Cambria Math" w:hAnsi="Cambria Math"/>
          </w:rPr>
          <m:t>ARI</m:t>
        </m:r>
      </m:oMath>
      <w:r>
        <w:t xml:space="preserve"> from POT-FFA (Langbein, 1949). Under the assumption that the annual number of exceedances follows a Poisson distribution (Wang &amp; Holmes, 2020), Eq. (1) provides Langbein’s relationship between </w:t>
      </w:r>
      <m:oMath>
        <m:r>
          <w:rPr>
            <w:rFonts w:ascii="Cambria Math" w:hAnsi="Cambria Math"/>
          </w:rPr>
          <m:t>R</m:t>
        </m:r>
      </m:oMath>
      <w:r>
        <w:t xml:space="preserve"> and </w:t>
      </w:r>
      <m:oMath>
        <m:r>
          <w:rPr>
            <w:rFonts w:ascii="Cambria Math" w:hAnsi="Cambria Math"/>
          </w:rPr>
          <m:t>ARI</m:t>
        </m:r>
      </m:oMath>
      <w:r>
        <w:t xml:space="preserve"> for a given flood of magnitude </w:t>
      </w:r>
      <m:oMath>
        <m:r>
          <w:rPr>
            <w:rFonts w:ascii="Cambria Math" w:hAnsi="Cambria Math"/>
          </w:rPr>
          <m:t>Q</m:t>
        </m:r>
      </m:oMath>
      <w:r>
        <w:t xml:space="preserve"> (Langbein, 1949).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4"/>
        <w:gridCol w:w="616"/>
      </w:tblGrid>
      <w:tr w:rsidR="004678FA" w:rsidRPr="00E048E4" w14:paraId="6A35B95B" w14:textId="77777777" w:rsidTr="0007665F">
        <w:tc>
          <w:tcPr>
            <w:tcW w:w="8444" w:type="dxa"/>
          </w:tcPr>
          <w:p w14:paraId="5DC0C081" w14:textId="6FFF27E8" w:rsidR="004678FA" w:rsidRPr="004678FA" w:rsidRDefault="00990971" w:rsidP="0007665F">
            <w:pPr>
              <w:jc w:val="both"/>
              <w:rPr>
                <w:rFonts w:eastAsiaTheme="majorEastAsia"/>
                <w:sz w:val="24"/>
                <w:szCs w:val="24"/>
                <w:lang w:val="en-US"/>
              </w:rPr>
            </w:pPr>
            <m:oMathPara>
              <m:oMath>
                <m:f>
                  <m:fPr>
                    <m:ctrlPr>
                      <w:rPr>
                        <w:rFonts w:ascii="Cambria Math" w:eastAsia="MS Gothic" w:hAnsi="Cambria Math"/>
                        <w:i/>
                        <w:sz w:val="24"/>
                        <w:szCs w:val="24"/>
                        <w:lang w:val="en-US"/>
                      </w:rPr>
                    </m:ctrlPr>
                  </m:fPr>
                  <m:num>
                    <m:r>
                      <w:rPr>
                        <w:rFonts w:ascii="Cambria Math" w:eastAsia="MS Gothic" w:hAnsi="Cambria Math"/>
                        <w:sz w:val="24"/>
                        <w:szCs w:val="24"/>
                        <w:lang w:val="en-US"/>
                      </w:rPr>
                      <m:t>1</m:t>
                    </m:r>
                  </m:num>
                  <m:den>
                    <m:r>
                      <w:rPr>
                        <w:rFonts w:ascii="Cambria Math" w:eastAsia="MS Gothic" w:hAnsi="Cambria Math"/>
                        <w:sz w:val="24"/>
                        <w:szCs w:val="24"/>
                        <w:lang w:val="en-US"/>
                      </w:rPr>
                      <m:t>R(Q)</m:t>
                    </m:r>
                  </m:den>
                </m:f>
                <m:r>
                  <w:rPr>
                    <w:rFonts w:ascii="Cambria Math" w:eastAsia="MS Gothic" w:hAnsi="Cambria Math"/>
                    <w:sz w:val="24"/>
                    <w:szCs w:val="24"/>
                    <w:lang w:val="en-US"/>
                  </w:rPr>
                  <m:t>=1-</m:t>
                </m:r>
                <m:func>
                  <m:funcPr>
                    <m:ctrlPr>
                      <w:rPr>
                        <w:rFonts w:ascii="Cambria Math" w:eastAsia="MS Gothic" w:hAnsi="Cambria Math"/>
                        <w:i/>
                        <w:sz w:val="24"/>
                        <w:szCs w:val="24"/>
                        <w:lang w:val="en-US"/>
                      </w:rPr>
                    </m:ctrlPr>
                  </m:funcPr>
                  <m:fName>
                    <m:r>
                      <m:rPr>
                        <m:sty m:val="p"/>
                      </m:rPr>
                      <w:rPr>
                        <w:rFonts w:ascii="Cambria Math" w:eastAsia="MS Gothic" w:hAnsi="Cambria Math"/>
                        <w:sz w:val="24"/>
                        <w:szCs w:val="24"/>
                        <w:lang w:val="en-US"/>
                      </w:rPr>
                      <m:t>exp</m:t>
                    </m:r>
                  </m:fName>
                  <m:e>
                    <m:d>
                      <m:dPr>
                        <m:ctrlPr>
                          <w:rPr>
                            <w:rFonts w:ascii="Cambria Math" w:eastAsia="MS Gothic" w:hAnsi="Cambria Math"/>
                            <w:i/>
                            <w:sz w:val="24"/>
                            <w:szCs w:val="24"/>
                            <w:lang w:val="en-US"/>
                          </w:rPr>
                        </m:ctrlPr>
                      </m:dPr>
                      <m:e>
                        <m:r>
                          <w:rPr>
                            <w:rFonts w:ascii="Cambria Math" w:eastAsia="MS Gothic" w:hAnsi="Cambria Math"/>
                            <w:sz w:val="24"/>
                            <w:szCs w:val="24"/>
                            <w:lang w:val="en-US"/>
                          </w:rPr>
                          <m:t>-</m:t>
                        </m:r>
                        <m:f>
                          <m:fPr>
                            <m:ctrlPr>
                              <w:rPr>
                                <w:rFonts w:ascii="Cambria Math" w:eastAsia="MS Gothic" w:hAnsi="Cambria Math"/>
                                <w:i/>
                                <w:sz w:val="24"/>
                                <w:szCs w:val="24"/>
                                <w:lang w:val="en-US"/>
                              </w:rPr>
                            </m:ctrlPr>
                          </m:fPr>
                          <m:num>
                            <m:r>
                              <w:rPr>
                                <w:rFonts w:ascii="Cambria Math" w:eastAsia="MS Gothic" w:hAnsi="Cambria Math"/>
                                <w:sz w:val="24"/>
                                <w:szCs w:val="24"/>
                                <w:lang w:val="en-US"/>
                              </w:rPr>
                              <m:t>1</m:t>
                            </m:r>
                          </m:num>
                          <m:den>
                            <m:r>
                              <w:rPr>
                                <w:rFonts w:ascii="Cambria Math" w:eastAsia="MS Gothic" w:hAnsi="Cambria Math"/>
                                <w:sz w:val="24"/>
                                <w:szCs w:val="24"/>
                                <w:lang w:val="en-US"/>
                              </w:rPr>
                              <m:t>ARI(Q)</m:t>
                            </m:r>
                          </m:den>
                        </m:f>
                      </m:e>
                    </m:d>
                  </m:e>
                </m:func>
              </m:oMath>
            </m:oMathPara>
          </w:p>
        </w:tc>
        <w:tc>
          <w:tcPr>
            <w:tcW w:w="616" w:type="dxa"/>
            <w:vAlign w:val="center"/>
          </w:tcPr>
          <w:p w14:paraId="46A605B5" w14:textId="4EE94179" w:rsidR="004678FA" w:rsidRPr="004678FA" w:rsidRDefault="004678FA" w:rsidP="0007665F">
            <w:pPr>
              <w:jc w:val="both"/>
              <w:rPr>
                <w:rFonts w:eastAsiaTheme="majorEastAsia"/>
                <w:sz w:val="24"/>
                <w:szCs w:val="24"/>
                <w:lang w:val="en-US"/>
              </w:rPr>
            </w:pPr>
            <w:r w:rsidRPr="004678FA">
              <w:rPr>
                <w:rFonts w:eastAsiaTheme="majorEastAsia"/>
                <w:sz w:val="24"/>
                <w:szCs w:val="24"/>
                <w:lang w:val="en-US"/>
              </w:rPr>
              <w:t>(</w:t>
            </w:r>
            <w:r w:rsidR="002C285C">
              <w:rPr>
                <w:sz w:val="24"/>
                <w:szCs w:val="24"/>
              </w:rPr>
              <w:t>1</w:t>
            </w:r>
            <w:r w:rsidRPr="004678FA">
              <w:rPr>
                <w:sz w:val="24"/>
                <w:szCs w:val="24"/>
                <w:lang w:val="en-US"/>
              </w:rPr>
              <w:t>)</w:t>
            </w:r>
          </w:p>
        </w:tc>
      </w:tr>
    </w:tbl>
    <w:p w14:paraId="730CA4E6" w14:textId="226B9CA7" w:rsidR="00900B25" w:rsidRDefault="00900B25" w:rsidP="001E48DD">
      <w:pPr>
        <w:pStyle w:val="Text"/>
        <w:contextualSpacing/>
        <w:jc w:val="both"/>
      </w:pPr>
      <w:r>
        <w:t xml:space="preserve">The AIT between two FF events estimated from </w:t>
      </w:r>
      <m:oMath>
        <m:r>
          <w:rPr>
            <w:rFonts w:ascii="Cambria Math" w:hAnsi="Cambria Math"/>
          </w:rPr>
          <m:t>R</m:t>
        </m:r>
      </m:oMath>
      <w:r>
        <w:t xml:space="preserve"> may not reflect the real, higher frequency of occurrence of that FF, because using yearly time-blocks for sampling extreme events cannot accurately capture the interarrival time of frequent peaks, that may occur more than once per year. For such frequent events, the </w:t>
      </w:r>
      <m:oMath>
        <m:r>
          <w:rPr>
            <w:rFonts w:ascii="Cambria Math" w:hAnsi="Cambria Math"/>
          </w:rPr>
          <m:t>ARI</m:t>
        </m:r>
      </m:oMath>
      <w:r>
        <w:t xml:space="preserve"> from POT-FFA represents a better and conceptually more appropriate estimate of the actual AIT between two occurrences than the return period </w:t>
      </w:r>
      <m:oMath>
        <m:r>
          <w:rPr>
            <w:rFonts w:ascii="Cambria Math" w:hAnsi="Cambria Math"/>
          </w:rPr>
          <m:t>R</m:t>
        </m:r>
      </m:oMath>
      <w:r>
        <w:t xml:space="preserve"> (Ball et al., 2019; Karim et al., 2017; Wyżga, 1995). </w:t>
      </w:r>
    </w:p>
    <w:p w14:paraId="471EFFFE" w14:textId="49B50C79" w:rsidR="00900B25" w:rsidRDefault="00900B25" w:rsidP="001E48DD">
      <w:pPr>
        <w:pStyle w:val="Text"/>
        <w:contextualSpacing/>
        <w:jc w:val="both"/>
      </w:pPr>
      <w:r>
        <w:t xml:space="preserve">Overestimating the AIT of a given FF event when using AM-FFA is equivalent to underestimating its frequency. If the focus of the analysis is identifying the flood peak magnitude </w:t>
      </w:r>
      <m:oMath>
        <m:r>
          <w:rPr>
            <w:rFonts w:ascii="Cambria Math" w:hAnsi="Cambria Math"/>
          </w:rPr>
          <m:t>Q</m:t>
        </m:r>
      </m:oMath>
      <w:r>
        <w:t xml:space="preserve"> that can occur with a given average frequency or AIT (e.g., once every 2 years), performing AM-FFA would result in underestimating </w:t>
      </w:r>
      <m:oMath>
        <m:r>
          <w:rPr>
            <w:rFonts w:ascii="Cambria Math" w:hAnsi="Cambria Math"/>
          </w:rPr>
          <m:t>Q</m:t>
        </m:r>
      </m:oMath>
      <w:r>
        <w:t>.</w:t>
      </w:r>
    </w:p>
    <w:p w14:paraId="0B4F979B" w14:textId="77777777" w:rsidR="00900B25" w:rsidRDefault="00900B25" w:rsidP="001E48DD">
      <w:pPr>
        <w:pStyle w:val="Text"/>
        <w:contextualSpacing/>
        <w:jc w:val="both"/>
      </w:pPr>
      <w:r>
        <w:t>There are multiple issues connected to the use of AM series for FFA. Two well-known drawbacks are: 1) a limited number of peak values, as compared to POT, for the same flow record (</w:t>
      </w:r>
      <w:proofErr w:type="spellStart"/>
      <w:r>
        <w:t>Bezak</w:t>
      </w:r>
      <w:proofErr w:type="spellEnd"/>
      <w:r>
        <w:t xml:space="preserve"> et al., 2014; </w:t>
      </w:r>
      <w:proofErr w:type="spellStart"/>
      <w:r>
        <w:t>Caires</w:t>
      </w:r>
      <w:proofErr w:type="spellEnd"/>
      <w:r>
        <w:t xml:space="preserve">, 2009; Cunnane, 1973; Pan et al., 2022; </w:t>
      </w:r>
      <w:proofErr w:type="spellStart"/>
      <w:r>
        <w:t>Prosdocimi</w:t>
      </w:r>
      <w:proofErr w:type="spellEnd"/>
      <w:r>
        <w:t xml:space="preserve">, 2018; Robson &amp; Reed, 1999; Tavares &amp; Da Silva, 1983), and 2) the risk of including low peaks from dry years in the analysis (Cohn et al., 2013; England et al., 2019; Lamontagne et al., 2016; </w:t>
      </w:r>
      <w:proofErr w:type="spellStart"/>
      <w:r>
        <w:t>Plavšić</w:t>
      </w:r>
      <w:proofErr w:type="spellEnd"/>
      <w:r>
        <w:t xml:space="preserve"> et al., 2016), which may arise from different hydrological mechanisms than the other peaks, and therefore come from a different population, violating the necessary assumption of </w:t>
      </w:r>
      <w:proofErr w:type="spellStart"/>
      <w:r>
        <w:t>i.i.d.</w:t>
      </w:r>
      <w:proofErr w:type="spellEnd"/>
      <w:r>
        <w:t xml:space="preserve"> events (</w:t>
      </w:r>
      <w:proofErr w:type="spellStart"/>
      <w:r>
        <w:t>Klemeš</w:t>
      </w:r>
      <w:proofErr w:type="spellEnd"/>
      <w:r>
        <w:t xml:space="preserve">, 2000). Because of the first issue, national guidelines from different countries recommend minimum record lengths for performing AM-FFA (Robson &amp; Reed, 1999; England et al., 2019). As to the low outliers, often referred to as “potentially influential low flows” (PILFs; Cohn et al., 2013), U.S. Bulletin 17C (England et al., 2019) recommends their preliminary removal from AM series using the “multiple Grubbs-Beck test” (MGBT; Cohn et al., 2013). </w:t>
      </w:r>
    </w:p>
    <w:p w14:paraId="0777D11B" w14:textId="2DF4A05A" w:rsidR="00900B25" w:rsidRDefault="00900B25" w:rsidP="001E48DD">
      <w:pPr>
        <w:pStyle w:val="Text"/>
        <w:contextualSpacing/>
        <w:jc w:val="both"/>
      </w:pPr>
      <w:r>
        <w:t xml:space="preserve">FF-underestimation is another well-known issue of AM-FFA (Langbein, 1949), but apparently it has not received the same attention in the hydrologic community. In the U.S., e.g., AM- has often been preferred over POT-FFA by many governmental agencies (e.g., Feaster et al., </w:t>
      </w:r>
      <w:r>
        <w:lastRenderedPageBreak/>
        <w:t xml:space="preserve">2014; Kennedy &amp; </w:t>
      </w:r>
      <w:proofErr w:type="spellStart"/>
      <w:r>
        <w:t>Paretti</w:t>
      </w:r>
      <w:proofErr w:type="spellEnd"/>
      <w:r>
        <w:t xml:space="preserve">, 2014; Law &amp; Tasker, 2003; Southard, 2010, Virginia Department of Transportation, 2021), even when predicting FFs with return periods as low as, e.g., 2 years, or even less. The use of state-of-the-art techniques (such as MGBT) may remove small peaks from AM series, which would be automatically ignored in the corresponding POT series. However, this does not resolve the issue of FF underestimation, which is not due to the presence of PILFs in the AM, but rather to the fundamental conceptual difference between </w:t>
      </w:r>
      <m:oMath>
        <m:r>
          <w:rPr>
            <w:rFonts w:ascii="Cambria Math" w:hAnsi="Cambria Math"/>
          </w:rPr>
          <m:t>R</m:t>
        </m:r>
      </m:oMath>
      <w:r>
        <w:t xml:space="preserve"> and </w:t>
      </w:r>
      <m:oMath>
        <m:r>
          <w:rPr>
            <w:rFonts w:ascii="Cambria Math" w:hAnsi="Cambria Math"/>
          </w:rPr>
          <m:t>ARI</m:t>
        </m:r>
      </m:oMath>
      <w:r>
        <w:t xml:space="preserve">. </w:t>
      </w:r>
    </w:p>
    <w:p w14:paraId="1A9DAA57" w14:textId="77777777" w:rsidR="00900B25" w:rsidRDefault="00900B25" w:rsidP="001E48DD">
      <w:pPr>
        <w:pStyle w:val="Text"/>
        <w:contextualSpacing/>
        <w:jc w:val="both"/>
      </w:pPr>
      <w:r>
        <w:t>There is a number of reasons why AM-FFA still enjoys greater popularity, such as: 1) wider availability of AM series as compared to POT (</w:t>
      </w:r>
      <w:proofErr w:type="spellStart"/>
      <w:r>
        <w:t>Norheim</w:t>
      </w:r>
      <w:proofErr w:type="spellEnd"/>
      <w:r>
        <w:t xml:space="preserve">, 2018; </w:t>
      </w:r>
      <w:proofErr w:type="spellStart"/>
      <w:r>
        <w:t>Prosdocimi</w:t>
      </w:r>
      <w:proofErr w:type="spellEnd"/>
      <w:r>
        <w:t xml:space="preserve"> et al., 2014); 2) greater simplicity since, in contrast with POT-, AM-FFA does not require applying independence criteria between subsequent flood events, nor selecting a threshold for defining extreme events (Pan et al., 2022); 3) the range of quantiles affected by FF underestimation is irrelevant in many engineering applications, which focus on more extreme, higher return-period floods. </w:t>
      </w:r>
    </w:p>
    <w:p w14:paraId="2D9C818E" w14:textId="77777777" w:rsidR="00900B25" w:rsidRDefault="00900B25" w:rsidP="001E48DD">
      <w:pPr>
        <w:pStyle w:val="Text"/>
        <w:contextualSpacing/>
        <w:jc w:val="both"/>
      </w:pPr>
      <w:r>
        <w:t>With reference to the latter issue, major civil engineering works subject to risk of flooding, such as bridges (Benedict &amp; Knight, 2021), storm sewers (Sun et al., 2011), dam-drainage systems (</w:t>
      </w:r>
      <w:proofErr w:type="spellStart"/>
      <w:r>
        <w:t>Khaddor</w:t>
      </w:r>
      <w:proofErr w:type="spellEnd"/>
      <w:r>
        <w:t xml:space="preserve"> et al., 2021), levees (Huang et al., 2015), and other hydraulic structures for river flood control (Cipollini et al., 2021; </w:t>
      </w:r>
      <w:proofErr w:type="spellStart"/>
      <w:r>
        <w:t>Lendering</w:t>
      </w:r>
      <w:proofErr w:type="spellEnd"/>
      <w:r>
        <w:t xml:space="preserve"> et al., 2019; </w:t>
      </w:r>
      <w:proofErr w:type="spellStart"/>
      <w:r>
        <w:t>Scussolini</w:t>
      </w:r>
      <w:proofErr w:type="spellEnd"/>
      <w:r>
        <w:t xml:space="preserve"> et al., 2016) are all designed to withstand relatively extreme events, with large return periods (Ponce, 1989; </w:t>
      </w:r>
      <w:proofErr w:type="spellStart"/>
      <w:r>
        <w:t>Rasekh</w:t>
      </w:r>
      <w:proofErr w:type="spellEnd"/>
      <w:r>
        <w:t xml:space="preserve"> et al., 2010; Sayers et al., 2013), depending on their strategic importance and the threat that their failure would pose to human lives and properties (Cipollini et al., 2021; </w:t>
      </w:r>
      <w:proofErr w:type="spellStart"/>
      <w:r>
        <w:t>Lendering</w:t>
      </w:r>
      <w:proofErr w:type="spellEnd"/>
      <w:r>
        <w:t xml:space="preserve"> et al., 2019; Morrison et al., 2018; Shah et al., 2018; Tung, 2005; Vogel &amp; </w:t>
      </w:r>
      <w:proofErr w:type="spellStart"/>
      <w:r>
        <w:t>Castellarin</w:t>
      </w:r>
      <w:proofErr w:type="spellEnd"/>
      <w:r>
        <w:t xml:space="preserve">, 2017). However, there are many other applications where accurate prediction of frequent floods is critical. Regular, low-magnitude floods play a more relevant role than extreme (but rarer)  inundation events in a series of river-related phenomena such as changes in fluvial morphology (Death et al., 2015; Harvey et al., 1979; Wolman &amp; Miller, 1960), sediment transport (Markus &amp; </w:t>
      </w:r>
      <w:proofErr w:type="spellStart"/>
      <w:r>
        <w:t>Demissie</w:t>
      </w:r>
      <w:proofErr w:type="spellEnd"/>
      <w:r>
        <w:t xml:space="preserve">, 2006), and dynamics of the stream ecosystem (Bendix &amp; Hupp, 2000; Johnson et al., 1995; Meier, 2008), which are all crucial aspects in river restoration projects and river science (Wohl et al., 2015). Much research on fluvial geomorphology focuses on the role of FFs (e.g., with return periods between one and two years), which have been shown to simultaneously perform sufficient geomorphic work as well as occur frequently enough, so they tend to determine the channel’s shape (Death et al., 2015; Harvey et al., 1979; Wolman &amp; Miller, 1960). In river ecology, </w:t>
      </w:r>
      <w:proofErr w:type="gramStart"/>
      <w:r>
        <w:t>FFs</w:t>
      </w:r>
      <w:proofErr w:type="gramEnd"/>
      <w:r>
        <w:t xml:space="preserve"> affect the dynamic interactions between main channel and floodplain, with major impacts on the extension of the habitats cyclically available to the aquatic biota (Johnson et al., 1995; Wohl et al., 2015) and riparian vegetation (Bendix &amp; Hupp, 2000; Meier, 2008; Wohl et al., 2015). </w:t>
      </w:r>
    </w:p>
    <w:p w14:paraId="6822F608" w14:textId="77777777" w:rsidR="00900B25" w:rsidRDefault="00900B25" w:rsidP="001E48DD">
      <w:pPr>
        <w:pStyle w:val="Text"/>
        <w:contextualSpacing/>
        <w:jc w:val="both"/>
      </w:pPr>
      <w:r>
        <w:t>Biased FF predictions from using AM may negatively affect scientific and practical progress in these fields. For instance, a river restored based on the wrong design discharge may end up flooding as much as three times more often than per-design conditions, which could cause channel unravelling; similarly, environmental studies on river ecology and geomorphology, where FFs play a dominant role, may be based on wrong assumptions.</w:t>
      </w:r>
    </w:p>
    <w:p w14:paraId="20457BC2" w14:textId="43D91AA6" w:rsidR="00900B25" w:rsidRDefault="00900B25" w:rsidP="001E48DD">
      <w:pPr>
        <w:pStyle w:val="Text"/>
        <w:contextualSpacing/>
        <w:jc w:val="both"/>
      </w:pPr>
      <w:r>
        <w:t xml:space="preserve"> So far, FF-underestimation has been systematically investigated only in a few regions of the world, such as Poland (</w:t>
      </w:r>
      <w:proofErr w:type="spellStart"/>
      <w:r>
        <w:t>Wyżga</w:t>
      </w:r>
      <w:proofErr w:type="spellEnd"/>
      <w:r>
        <w:t xml:space="preserve">, 1995) and Australia (Karim et al., 2017; </w:t>
      </w:r>
      <w:proofErr w:type="spellStart"/>
      <w:r>
        <w:t>Keast</w:t>
      </w:r>
      <w:proofErr w:type="spellEnd"/>
      <w:r>
        <w:t xml:space="preserve"> &amp; Ellison, 2013). These authors suggest that the degree of FF underestimation is site-dependent, with the variability attributed to differences in the climate and resulting flow regime across catchments, as rivers with flashy behavior, typical of dry regions, experienced greater FF underestimation from AM-FFA than rivers in more humid regions, characterized by more stable flows (</w:t>
      </w:r>
      <w:r w:rsidR="009C75F8">
        <w:t xml:space="preserve">Karim et al., 2017; </w:t>
      </w:r>
      <w:proofErr w:type="spellStart"/>
      <w:r>
        <w:t>Wyżga</w:t>
      </w:r>
      <w:proofErr w:type="spellEnd"/>
      <w:r>
        <w:t xml:space="preserve">, 1995). Some authors (e.g., </w:t>
      </w:r>
      <w:proofErr w:type="spellStart"/>
      <w:r>
        <w:t>Keast</w:t>
      </w:r>
      <w:proofErr w:type="spellEnd"/>
      <w:r>
        <w:t xml:space="preserve"> &amp; Ellison, 2013</w:t>
      </w:r>
      <w:r w:rsidR="009C75F8">
        <w:t>; Page &amp; McElroy, 1981</w:t>
      </w:r>
      <w:r>
        <w:t xml:space="preserve">) pointed out that Langbein’s equation (Eq. 1) may misestimate the actual difference between </w:t>
      </w:r>
      <m:oMath>
        <m:r>
          <w:rPr>
            <w:rFonts w:ascii="Cambria Math" w:hAnsi="Cambria Math"/>
          </w:rPr>
          <m:t>R</m:t>
        </m:r>
      </m:oMath>
      <w:r>
        <w:t xml:space="preserve"> and </w:t>
      </w:r>
      <m:oMath>
        <m:r>
          <w:rPr>
            <w:rFonts w:ascii="Cambria Math" w:hAnsi="Cambria Math"/>
          </w:rPr>
          <m:t>ARI</m:t>
        </m:r>
      </m:oMath>
      <w:r>
        <w:t xml:space="preserve"> of FFs in </w:t>
      </w:r>
      <w:r>
        <w:lastRenderedPageBreak/>
        <w:t xml:space="preserve">some Australian basins. Keats &amp; Ellison (2013) suggested that this could be due to a violation of the assumption of event independence, when extracting the PDS from long-term hydrographs. </w:t>
      </w:r>
    </w:p>
    <w:p w14:paraId="24A975B4" w14:textId="77777777" w:rsidR="00900B25" w:rsidRDefault="00900B25" w:rsidP="001E48DD">
      <w:pPr>
        <w:pStyle w:val="Text"/>
        <w:contextualSpacing/>
        <w:jc w:val="both"/>
      </w:pPr>
      <w:r>
        <w:t xml:space="preserve">Our work stems from the idea that a systematic comparison of FF predictions from AM and POT series at a wider, e.g., continental scale, can provide a deeper insight into the phenomenon of FF underestimation by AM-FFA and its climatic dependence. We choose the continental U.S. (CONUS) as study region, since FF underestimation by AM-FFA has not been systematically investigated there, yet.  </w:t>
      </w:r>
    </w:p>
    <w:p w14:paraId="14154506" w14:textId="4D6FEC0F" w:rsidR="00900B25" w:rsidRDefault="00900B25" w:rsidP="001E48DD">
      <w:pPr>
        <w:pStyle w:val="Text"/>
        <w:contextualSpacing/>
        <w:jc w:val="both"/>
      </w:pPr>
      <w:r>
        <w:t xml:space="preserve">Exploiting the duality between AM- and POT-FFA, valid under certain hypotheses (Wang &amp; Holmes, 2020), we derive a theoretical expression of the underestimation of the </w:t>
      </w:r>
      <m:oMath>
        <m:r>
          <w:rPr>
            <w:rFonts w:ascii="Cambria Math" w:hAnsi="Cambria Math"/>
          </w:rPr>
          <m:t>T</m:t>
        </m:r>
      </m:oMath>
      <w:r>
        <w:t xml:space="preserve">-year quantile from AM-FFA, as compared to POT-FFA, as a function of </w:t>
      </w:r>
      <m:oMath>
        <m:r>
          <w:rPr>
            <w:rFonts w:ascii="Cambria Math" w:hAnsi="Cambria Math"/>
          </w:rPr>
          <m:t>T</m:t>
        </m:r>
      </m:oMath>
      <w:r>
        <w:t xml:space="preserve"> and the parameters of the distribution of AM. This equation can be used directly to correct AM-based estimates of FF quantiles, without needing to perform POT-FFA. </w:t>
      </w:r>
    </w:p>
    <w:p w14:paraId="0F05A75D" w14:textId="77777777" w:rsidR="00900B25" w:rsidRDefault="00900B25" w:rsidP="001E48DD">
      <w:pPr>
        <w:pStyle w:val="Text"/>
        <w:contextualSpacing/>
        <w:jc w:val="both"/>
      </w:pPr>
      <w:r>
        <w:t xml:space="preserve">It is known from decades of regionalization studies (e.g., </w:t>
      </w:r>
      <w:proofErr w:type="spellStart"/>
      <w:r>
        <w:t>Adamowski</w:t>
      </w:r>
      <w:proofErr w:type="spellEnd"/>
      <w:r>
        <w:t xml:space="preserve">, 2000; Burn, 1997; </w:t>
      </w:r>
      <w:proofErr w:type="spellStart"/>
      <w:r>
        <w:t>Castellarin</w:t>
      </w:r>
      <w:proofErr w:type="spellEnd"/>
      <w:r>
        <w:t xml:space="preserve"> et al., 2001; Dalrymple, 1960; Hosking &amp; Wallis, 1997; Hosking et al., 1985; </w:t>
      </w:r>
      <w:proofErr w:type="spellStart"/>
      <w:r>
        <w:t>Laio</w:t>
      </w:r>
      <w:proofErr w:type="spellEnd"/>
      <w:r>
        <w:t xml:space="preserve"> et al., 2011; </w:t>
      </w:r>
      <w:proofErr w:type="spellStart"/>
      <w:r>
        <w:t>Lun</w:t>
      </w:r>
      <w:proofErr w:type="spellEnd"/>
      <w:r>
        <w:t xml:space="preserve"> et al., 2021; Madsen et al., 1997; Metzger et al., 2020; Smith et al., 2015; </w:t>
      </w:r>
      <w:proofErr w:type="spellStart"/>
      <w:r>
        <w:t>Stedinger</w:t>
      </w:r>
      <w:proofErr w:type="spellEnd"/>
      <w:r>
        <w:t xml:space="preserve"> &amp; Lu, 1995; Zaman et al., 2012; </w:t>
      </w:r>
      <w:proofErr w:type="spellStart"/>
      <w:r>
        <w:t>Zrinji</w:t>
      </w:r>
      <w:proofErr w:type="spellEnd"/>
      <w:r>
        <w:t xml:space="preserve"> &amp; Burn, 1994) that there exist linkages between watershed characteristics and the parameters of flood distributions. Hence, the relationship between FF underestimation and the characteristics of the flood distribution can also be used to identify basin and climatic attributes that, through their influence on flood distributions, contribute to the spatial variability in FF underestimation. We deploy a wrapper method for feature selection (Babatunde et al., 2014; Huang et al., 2007) for this purpose. The list of candidate watershed characteristics encompasses a wide spectrum of information, including topographic, geomorphic, land-cover, and climatic descriptors, as well as hydrologic signatures (</w:t>
      </w:r>
      <w:proofErr w:type="spellStart"/>
      <w:r>
        <w:t>Addor</w:t>
      </w:r>
      <w:proofErr w:type="spellEnd"/>
      <w:r>
        <w:t xml:space="preserve"> et al., 2017). We also consider indicators of flow seasonality, derived from peak series using circular statistics (</w:t>
      </w:r>
      <w:proofErr w:type="spellStart"/>
      <w:r>
        <w:t>Villarini</w:t>
      </w:r>
      <w:proofErr w:type="spellEnd"/>
      <w:r>
        <w:t xml:space="preserve">, 2016).  </w:t>
      </w:r>
    </w:p>
    <w:p w14:paraId="66F24664" w14:textId="77777777" w:rsidR="00900B25" w:rsidRDefault="00900B25" w:rsidP="001E48DD">
      <w:pPr>
        <w:pStyle w:val="Text"/>
        <w:contextualSpacing/>
        <w:jc w:val="both"/>
      </w:pPr>
      <w:r>
        <w:t xml:space="preserve">The large scale of this study also allows us to obtain a clearer view of the regions (and their characteristics) where Langbein’s equation misestimates the difference between R and ARI of FFs. </w:t>
      </w:r>
    </w:p>
    <w:p w14:paraId="0DC46DFA" w14:textId="77835F96" w:rsidR="00900B25" w:rsidRDefault="00900B25" w:rsidP="001E48DD">
      <w:pPr>
        <w:pStyle w:val="Text"/>
        <w:contextualSpacing/>
        <w:jc w:val="both"/>
      </w:pPr>
      <w:bookmarkStart w:id="0" w:name="_Hlk140047911"/>
      <w:r>
        <w:t>To sum up</w:t>
      </w:r>
      <w:bookmarkEnd w:id="0"/>
      <w:r>
        <w:t xml:space="preserve">, the contributions of this work can be synthesized as follows: 1) rigorously frame the phenomenon of FF underestimation from AM, allowing for a better understanding of the physical and theoretical drivers of variability in underestimation across varied sites; 2) provide a framework for preliminary estimates of the degree of FF underestimation by AM-FFA in a given basin, based only on its location and physical characteristics; 3) contribute a rigorous, theoretical method to correct AM-based estimates of FFs without performing POT-FFA in the first place, thus overcoming the common difficulties that POT-FFA typically entails; and 4) investigate where and why this theoretical method, as well as Langbein’s equation, are (or are not) valid in real-world applications, possibly revisiting the explanation provided by </w:t>
      </w:r>
      <w:proofErr w:type="spellStart"/>
      <w:r>
        <w:t>Keast</w:t>
      </w:r>
      <w:proofErr w:type="spellEnd"/>
      <w:r>
        <w:t xml:space="preserve"> &amp; Ellison (2013).</w:t>
      </w:r>
    </w:p>
    <w:p w14:paraId="7A8760A4" w14:textId="7A1CF25A" w:rsidR="002F3B11" w:rsidRDefault="002F3B11" w:rsidP="00C81368">
      <w:pPr>
        <w:pStyle w:val="Heading-Main"/>
      </w:pPr>
      <w:r>
        <w:t>2 Method</w:t>
      </w:r>
      <w:r w:rsidR="00257331">
        <w:t>ology</w:t>
      </w:r>
    </w:p>
    <w:p w14:paraId="5F2FC976" w14:textId="622B85AB" w:rsidR="00ED50E4" w:rsidRPr="00696DD1" w:rsidRDefault="00ED50E4" w:rsidP="00DD4140">
      <w:pPr>
        <w:ind w:firstLine="720"/>
        <w:rPr>
          <w:sz w:val="24"/>
          <w:szCs w:val="24"/>
        </w:rPr>
      </w:pPr>
      <w:r w:rsidRPr="00696DD1">
        <w:rPr>
          <w:sz w:val="24"/>
          <w:szCs w:val="24"/>
        </w:rPr>
        <w:t xml:space="preserve">Figure 1 shows a conceptual map of the methodological steps of this work, which are described in more detail in the following subsections. </w:t>
      </w:r>
    </w:p>
    <w:p w14:paraId="2695F5EC" w14:textId="14AE5A71" w:rsidR="001E48DD" w:rsidRDefault="00846E27" w:rsidP="001E48DD">
      <w:r>
        <w:rPr>
          <w:noProof/>
        </w:rPr>
        <w:lastRenderedPageBreak/>
        <w:drawing>
          <wp:inline distT="0" distB="0" distL="0" distR="0" wp14:anchorId="14550760" wp14:editId="5B6033C1">
            <wp:extent cx="5943600" cy="7607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7607300"/>
                    </a:xfrm>
                    <a:prstGeom prst="rect">
                      <a:avLst/>
                    </a:prstGeom>
                    <a:noFill/>
                    <a:ln>
                      <a:noFill/>
                    </a:ln>
                  </pic:spPr>
                </pic:pic>
              </a:graphicData>
            </a:graphic>
          </wp:inline>
        </w:drawing>
      </w:r>
    </w:p>
    <w:p w14:paraId="19406480" w14:textId="6CE0A6F0" w:rsidR="00280E54" w:rsidRDefault="00280E54" w:rsidP="00280E54">
      <w:pPr>
        <w:pStyle w:val="FigureorTableCaption"/>
      </w:pPr>
      <w:r>
        <w:rPr>
          <w:b/>
        </w:rPr>
        <w:t>Figure</w:t>
      </w:r>
      <w:r w:rsidRPr="007443BB">
        <w:rPr>
          <w:b/>
        </w:rPr>
        <w:t xml:space="preserve"> 1</w:t>
      </w:r>
      <w:r>
        <w:t xml:space="preserve">. </w:t>
      </w:r>
      <w:r w:rsidR="00D54A60" w:rsidRPr="00D54A60">
        <w:t>Scheme of the methodological steps of this work.</w:t>
      </w:r>
    </w:p>
    <w:p w14:paraId="21D04603" w14:textId="27AABDF5" w:rsidR="00F915ED" w:rsidRPr="00F915ED" w:rsidRDefault="00F915ED" w:rsidP="00F915ED">
      <w:pPr>
        <w:rPr>
          <w:sz w:val="24"/>
          <w:szCs w:val="24"/>
        </w:rPr>
      </w:pPr>
    </w:p>
    <w:p w14:paraId="5A16F0D8" w14:textId="67E3C4AC" w:rsidR="002F3B11" w:rsidRPr="00EF003B" w:rsidRDefault="002F3B11" w:rsidP="00C81368">
      <w:pPr>
        <w:pStyle w:val="Heading-Secondary"/>
        <w:rPr>
          <w:b/>
          <w:bCs w:val="0"/>
        </w:rPr>
      </w:pPr>
      <w:r w:rsidRPr="00EF003B">
        <w:rPr>
          <w:b/>
          <w:bCs w:val="0"/>
        </w:rPr>
        <w:lastRenderedPageBreak/>
        <w:t>2.1</w:t>
      </w:r>
      <w:r w:rsidR="009773C0" w:rsidRPr="00EF003B">
        <w:rPr>
          <w:b/>
          <w:bCs w:val="0"/>
        </w:rPr>
        <w:t xml:space="preserve"> </w:t>
      </w:r>
      <w:r w:rsidR="008449B1" w:rsidRPr="00EF003B">
        <w:rPr>
          <w:b/>
          <w:bCs w:val="0"/>
        </w:rPr>
        <w:t>Quantile ratio as measure of the underestimation of FFs from AM-FFA</w:t>
      </w:r>
    </w:p>
    <w:p w14:paraId="056C45C2" w14:textId="77777777" w:rsidR="00DD4140" w:rsidRPr="00696DD1" w:rsidRDefault="00DD4140" w:rsidP="004A145D">
      <w:pPr>
        <w:ind w:firstLine="720"/>
        <w:jc w:val="both"/>
        <w:rPr>
          <w:rFonts w:eastAsiaTheme="majorEastAsia"/>
          <w:sz w:val="24"/>
          <w:szCs w:val="24"/>
        </w:rPr>
      </w:pPr>
      <w:r w:rsidRPr="00696DD1">
        <w:rPr>
          <w:rFonts w:eastAsiaTheme="majorEastAsia"/>
          <w:sz w:val="24"/>
          <w:szCs w:val="24"/>
        </w:rPr>
        <w:t xml:space="preserve">One way of comparing FF estimates from AM- and POT-FFA is to consider the same flood magnitude </w:t>
      </w:r>
      <m:oMath>
        <m:r>
          <w:rPr>
            <w:rFonts w:ascii="Cambria Math" w:eastAsia="MS Gothic" w:hAnsi="Cambria Math"/>
            <w:sz w:val="24"/>
            <w:szCs w:val="24"/>
          </w:rPr>
          <m:t>Q</m:t>
        </m:r>
      </m:oMath>
      <w:r w:rsidRPr="00696DD1">
        <w:rPr>
          <w:rFonts w:eastAsiaTheme="majorEastAsia"/>
          <w:sz w:val="24"/>
          <w:szCs w:val="24"/>
        </w:rPr>
        <w:t xml:space="preserve"> and assess the difference between its </w:t>
      </w:r>
      <m:oMath>
        <m:r>
          <w:rPr>
            <w:rFonts w:ascii="Cambria Math" w:eastAsiaTheme="majorEastAsia" w:hAnsi="Cambria Math"/>
            <w:sz w:val="24"/>
            <w:szCs w:val="24"/>
          </w:rPr>
          <m:t>R</m:t>
        </m:r>
      </m:oMath>
      <w:r w:rsidRPr="00696DD1">
        <w:rPr>
          <w:rFonts w:eastAsiaTheme="majorEastAsia"/>
          <w:sz w:val="24"/>
          <w:szCs w:val="24"/>
        </w:rPr>
        <w:t xml:space="preserve"> and </w:t>
      </w:r>
      <m:oMath>
        <m:r>
          <w:rPr>
            <w:rFonts w:ascii="Cambria Math" w:eastAsiaTheme="majorEastAsia" w:hAnsi="Cambria Math"/>
            <w:sz w:val="24"/>
            <w:szCs w:val="24"/>
          </w:rPr>
          <m:t>ARI</m:t>
        </m:r>
      </m:oMath>
      <w:r w:rsidRPr="00696DD1">
        <w:rPr>
          <w:rFonts w:eastAsiaTheme="majorEastAsia"/>
          <w:sz w:val="24"/>
          <w:szCs w:val="24"/>
        </w:rPr>
        <w:t xml:space="preserve"> values (e.g., Langbein, 1949; Wang &amp; Holmes, 2020). Here we consider instead the same value of AIT </w:t>
      </w:r>
      <m:oMath>
        <m:r>
          <w:rPr>
            <w:rFonts w:ascii="Cambria Math" w:eastAsiaTheme="majorEastAsia" w:hAnsi="Cambria Math"/>
            <w:sz w:val="24"/>
            <w:szCs w:val="24"/>
          </w:rPr>
          <m:t>T</m:t>
        </m:r>
      </m:oMath>
      <w:r w:rsidRPr="00696DD1">
        <w:rPr>
          <w:rFonts w:eastAsiaTheme="majorEastAsia"/>
          <w:sz w:val="24"/>
          <w:szCs w:val="24"/>
        </w:rPr>
        <w:t xml:space="preserve">, for both </w:t>
      </w:r>
      <m:oMath>
        <m:r>
          <w:rPr>
            <w:rFonts w:ascii="Cambria Math" w:eastAsiaTheme="majorEastAsia" w:hAnsi="Cambria Math"/>
            <w:sz w:val="24"/>
            <w:szCs w:val="24"/>
          </w:rPr>
          <m:t>R</m:t>
        </m:r>
      </m:oMath>
      <w:r w:rsidRPr="00696DD1">
        <w:rPr>
          <w:rFonts w:eastAsiaTheme="majorEastAsia"/>
          <w:sz w:val="24"/>
          <w:szCs w:val="24"/>
        </w:rPr>
        <w:t xml:space="preserve"> and </w:t>
      </w:r>
      <m:oMath>
        <m:r>
          <w:rPr>
            <w:rFonts w:ascii="Cambria Math" w:eastAsiaTheme="majorEastAsia" w:hAnsi="Cambria Math"/>
            <w:sz w:val="24"/>
            <w:szCs w:val="24"/>
          </w:rPr>
          <m:t>ARI</m:t>
        </m:r>
      </m:oMath>
      <w:r w:rsidRPr="00696DD1">
        <w:rPr>
          <w:rFonts w:eastAsiaTheme="majorEastAsia"/>
          <w:sz w:val="24"/>
          <w:szCs w:val="24"/>
        </w:rPr>
        <w:t xml:space="preserve"> (i.e., </w:t>
      </w:r>
      <m:oMath>
        <m:r>
          <w:rPr>
            <w:rFonts w:ascii="Cambria Math" w:eastAsiaTheme="majorEastAsia" w:hAnsi="Cambria Math"/>
            <w:sz w:val="24"/>
            <w:szCs w:val="24"/>
          </w:rPr>
          <m:t>T=</m:t>
        </m:r>
        <m:r>
          <w:rPr>
            <w:rFonts w:ascii="Cambria Math" w:eastAsia="MS Gothic" w:hAnsi="Cambria Math"/>
            <w:sz w:val="24"/>
            <w:szCs w:val="24"/>
          </w:rPr>
          <m:t>R=ARI</m:t>
        </m:r>
      </m:oMath>
      <w:r w:rsidRPr="00696DD1">
        <w:rPr>
          <w:rFonts w:eastAsiaTheme="majorEastAsia"/>
          <w:sz w:val="24"/>
          <w:szCs w:val="24"/>
        </w:rPr>
        <w:t xml:space="preserve">), and estimate the corresponding quantiles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AM</m:t>
            </m:r>
          </m:sub>
        </m:sSub>
        <m:r>
          <w:rPr>
            <w:rFonts w:ascii="Cambria Math" w:eastAsia="MS Gothic" w:hAnsi="Cambria Math"/>
            <w:sz w:val="24"/>
            <w:szCs w:val="24"/>
          </w:rPr>
          <m:t>(T)</m:t>
        </m:r>
      </m:oMath>
      <w:r w:rsidRPr="00696DD1">
        <w:rPr>
          <w:rFonts w:eastAsiaTheme="majorEastAsia"/>
          <w:sz w:val="24"/>
          <w:szCs w:val="24"/>
        </w:rPr>
        <w:t xml:space="preserve"> and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POT</m:t>
            </m:r>
          </m:sub>
        </m:sSub>
        <m:r>
          <w:rPr>
            <w:rFonts w:ascii="Cambria Math" w:eastAsia="MS Gothic" w:hAnsi="Cambria Math"/>
            <w:sz w:val="24"/>
            <w:szCs w:val="24"/>
          </w:rPr>
          <m:t>(T)</m:t>
        </m:r>
      </m:oMath>
      <w:r w:rsidRPr="00696DD1">
        <w:rPr>
          <w:rFonts w:eastAsiaTheme="majorEastAsia"/>
          <w:sz w:val="24"/>
          <w:szCs w:val="24"/>
        </w:rPr>
        <w:t xml:space="preserve">, using the inverse cumulative distribution functions (inverse CDFs) of the AM and POT distributions, respectively, where the probability is expressed in terms of </w:t>
      </w:r>
      <m:oMath>
        <m:r>
          <w:rPr>
            <w:rFonts w:ascii="Cambria Math" w:eastAsia="MS Gothic" w:hAnsi="Cambria Math"/>
            <w:sz w:val="24"/>
            <w:szCs w:val="24"/>
          </w:rPr>
          <m:t>T</m:t>
        </m:r>
      </m:oMath>
      <w:r w:rsidRPr="00696DD1">
        <w:rPr>
          <w:rFonts w:eastAsiaTheme="majorEastAsia"/>
          <w:sz w:val="24"/>
          <w:szCs w:val="24"/>
        </w:rPr>
        <w:t xml:space="preserve">. In this way, the quantile ratio </w:t>
      </w:r>
      <m:oMath>
        <m:r>
          <w:rPr>
            <w:rFonts w:ascii="Cambria Math" w:eastAsiaTheme="majorEastAsia" w:hAnsi="Cambria Math"/>
            <w:sz w:val="24"/>
            <w:szCs w:val="24"/>
          </w:rPr>
          <m:t>r(T)</m:t>
        </m:r>
      </m:oMath>
      <w:r w:rsidRPr="00696DD1">
        <w:rPr>
          <w:rFonts w:eastAsiaTheme="majorEastAsia"/>
          <w:sz w:val="24"/>
          <w:szCs w:val="24"/>
        </w:rPr>
        <w:t xml:space="preserve"> of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AM</m:t>
            </m:r>
          </m:sub>
        </m:sSub>
        <m:r>
          <w:rPr>
            <w:rFonts w:ascii="Cambria Math" w:eastAsia="MS Gothic" w:hAnsi="Cambria Math"/>
            <w:sz w:val="24"/>
            <w:szCs w:val="24"/>
          </w:rPr>
          <m:t>(T)</m:t>
        </m:r>
      </m:oMath>
      <w:r w:rsidRPr="00696DD1">
        <w:rPr>
          <w:rFonts w:eastAsiaTheme="majorEastAsia"/>
          <w:sz w:val="24"/>
          <w:szCs w:val="24"/>
        </w:rPr>
        <w:t xml:space="preserve"> to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POT</m:t>
            </m:r>
          </m:sub>
        </m:sSub>
        <m:r>
          <w:rPr>
            <w:rFonts w:ascii="Cambria Math" w:eastAsia="MS Gothic" w:hAnsi="Cambria Math"/>
            <w:sz w:val="24"/>
            <w:szCs w:val="24"/>
          </w:rPr>
          <m:t>(T)</m:t>
        </m:r>
      </m:oMath>
      <w:r w:rsidRPr="00696DD1">
        <w:rPr>
          <w:rFonts w:eastAsiaTheme="majorEastAsia"/>
          <w:sz w:val="24"/>
          <w:szCs w:val="24"/>
        </w:rPr>
        <w:t xml:space="preserve"> (Eq. 2) readily provides a measure of the underestimation of the </w:t>
      </w:r>
      <m:oMath>
        <m:r>
          <w:rPr>
            <w:rFonts w:ascii="Cambria Math" w:eastAsiaTheme="majorEastAsia" w:hAnsi="Cambria Math"/>
            <w:sz w:val="24"/>
            <w:szCs w:val="24"/>
          </w:rPr>
          <m:t>T</m:t>
        </m:r>
      </m:oMath>
      <w:r w:rsidRPr="00696DD1">
        <w:rPr>
          <w:rFonts w:eastAsiaTheme="majorEastAsia"/>
          <w:sz w:val="24"/>
          <w:szCs w:val="24"/>
        </w:rPr>
        <w:t>-year flood by AM-FFA, given that the actual frequency of FFs is better reflected by the POT-based quantile estimate (Karim et al., 2017).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4"/>
        <w:gridCol w:w="616"/>
      </w:tblGrid>
      <w:tr w:rsidR="00696DD1" w:rsidRPr="00E048E4" w14:paraId="4627FD63" w14:textId="77777777" w:rsidTr="0007665F">
        <w:tc>
          <w:tcPr>
            <w:tcW w:w="8444" w:type="dxa"/>
          </w:tcPr>
          <w:p w14:paraId="1DBCF445" w14:textId="77777777" w:rsidR="00696DD1" w:rsidRPr="00696DD1" w:rsidRDefault="00696DD1" w:rsidP="0007665F">
            <w:pPr>
              <w:jc w:val="both"/>
              <w:rPr>
                <w:rFonts w:eastAsiaTheme="majorEastAsia"/>
                <w:sz w:val="24"/>
                <w:szCs w:val="24"/>
                <w:lang w:val="en-US"/>
              </w:rPr>
            </w:pPr>
            <m:oMathPara>
              <m:oMath>
                <m:r>
                  <w:rPr>
                    <w:rFonts w:ascii="Cambria Math" w:eastAsiaTheme="majorEastAsia" w:hAnsi="Cambria Math"/>
                    <w:sz w:val="24"/>
                    <w:szCs w:val="24"/>
                    <w:lang w:val="en-US"/>
                  </w:rPr>
                  <m:t>r</m:t>
                </m:r>
                <m:d>
                  <m:dPr>
                    <m:ctrlPr>
                      <w:rPr>
                        <w:rFonts w:ascii="Cambria Math" w:eastAsiaTheme="majorEastAsia" w:hAnsi="Cambria Math"/>
                        <w:i/>
                        <w:sz w:val="24"/>
                        <w:szCs w:val="24"/>
                        <w:lang w:val="en-US"/>
                      </w:rPr>
                    </m:ctrlPr>
                  </m:dPr>
                  <m:e>
                    <m:r>
                      <w:rPr>
                        <w:rFonts w:ascii="Cambria Math" w:eastAsiaTheme="majorEastAsia" w:hAnsi="Cambria Math"/>
                        <w:sz w:val="24"/>
                        <w:szCs w:val="24"/>
                        <w:lang w:val="en-US"/>
                      </w:rPr>
                      <m:t>T</m:t>
                    </m:r>
                  </m:e>
                </m:d>
                <m:r>
                  <w:rPr>
                    <w:rFonts w:ascii="Cambria Math" w:eastAsiaTheme="majorEastAsia" w:hAnsi="Cambria Math"/>
                    <w:sz w:val="24"/>
                    <w:szCs w:val="24"/>
                    <w:lang w:val="en-US"/>
                  </w:rPr>
                  <m:t>=</m:t>
                </m:r>
                <m:f>
                  <m:fPr>
                    <m:ctrlPr>
                      <w:rPr>
                        <w:rFonts w:ascii="Cambria Math" w:eastAsiaTheme="majorEastAsia" w:hAnsi="Cambria Math"/>
                        <w:i/>
                        <w:sz w:val="24"/>
                        <w:szCs w:val="24"/>
                        <w:lang w:val="en-US"/>
                      </w:rPr>
                    </m:ctrlPr>
                  </m:fPr>
                  <m:num>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AM</m:t>
                        </m:r>
                      </m:sub>
                    </m:sSub>
                    <m:r>
                      <w:rPr>
                        <w:rFonts w:ascii="Cambria Math" w:eastAsia="MS Gothic" w:hAnsi="Cambria Math"/>
                        <w:sz w:val="24"/>
                        <w:szCs w:val="24"/>
                        <w:lang w:val="en-US"/>
                      </w:rPr>
                      <m:t>(T)</m:t>
                    </m:r>
                  </m:num>
                  <m:den>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POT</m:t>
                        </m:r>
                      </m:sub>
                    </m:sSub>
                    <m:r>
                      <w:rPr>
                        <w:rFonts w:ascii="Cambria Math" w:eastAsia="MS Gothic" w:hAnsi="Cambria Math"/>
                        <w:sz w:val="24"/>
                        <w:szCs w:val="24"/>
                        <w:lang w:val="en-US"/>
                      </w:rPr>
                      <m:t>(T)</m:t>
                    </m:r>
                  </m:den>
                </m:f>
              </m:oMath>
            </m:oMathPara>
          </w:p>
        </w:tc>
        <w:tc>
          <w:tcPr>
            <w:tcW w:w="616" w:type="dxa"/>
            <w:vAlign w:val="center"/>
          </w:tcPr>
          <w:p w14:paraId="74F3C05F" w14:textId="77777777" w:rsidR="00696DD1" w:rsidRPr="00696DD1" w:rsidRDefault="00696DD1" w:rsidP="0007665F">
            <w:pPr>
              <w:jc w:val="both"/>
              <w:rPr>
                <w:rFonts w:eastAsiaTheme="majorEastAsia"/>
                <w:sz w:val="24"/>
                <w:szCs w:val="24"/>
                <w:lang w:val="en-US"/>
              </w:rPr>
            </w:pPr>
            <w:r w:rsidRPr="00696DD1">
              <w:rPr>
                <w:rFonts w:eastAsiaTheme="majorEastAsia"/>
                <w:sz w:val="24"/>
                <w:szCs w:val="24"/>
                <w:lang w:val="en-US"/>
              </w:rPr>
              <w:t>(</w:t>
            </w:r>
            <w:r w:rsidRPr="00696DD1">
              <w:rPr>
                <w:sz w:val="24"/>
                <w:szCs w:val="24"/>
              </w:rPr>
              <w:fldChar w:fldCharType="begin"/>
            </w:r>
            <w:r w:rsidRPr="00696DD1">
              <w:rPr>
                <w:sz w:val="24"/>
                <w:szCs w:val="24"/>
                <w:lang w:val="en-US"/>
              </w:rPr>
              <w:instrText xml:space="preserve"> SEQ Equazione \* ARABIC </w:instrText>
            </w:r>
            <w:r w:rsidRPr="00696DD1">
              <w:rPr>
                <w:sz w:val="24"/>
                <w:szCs w:val="24"/>
              </w:rPr>
              <w:fldChar w:fldCharType="separate"/>
            </w:r>
            <w:r w:rsidRPr="00696DD1">
              <w:rPr>
                <w:noProof/>
                <w:sz w:val="24"/>
                <w:szCs w:val="24"/>
                <w:lang w:val="en-US"/>
              </w:rPr>
              <w:t>2</w:t>
            </w:r>
            <w:r w:rsidRPr="00696DD1">
              <w:rPr>
                <w:sz w:val="24"/>
                <w:szCs w:val="24"/>
              </w:rPr>
              <w:fldChar w:fldCharType="end"/>
            </w:r>
            <w:r w:rsidRPr="00696DD1">
              <w:rPr>
                <w:sz w:val="24"/>
                <w:szCs w:val="24"/>
                <w:lang w:val="en-US"/>
              </w:rPr>
              <w:t>)</w:t>
            </w:r>
          </w:p>
        </w:tc>
      </w:tr>
    </w:tbl>
    <w:p w14:paraId="69A70F55" w14:textId="77777777" w:rsidR="002E13D9" w:rsidRDefault="002E13D9" w:rsidP="002E13D9">
      <w:pPr>
        <w:ind w:firstLine="720"/>
        <w:jc w:val="both"/>
        <w:rPr>
          <w:rFonts w:eastAsiaTheme="majorEastAsia"/>
          <w:sz w:val="24"/>
          <w:szCs w:val="24"/>
        </w:rPr>
      </w:pPr>
      <w:r w:rsidRPr="002E13D9">
        <w:rPr>
          <w:sz w:val="24"/>
          <w:szCs w:val="24"/>
        </w:rPr>
        <w:t xml:space="preserve">Ignoring any effects of sampling variability,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AM</m:t>
            </m:r>
          </m:sub>
        </m:sSub>
        <m:d>
          <m:dPr>
            <m:ctrlPr>
              <w:rPr>
                <w:rFonts w:ascii="Cambria Math" w:eastAsia="MS Gothic" w:hAnsi="Cambria Math"/>
                <w:i/>
                <w:sz w:val="24"/>
                <w:szCs w:val="24"/>
              </w:rPr>
            </m:ctrlPr>
          </m:dPr>
          <m:e>
            <m:r>
              <w:rPr>
                <w:rFonts w:ascii="Cambria Math" w:eastAsia="MS Gothic" w:hAnsi="Cambria Math"/>
                <w:sz w:val="24"/>
                <w:szCs w:val="24"/>
              </w:rPr>
              <m:t>T</m:t>
            </m:r>
          </m:e>
        </m:d>
      </m:oMath>
      <w:r w:rsidRPr="002E13D9">
        <w:rPr>
          <w:rFonts w:eastAsiaTheme="majorEastAsia"/>
          <w:sz w:val="24"/>
          <w:szCs w:val="24"/>
        </w:rPr>
        <w:t xml:space="preserve"> is expected to be smaller than</w:t>
      </w:r>
      <m:oMath>
        <m:r>
          <w:rPr>
            <w:rFonts w:ascii="Cambria Math" w:eastAsia="MS Gothic" w:hAnsi="Cambria Math"/>
            <w:sz w:val="24"/>
            <w:szCs w:val="24"/>
          </w:rPr>
          <m:t xml:space="preserve"> </m:t>
        </m:r>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POT</m:t>
            </m:r>
          </m:sub>
        </m:sSub>
        <m:r>
          <w:rPr>
            <w:rFonts w:ascii="Cambria Math" w:eastAsia="MS Gothic" w:hAnsi="Cambria Math"/>
            <w:sz w:val="24"/>
            <w:szCs w:val="24"/>
          </w:rPr>
          <m:t>(T)</m:t>
        </m:r>
      </m:oMath>
      <w:r w:rsidRPr="002E13D9">
        <w:rPr>
          <w:rFonts w:eastAsiaTheme="majorEastAsia"/>
          <w:sz w:val="24"/>
          <w:szCs w:val="24"/>
        </w:rPr>
        <w:t xml:space="preserve"> for small </w:t>
      </w:r>
      <m:oMath>
        <m:r>
          <w:rPr>
            <w:rFonts w:ascii="Cambria Math" w:eastAsiaTheme="majorEastAsia" w:hAnsi="Cambria Math"/>
            <w:sz w:val="24"/>
            <w:szCs w:val="24"/>
          </w:rPr>
          <m:t>T</m:t>
        </m:r>
      </m:oMath>
      <w:r w:rsidRPr="002E13D9">
        <w:rPr>
          <w:rFonts w:eastAsiaTheme="majorEastAsia"/>
          <w:sz w:val="24"/>
          <w:szCs w:val="24"/>
        </w:rPr>
        <w:t xml:space="preserve">s and become closer to </w:t>
      </w:r>
      <m:oMath>
        <m:sSub>
          <m:sSubPr>
            <m:ctrlPr>
              <w:rPr>
                <w:rFonts w:ascii="Cambria Math" w:eastAsia="MS Gothic" w:hAnsi="Cambria Math"/>
                <w:i/>
                <w:sz w:val="24"/>
                <w:szCs w:val="24"/>
              </w:rPr>
            </m:ctrlPr>
          </m:sSubPr>
          <m:e>
            <m:r>
              <w:rPr>
                <w:rFonts w:ascii="Cambria Math" w:eastAsia="MS Gothic" w:hAnsi="Cambria Math"/>
                <w:sz w:val="24"/>
                <w:szCs w:val="24"/>
              </w:rPr>
              <m:t>Q</m:t>
            </m:r>
          </m:e>
          <m:sub>
            <m:r>
              <w:rPr>
                <w:rFonts w:ascii="Cambria Math" w:eastAsia="MS Gothic" w:hAnsi="Cambria Math"/>
                <w:sz w:val="24"/>
                <w:szCs w:val="24"/>
              </w:rPr>
              <m:t>POT</m:t>
            </m:r>
          </m:sub>
        </m:sSub>
        <m:r>
          <w:rPr>
            <w:rFonts w:ascii="Cambria Math" w:eastAsia="MS Gothic" w:hAnsi="Cambria Math"/>
            <w:sz w:val="24"/>
            <w:szCs w:val="24"/>
          </w:rPr>
          <m:t>(T)</m:t>
        </m:r>
      </m:oMath>
      <w:r w:rsidRPr="002E13D9">
        <w:rPr>
          <w:rFonts w:eastAsiaTheme="majorEastAsia"/>
          <w:sz w:val="24"/>
          <w:szCs w:val="24"/>
        </w:rPr>
        <w:t xml:space="preserve"> for increasing </w:t>
      </w:r>
      <m:oMath>
        <m:r>
          <w:rPr>
            <w:rFonts w:ascii="Cambria Math" w:eastAsiaTheme="majorEastAsia" w:hAnsi="Cambria Math"/>
            <w:sz w:val="24"/>
            <w:szCs w:val="24"/>
          </w:rPr>
          <m:t>T</m:t>
        </m:r>
      </m:oMath>
      <w:r w:rsidRPr="002E13D9">
        <w:rPr>
          <w:rFonts w:eastAsiaTheme="majorEastAsia"/>
          <w:sz w:val="24"/>
          <w:szCs w:val="24"/>
        </w:rPr>
        <w:t xml:space="preserve">, as reflected in Langbein’s equation. Hence, </w:t>
      </w:r>
      <m:oMath>
        <m:r>
          <w:rPr>
            <w:rFonts w:ascii="Cambria Math" w:eastAsiaTheme="majorEastAsia" w:hAnsi="Cambria Math"/>
            <w:sz w:val="24"/>
            <w:szCs w:val="24"/>
          </w:rPr>
          <m:t>0&lt;r</m:t>
        </m:r>
        <m:d>
          <m:dPr>
            <m:ctrlPr>
              <w:rPr>
                <w:rFonts w:ascii="Cambria Math" w:eastAsiaTheme="majorEastAsia" w:hAnsi="Cambria Math"/>
                <w:i/>
                <w:sz w:val="24"/>
                <w:szCs w:val="24"/>
              </w:rPr>
            </m:ctrlPr>
          </m:dPr>
          <m:e>
            <m:r>
              <w:rPr>
                <w:rFonts w:ascii="Cambria Math" w:eastAsiaTheme="majorEastAsia" w:hAnsi="Cambria Math"/>
                <w:sz w:val="24"/>
                <w:szCs w:val="24"/>
              </w:rPr>
              <m:t>T</m:t>
            </m:r>
          </m:e>
        </m:d>
        <m:r>
          <w:rPr>
            <w:rFonts w:ascii="Cambria Math" w:eastAsiaTheme="majorEastAsia" w:hAnsi="Cambria Math"/>
            <w:sz w:val="24"/>
            <w:szCs w:val="24"/>
          </w:rPr>
          <m:t>≤1</m:t>
        </m:r>
      </m:oMath>
      <w:r w:rsidRPr="002E13D9">
        <w:rPr>
          <w:rFonts w:eastAsiaTheme="majorEastAsia"/>
          <w:sz w:val="24"/>
          <w:szCs w:val="24"/>
        </w:rPr>
        <w:t xml:space="preserve">, approximately. From </w:t>
      </w:r>
      <m:oMath>
        <m:r>
          <w:rPr>
            <w:rFonts w:ascii="Cambria Math" w:eastAsiaTheme="majorEastAsia" w:hAnsi="Cambria Math"/>
            <w:sz w:val="24"/>
            <w:szCs w:val="24"/>
          </w:rPr>
          <m:t>r</m:t>
        </m:r>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2E13D9">
        <w:rPr>
          <w:rFonts w:eastAsiaTheme="majorEastAsia"/>
          <w:sz w:val="24"/>
          <w:szCs w:val="24"/>
        </w:rPr>
        <w:t xml:space="preserve">, the percentage of underestimation due to using AM-FFA is obtained as </w:t>
      </w:r>
      <m:oMath>
        <m:r>
          <w:rPr>
            <w:rFonts w:ascii="Cambria Math" w:eastAsiaTheme="majorEastAsia" w:hAnsi="Cambria Math"/>
            <w:sz w:val="24"/>
            <w:szCs w:val="24"/>
          </w:rPr>
          <m:t>u</m:t>
        </m:r>
        <m:d>
          <m:dPr>
            <m:ctrlPr>
              <w:rPr>
                <w:rFonts w:ascii="Cambria Math" w:eastAsiaTheme="majorEastAsia" w:hAnsi="Cambria Math"/>
                <w:i/>
                <w:sz w:val="24"/>
                <w:szCs w:val="24"/>
              </w:rPr>
            </m:ctrlPr>
          </m:dPr>
          <m:e>
            <m:r>
              <w:rPr>
                <w:rFonts w:ascii="Cambria Math" w:eastAsiaTheme="majorEastAsia" w:hAnsi="Cambria Math"/>
                <w:sz w:val="24"/>
                <w:szCs w:val="24"/>
              </w:rPr>
              <m:t>T</m:t>
            </m:r>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1-r</m:t>
            </m:r>
            <m:d>
              <m:dPr>
                <m:ctrlPr>
                  <w:rPr>
                    <w:rFonts w:ascii="Cambria Math" w:eastAsiaTheme="majorEastAsia" w:hAnsi="Cambria Math"/>
                    <w:i/>
                    <w:sz w:val="24"/>
                    <w:szCs w:val="24"/>
                  </w:rPr>
                </m:ctrlPr>
              </m:dPr>
              <m:e>
                <m:r>
                  <w:rPr>
                    <w:rFonts w:ascii="Cambria Math" w:eastAsiaTheme="majorEastAsia" w:hAnsi="Cambria Math"/>
                    <w:sz w:val="24"/>
                    <w:szCs w:val="24"/>
                  </w:rPr>
                  <m:t>T</m:t>
                </m:r>
              </m:e>
            </m:d>
          </m:e>
        </m:d>
        <m:r>
          <w:rPr>
            <w:rFonts w:ascii="Cambria Math" w:eastAsiaTheme="majorEastAsia" w:hAnsi="Cambria Math"/>
            <w:sz w:val="24"/>
            <w:szCs w:val="24"/>
          </w:rPr>
          <m:t>×100%</m:t>
        </m:r>
      </m:oMath>
      <w:r w:rsidRPr="002E13D9">
        <w:rPr>
          <w:rFonts w:eastAsiaTheme="majorEastAsia"/>
          <w:sz w:val="24"/>
          <w:szCs w:val="24"/>
        </w:rPr>
        <w:t>.</w:t>
      </w:r>
    </w:p>
    <w:p w14:paraId="6E9A2B0A" w14:textId="42B68522" w:rsidR="002E13D9" w:rsidRPr="00EF003B" w:rsidRDefault="002E13D9" w:rsidP="002E13D9">
      <w:pPr>
        <w:pStyle w:val="Heading-Secondary"/>
        <w:rPr>
          <w:b/>
          <w:bCs w:val="0"/>
        </w:rPr>
      </w:pPr>
      <w:r w:rsidRPr="00EF003B">
        <w:rPr>
          <w:b/>
          <w:bCs w:val="0"/>
        </w:rPr>
        <w:t>2.2 Duality-based quantile ratio</w:t>
      </w:r>
    </w:p>
    <w:p w14:paraId="360F0354" w14:textId="77777777" w:rsidR="00366731" w:rsidRDefault="00366731" w:rsidP="00366731">
      <w:pPr>
        <w:ind w:firstLine="720"/>
        <w:jc w:val="both"/>
        <w:rPr>
          <w:rFonts w:eastAsiaTheme="majorEastAsia"/>
          <w:sz w:val="24"/>
          <w:szCs w:val="24"/>
        </w:rPr>
      </w:pPr>
      <w:r w:rsidRPr="00366731">
        <w:rPr>
          <w:rFonts w:eastAsiaTheme="majorEastAsia"/>
          <w:sz w:val="24"/>
          <w:szCs w:val="24"/>
        </w:rPr>
        <w:t xml:space="preserve">Under the hypotheses of </w:t>
      </w:r>
      <w:proofErr w:type="spellStart"/>
      <w:r w:rsidRPr="00366731">
        <w:rPr>
          <w:rFonts w:eastAsiaTheme="majorEastAsia"/>
          <w:sz w:val="24"/>
          <w:szCs w:val="24"/>
        </w:rPr>
        <w:t>i.i.d.</w:t>
      </w:r>
      <w:proofErr w:type="spellEnd"/>
      <w:r w:rsidRPr="00366731">
        <w:rPr>
          <w:rFonts w:eastAsiaTheme="majorEastAsia"/>
          <w:sz w:val="24"/>
          <w:szCs w:val="24"/>
        </w:rPr>
        <w:t xml:space="preserve"> POTs distributed as </w:t>
      </w:r>
      <m:oMath>
        <m:sSub>
          <m:sSubPr>
            <m:ctrlPr>
              <w:rPr>
                <w:rFonts w:ascii="Cambria Math" w:eastAsia="MS Gothic" w:hAnsi="Cambria Math"/>
                <w:i/>
                <w:sz w:val="24"/>
                <w:szCs w:val="24"/>
              </w:rPr>
            </m:ctrlPr>
          </m:sSubPr>
          <m:e>
            <m:r>
              <w:rPr>
                <w:rFonts w:ascii="Cambria Math" w:eastAsia="MS Gothic" w:hAnsi="Cambria Math"/>
                <w:sz w:val="24"/>
                <w:szCs w:val="24"/>
              </w:rPr>
              <m:t>G</m:t>
            </m:r>
          </m:e>
          <m:sub>
            <m:r>
              <w:rPr>
                <w:rFonts w:ascii="Cambria Math" w:eastAsia="MS Gothic" w:hAnsi="Cambria Math"/>
                <w:sz w:val="24"/>
                <w:szCs w:val="24"/>
              </w:rPr>
              <m:t>POT</m:t>
            </m:r>
          </m:sub>
        </m:sSub>
        <m:d>
          <m:dPr>
            <m:ctrlPr>
              <w:rPr>
                <w:rFonts w:ascii="Cambria Math" w:eastAsia="MS Gothic" w:hAnsi="Cambria Math"/>
                <w:i/>
                <w:sz w:val="24"/>
                <w:szCs w:val="24"/>
              </w:rPr>
            </m:ctrlPr>
          </m:dPr>
          <m:e>
            <m:r>
              <w:rPr>
                <w:rFonts w:ascii="Cambria Math" w:eastAsia="MS Gothic" w:hAnsi="Cambria Math"/>
                <w:sz w:val="24"/>
                <w:szCs w:val="24"/>
              </w:rPr>
              <m:t>Q</m:t>
            </m:r>
          </m:e>
        </m:d>
      </m:oMath>
      <w:r w:rsidRPr="00366731">
        <w:rPr>
          <w:rFonts w:eastAsiaTheme="majorEastAsia"/>
          <w:sz w:val="24"/>
          <w:szCs w:val="24"/>
        </w:rPr>
        <w:t xml:space="preserve"> and number </w:t>
      </w:r>
      <m:oMath>
        <m:r>
          <w:rPr>
            <w:rFonts w:ascii="Cambria Math" w:eastAsia="MS Gothic" w:hAnsi="Cambria Math"/>
            <w:sz w:val="24"/>
            <w:szCs w:val="24"/>
          </w:rPr>
          <m:t>m</m:t>
        </m:r>
      </m:oMath>
      <w:r w:rsidRPr="00366731">
        <w:rPr>
          <w:rFonts w:eastAsiaTheme="majorEastAsia"/>
          <w:sz w:val="24"/>
          <w:szCs w:val="24"/>
        </w:rPr>
        <w:t xml:space="preserve"> of exceedances per year distributed as </w:t>
      </w:r>
      <m:oMath>
        <m:r>
          <w:rPr>
            <w:rFonts w:ascii="Cambria Math" w:eastAsia="MS Gothic" w:hAnsi="Cambria Math"/>
            <w:sz w:val="24"/>
            <w:szCs w:val="24"/>
          </w:rPr>
          <m:t>P</m:t>
        </m:r>
        <m:d>
          <m:dPr>
            <m:ctrlPr>
              <w:rPr>
                <w:rFonts w:ascii="Cambria Math" w:eastAsia="MS Gothic" w:hAnsi="Cambria Math"/>
                <w:i/>
                <w:sz w:val="24"/>
                <w:szCs w:val="24"/>
              </w:rPr>
            </m:ctrlPr>
          </m:dPr>
          <m:e>
            <m:r>
              <w:rPr>
                <w:rFonts w:ascii="Cambria Math" w:eastAsia="MS Gothic" w:hAnsi="Cambria Math"/>
                <w:sz w:val="24"/>
                <w:szCs w:val="24"/>
              </w:rPr>
              <m:t>m</m:t>
            </m:r>
          </m:e>
        </m:d>
      </m:oMath>
      <w:r w:rsidRPr="00366731">
        <w:rPr>
          <w:rFonts w:eastAsiaTheme="majorEastAsia"/>
          <w:sz w:val="24"/>
          <w:szCs w:val="24"/>
        </w:rPr>
        <w:t xml:space="preserve">, the distribution of AM, </w:t>
      </w:r>
      <m:oMath>
        <m:sSub>
          <m:sSubPr>
            <m:ctrlPr>
              <w:rPr>
                <w:rFonts w:ascii="Cambria Math" w:eastAsia="MS Gothic" w:hAnsi="Cambria Math"/>
                <w:i/>
                <w:sz w:val="24"/>
                <w:szCs w:val="24"/>
              </w:rPr>
            </m:ctrlPr>
          </m:sSubPr>
          <m:e>
            <m:r>
              <w:rPr>
                <w:rFonts w:ascii="Cambria Math" w:eastAsia="MS Gothic" w:hAnsi="Cambria Math"/>
                <w:sz w:val="24"/>
                <w:szCs w:val="24"/>
              </w:rPr>
              <m:t>F</m:t>
            </m:r>
          </m:e>
          <m:sub>
            <m:r>
              <w:rPr>
                <w:rFonts w:ascii="Cambria Math" w:eastAsia="MS Gothic" w:hAnsi="Cambria Math"/>
                <w:sz w:val="24"/>
                <w:szCs w:val="24"/>
              </w:rPr>
              <m:t>AM</m:t>
            </m:r>
          </m:sub>
        </m:sSub>
        <m:d>
          <m:dPr>
            <m:ctrlPr>
              <w:rPr>
                <w:rFonts w:ascii="Cambria Math" w:eastAsia="MS Gothic" w:hAnsi="Cambria Math"/>
                <w:i/>
                <w:sz w:val="24"/>
                <w:szCs w:val="24"/>
              </w:rPr>
            </m:ctrlPr>
          </m:dPr>
          <m:e>
            <m:r>
              <w:rPr>
                <w:rFonts w:ascii="Cambria Math" w:eastAsia="MS Gothic" w:hAnsi="Cambria Math"/>
                <w:sz w:val="24"/>
                <w:szCs w:val="24"/>
              </w:rPr>
              <m:t>Q</m:t>
            </m:r>
          </m:e>
        </m:d>
      </m:oMath>
      <w:r w:rsidRPr="00366731">
        <w:rPr>
          <w:rFonts w:eastAsiaTheme="majorEastAsia"/>
          <w:sz w:val="24"/>
          <w:szCs w:val="24"/>
        </w:rPr>
        <w:t xml:space="preserve"> is univocally determined by the total probability theorem (Eq. 3; </w:t>
      </w:r>
      <w:proofErr w:type="spellStart"/>
      <w:r w:rsidRPr="00366731">
        <w:rPr>
          <w:rFonts w:eastAsiaTheme="majorEastAsia"/>
          <w:sz w:val="24"/>
          <w:szCs w:val="24"/>
        </w:rPr>
        <w:t>Önöz</w:t>
      </w:r>
      <w:proofErr w:type="spellEnd"/>
      <w:r w:rsidRPr="00366731">
        <w:rPr>
          <w:rFonts w:eastAsiaTheme="majorEastAsia"/>
          <w:sz w:val="24"/>
          <w:szCs w:val="24"/>
        </w:rPr>
        <w:t xml:space="preserve"> &amp; </w:t>
      </w:r>
      <w:proofErr w:type="spellStart"/>
      <w:r w:rsidRPr="00366731">
        <w:rPr>
          <w:rFonts w:eastAsiaTheme="majorEastAsia"/>
          <w:sz w:val="24"/>
          <w:szCs w:val="24"/>
        </w:rPr>
        <w:t>Bayazit</w:t>
      </w:r>
      <w:proofErr w:type="spellEnd"/>
      <w:r w:rsidRPr="00366731">
        <w:rPr>
          <w:rFonts w:eastAsiaTheme="majorEastAsia"/>
          <w:sz w:val="24"/>
          <w:szCs w:val="24"/>
        </w:rPr>
        <w:t xml:space="preserve">, 2001). </w:t>
      </w:r>
      <m:oMath>
        <m:sSub>
          <m:sSubPr>
            <m:ctrlPr>
              <w:rPr>
                <w:rFonts w:ascii="Cambria Math" w:eastAsia="MS Gothic" w:hAnsi="Cambria Math"/>
                <w:i/>
                <w:sz w:val="24"/>
                <w:szCs w:val="24"/>
              </w:rPr>
            </m:ctrlPr>
          </m:sSubPr>
          <m:e>
            <m:r>
              <w:rPr>
                <w:rFonts w:ascii="Cambria Math" w:eastAsia="MS Gothic" w:hAnsi="Cambria Math"/>
                <w:sz w:val="24"/>
                <w:szCs w:val="24"/>
              </w:rPr>
              <m:t>F</m:t>
            </m:r>
          </m:e>
          <m:sub>
            <m:r>
              <w:rPr>
                <w:rFonts w:ascii="Cambria Math" w:eastAsia="MS Gothic" w:hAnsi="Cambria Math"/>
                <w:sz w:val="24"/>
                <w:szCs w:val="24"/>
              </w:rPr>
              <m:t>AM</m:t>
            </m:r>
          </m:sub>
        </m:sSub>
        <m:d>
          <m:dPr>
            <m:ctrlPr>
              <w:rPr>
                <w:rFonts w:ascii="Cambria Math" w:eastAsia="MS Gothic" w:hAnsi="Cambria Math"/>
                <w:i/>
                <w:sz w:val="24"/>
                <w:szCs w:val="24"/>
              </w:rPr>
            </m:ctrlPr>
          </m:dPr>
          <m:e>
            <m:r>
              <w:rPr>
                <w:rFonts w:ascii="Cambria Math" w:eastAsia="MS Gothic" w:hAnsi="Cambria Math"/>
                <w:sz w:val="24"/>
                <w:szCs w:val="24"/>
              </w:rPr>
              <m:t>Q</m:t>
            </m:r>
          </m:e>
        </m:d>
      </m:oMath>
      <w:r w:rsidRPr="00366731">
        <w:rPr>
          <w:rFonts w:eastAsiaTheme="majorEastAsia"/>
          <w:sz w:val="24"/>
          <w:szCs w:val="24"/>
        </w:rPr>
        <w:t xml:space="preserve"> is referred to as the derived distribution of AM (Meier et al., 2016).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5"/>
        <w:gridCol w:w="605"/>
      </w:tblGrid>
      <w:tr w:rsidR="00CD5626" w:rsidRPr="00E048E4" w14:paraId="3C3890EB" w14:textId="77777777" w:rsidTr="0007665F">
        <w:tc>
          <w:tcPr>
            <w:tcW w:w="8455" w:type="dxa"/>
          </w:tcPr>
          <w:p w14:paraId="66E43F73" w14:textId="77777777" w:rsidR="00CD5626" w:rsidRPr="00CD5626" w:rsidRDefault="00990971" w:rsidP="0007665F">
            <w:pPr>
              <w:jc w:val="both"/>
              <w:rPr>
                <w:rFonts w:eastAsia="MS Gothic"/>
                <w:sz w:val="24"/>
                <w:szCs w:val="24"/>
                <w:lang w:val="en-US"/>
              </w:rPr>
            </w:pPr>
            <m:oMathPara>
              <m:oMath>
                <m:sSub>
                  <m:sSubPr>
                    <m:ctrlPr>
                      <w:rPr>
                        <w:rFonts w:ascii="Cambria Math" w:eastAsia="MS Gothic" w:hAnsi="Cambria Math"/>
                        <w:i/>
                        <w:sz w:val="24"/>
                        <w:szCs w:val="24"/>
                        <w:lang w:val="en-US"/>
                      </w:rPr>
                    </m:ctrlPr>
                  </m:sSubPr>
                  <m:e>
                    <m:r>
                      <w:rPr>
                        <w:rFonts w:ascii="Cambria Math" w:eastAsia="MS Gothic" w:hAnsi="Cambria Math"/>
                        <w:sz w:val="24"/>
                        <w:szCs w:val="24"/>
                        <w:lang w:val="en-US"/>
                      </w:rPr>
                      <m:t>F</m:t>
                    </m:r>
                  </m:e>
                  <m:sub>
                    <m:r>
                      <w:rPr>
                        <w:rFonts w:ascii="Cambria Math" w:eastAsia="MS Gothic" w:hAnsi="Cambria Math"/>
                        <w:sz w:val="24"/>
                        <w:szCs w:val="24"/>
                        <w:lang w:val="en-US"/>
                      </w:rPr>
                      <m:t>AM</m:t>
                    </m:r>
                  </m:sub>
                </m:sSub>
                <m:d>
                  <m:dPr>
                    <m:ctrlPr>
                      <w:rPr>
                        <w:rFonts w:ascii="Cambria Math" w:eastAsia="MS Gothic" w:hAnsi="Cambria Math"/>
                        <w:i/>
                        <w:sz w:val="24"/>
                        <w:szCs w:val="24"/>
                        <w:lang w:val="en-US"/>
                      </w:rPr>
                    </m:ctrlPr>
                  </m:dPr>
                  <m:e>
                    <m:r>
                      <w:rPr>
                        <w:rFonts w:ascii="Cambria Math" w:eastAsia="MS Gothic" w:hAnsi="Cambria Math"/>
                        <w:sz w:val="24"/>
                        <w:szCs w:val="24"/>
                        <w:lang w:val="en-US"/>
                      </w:rPr>
                      <m:t>Q</m:t>
                    </m:r>
                    <m:r>
                      <w:rPr>
                        <w:rFonts w:ascii="Cambria Math" w:eastAsia="MS Gothic" w:hAnsi="Cambria Math"/>
                        <w:sz w:val="24"/>
                        <w:szCs w:val="24"/>
                        <w:lang w:val="en-US"/>
                      </w:rPr>
                      <m:t>≤</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T</m:t>
                        </m:r>
                      </m:sub>
                    </m:sSub>
                  </m:e>
                </m:d>
                <m:r>
                  <w:rPr>
                    <w:rFonts w:ascii="Cambria Math" w:eastAsia="MS Gothic" w:hAnsi="Cambria Math"/>
                    <w:sz w:val="24"/>
                    <w:szCs w:val="24"/>
                    <w:lang w:val="en-US"/>
                  </w:rPr>
                  <m:t>=</m:t>
                </m:r>
                <m:nary>
                  <m:naryPr>
                    <m:chr m:val="∑"/>
                    <m:limLoc m:val="undOvr"/>
                    <m:ctrlPr>
                      <w:rPr>
                        <w:rFonts w:ascii="Cambria Math" w:eastAsia="MS Gothic" w:hAnsi="Cambria Math"/>
                        <w:i/>
                        <w:sz w:val="24"/>
                        <w:szCs w:val="24"/>
                        <w:lang w:val="en-US"/>
                      </w:rPr>
                    </m:ctrlPr>
                  </m:naryPr>
                  <m:sub>
                    <m:r>
                      <w:rPr>
                        <w:rFonts w:ascii="Cambria Math" w:eastAsia="MS Gothic" w:hAnsi="Cambria Math"/>
                        <w:sz w:val="24"/>
                        <w:szCs w:val="24"/>
                        <w:lang w:val="en-US"/>
                      </w:rPr>
                      <m:t>k</m:t>
                    </m:r>
                    <m:r>
                      <w:rPr>
                        <w:rFonts w:ascii="Cambria Math" w:eastAsia="MS Gothic" w:hAnsi="Cambria Math"/>
                        <w:sz w:val="24"/>
                        <w:szCs w:val="24"/>
                        <w:lang w:val="en-US"/>
                      </w:rPr>
                      <m:t>=0</m:t>
                    </m:r>
                  </m:sub>
                  <m:sup>
                    <m:r>
                      <w:rPr>
                        <w:rFonts w:ascii="Cambria Math" w:eastAsia="MS Gothic" w:hAnsi="Cambria Math"/>
                        <w:sz w:val="24"/>
                        <w:szCs w:val="24"/>
                        <w:lang w:val="en-US"/>
                      </w:rPr>
                      <m:t>∞</m:t>
                    </m:r>
                  </m:sup>
                  <m:e>
                    <m:r>
                      <w:rPr>
                        <w:rFonts w:ascii="Cambria Math" w:eastAsia="MS Gothic" w:hAnsi="Cambria Math"/>
                        <w:sz w:val="24"/>
                        <w:szCs w:val="24"/>
                        <w:lang w:val="en-US"/>
                      </w:rPr>
                      <m:t>P</m:t>
                    </m:r>
                    <m:d>
                      <m:dPr>
                        <m:ctrlPr>
                          <w:rPr>
                            <w:rFonts w:ascii="Cambria Math" w:eastAsia="MS Gothic" w:hAnsi="Cambria Math"/>
                            <w:i/>
                            <w:sz w:val="24"/>
                            <w:szCs w:val="24"/>
                            <w:lang w:val="en-US"/>
                          </w:rPr>
                        </m:ctrlPr>
                      </m:dPr>
                      <m:e>
                        <m:r>
                          <w:rPr>
                            <w:rFonts w:ascii="Cambria Math" w:eastAsia="MS Gothic" w:hAnsi="Cambria Math"/>
                            <w:sz w:val="24"/>
                            <w:szCs w:val="24"/>
                            <w:lang w:val="en-US"/>
                          </w:rPr>
                          <m:t>m</m:t>
                        </m:r>
                        <m:r>
                          <w:rPr>
                            <w:rFonts w:ascii="Cambria Math" w:eastAsia="MS Gothic" w:hAnsi="Cambria Math"/>
                            <w:sz w:val="24"/>
                            <w:szCs w:val="24"/>
                            <w:lang w:val="en-US"/>
                          </w:rPr>
                          <m:t>=</m:t>
                        </m:r>
                        <m:r>
                          <w:rPr>
                            <w:rFonts w:ascii="Cambria Math" w:eastAsia="MS Gothic" w:hAnsi="Cambria Math"/>
                            <w:sz w:val="24"/>
                            <w:szCs w:val="24"/>
                            <w:lang w:val="en-US"/>
                          </w:rPr>
                          <m:t>k</m:t>
                        </m:r>
                      </m:e>
                    </m:d>
                    <m:sSup>
                      <m:sSupPr>
                        <m:ctrlPr>
                          <w:rPr>
                            <w:rFonts w:ascii="Cambria Math" w:eastAsia="MS Gothic" w:hAnsi="Cambria Math"/>
                            <w:i/>
                            <w:sz w:val="24"/>
                            <w:szCs w:val="24"/>
                            <w:lang w:val="en-US"/>
                          </w:rPr>
                        </m:ctrlPr>
                      </m:sSupPr>
                      <m:e>
                        <m:d>
                          <m:dPr>
                            <m:begChr m:val="["/>
                            <m:endChr m:val="]"/>
                            <m:ctrlPr>
                              <w:rPr>
                                <w:rFonts w:ascii="Cambria Math" w:eastAsia="MS Gothic" w:hAnsi="Cambria Math"/>
                                <w:i/>
                                <w:sz w:val="24"/>
                                <w:szCs w:val="24"/>
                                <w:lang w:val="en-US"/>
                              </w:rPr>
                            </m:ctrlPr>
                          </m:dPr>
                          <m:e>
                            <m:sSub>
                              <m:sSubPr>
                                <m:ctrlPr>
                                  <w:rPr>
                                    <w:rFonts w:ascii="Cambria Math" w:eastAsia="MS Gothic" w:hAnsi="Cambria Math"/>
                                    <w:i/>
                                    <w:sz w:val="24"/>
                                    <w:szCs w:val="24"/>
                                    <w:lang w:val="en-US"/>
                                  </w:rPr>
                                </m:ctrlPr>
                              </m:sSubPr>
                              <m:e>
                                <m:r>
                                  <w:rPr>
                                    <w:rFonts w:ascii="Cambria Math" w:eastAsia="MS Gothic" w:hAnsi="Cambria Math"/>
                                    <w:sz w:val="24"/>
                                    <w:szCs w:val="24"/>
                                    <w:lang w:val="en-US"/>
                                  </w:rPr>
                                  <m:t>G</m:t>
                                </m:r>
                              </m:e>
                              <m:sub>
                                <m:r>
                                  <w:rPr>
                                    <w:rFonts w:ascii="Cambria Math" w:eastAsia="MS Gothic" w:hAnsi="Cambria Math"/>
                                    <w:sz w:val="24"/>
                                    <w:szCs w:val="24"/>
                                    <w:lang w:val="en-US"/>
                                  </w:rPr>
                                  <m:t>POT</m:t>
                                </m:r>
                              </m:sub>
                            </m:sSub>
                            <m:d>
                              <m:dPr>
                                <m:ctrlPr>
                                  <w:rPr>
                                    <w:rFonts w:ascii="Cambria Math" w:eastAsia="MS Gothic" w:hAnsi="Cambria Math"/>
                                    <w:i/>
                                    <w:sz w:val="24"/>
                                    <w:szCs w:val="24"/>
                                    <w:lang w:val="en-US"/>
                                  </w:rPr>
                                </m:ctrlPr>
                              </m:dPr>
                              <m:e>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T</m:t>
                                    </m:r>
                                  </m:sub>
                                </m:sSub>
                              </m:e>
                            </m:d>
                          </m:e>
                        </m:d>
                      </m:e>
                      <m:sup>
                        <m:r>
                          <w:rPr>
                            <w:rFonts w:ascii="Cambria Math" w:eastAsia="MS Gothic" w:hAnsi="Cambria Math"/>
                            <w:sz w:val="24"/>
                            <w:szCs w:val="24"/>
                            <w:lang w:val="en-US"/>
                          </w:rPr>
                          <m:t>k</m:t>
                        </m:r>
                      </m:sup>
                    </m:sSup>
                  </m:e>
                </m:nary>
              </m:oMath>
            </m:oMathPara>
          </w:p>
        </w:tc>
        <w:tc>
          <w:tcPr>
            <w:tcW w:w="605" w:type="dxa"/>
            <w:vAlign w:val="center"/>
          </w:tcPr>
          <w:p w14:paraId="5D630EB8" w14:textId="77777777" w:rsidR="00CD5626" w:rsidRPr="00CD5626" w:rsidRDefault="00CD5626" w:rsidP="0007665F">
            <w:pPr>
              <w:jc w:val="both"/>
              <w:rPr>
                <w:rFonts w:eastAsiaTheme="majorEastAsia"/>
                <w:sz w:val="24"/>
                <w:szCs w:val="24"/>
                <w:lang w:val="en-US"/>
              </w:rPr>
            </w:pPr>
            <w:r w:rsidRPr="00CD5626">
              <w:rPr>
                <w:rFonts w:eastAsiaTheme="majorEastAsia"/>
                <w:sz w:val="24"/>
                <w:szCs w:val="24"/>
                <w:lang w:val="en-US"/>
              </w:rPr>
              <w:t>(</w:t>
            </w:r>
            <w:r w:rsidRPr="00CD5626">
              <w:rPr>
                <w:sz w:val="24"/>
                <w:szCs w:val="24"/>
              </w:rPr>
              <w:fldChar w:fldCharType="begin"/>
            </w:r>
            <w:r w:rsidRPr="00CD5626">
              <w:rPr>
                <w:sz w:val="24"/>
                <w:szCs w:val="24"/>
                <w:lang w:val="en-US"/>
              </w:rPr>
              <w:instrText xml:space="preserve"> SEQ Equazione \* ARABIC </w:instrText>
            </w:r>
            <w:r w:rsidRPr="00CD5626">
              <w:rPr>
                <w:sz w:val="24"/>
                <w:szCs w:val="24"/>
              </w:rPr>
              <w:fldChar w:fldCharType="separate"/>
            </w:r>
            <w:r w:rsidRPr="00CD5626">
              <w:rPr>
                <w:noProof/>
                <w:sz w:val="24"/>
                <w:szCs w:val="24"/>
                <w:lang w:val="en-US"/>
              </w:rPr>
              <w:t>3</w:t>
            </w:r>
            <w:r w:rsidRPr="00CD5626">
              <w:rPr>
                <w:sz w:val="24"/>
                <w:szCs w:val="24"/>
              </w:rPr>
              <w:fldChar w:fldCharType="end"/>
            </w:r>
            <w:r w:rsidRPr="00CD5626">
              <w:rPr>
                <w:sz w:val="24"/>
                <w:szCs w:val="24"/>
                <w:lang w:val="en-US"/>
              </w:rPr>
              <w:t>)</w:t>
            </w:r>
          </w:p>
        </w:tc>
      </w:tr>
    </w:tbl>
    <w:p w14:paraId="45905A0E" w14:textId="1720A0B4" w:rsidR="00352607" w:rsidRPr="00352607" w:rsidRDefault="00352607" w:rsidP="00352607">
      <w:pPr>
        <w:ind w:firstLine="720"/>
        <w:jc w:val="both"/>
        <w:rPr>
          <w:rFonts w:eastAsiaTheme="majorEastAsia"/>
          <w:sz w:val="24"/>
          <w:szCs w:val="24"/>
        </w:rPr>
      </w:pPr>
      <w:r w:rsidRPr="00352607">
        <w:rPr>
          <w:rFonts w:eastAsiaTheme="majorEastAsia"/>
          <w:sz w:val="24"/>
          <w:szCs w:val="24"/>
        </w:rPr>
        <w:t xml:space="preserve">Furthermore, the parameters of the two distributions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G</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r>
              <w:rPr>
                <w:rFonts w:ascii="Cambria Math" w:eastAsiaTheme="majorEastAsia" w:hAnsi="Cambria Math"/>
                <w:sz w:val="24"/>
                <w:szCs w:val="24"/>
              </w:rPr>
              <m:t>Q</m:t>
            </m:r>
          </m:e>
        </m:d>
      </m:oMath>
      <w:r w:rsidRPr="00352607">
        <w:rPr>
          <w:rFonts w:eastAsiaTheme="majorEastAsia"/>
          <w:sz w:val="24"/>
          <w:szCs w:val="24"/>
        </w:rPr>
        <w:t xml:space="preserve">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F</m:t>
            </m:r>
          </m:e>
          <m:sub>
            <m:r>
              <w:rPr>
                <w:rFonts w:ascii="Cambria Math" w:eastAsiaTheme="majorEastAsia" w:hAnsi="Cambria Math"/>
                <w:sz w:val="24"/>
                <w:szCs w:val="24"/>
              </w:rPr>
              <m:t>AM</m:t>
            </m:r>
          </m:sub>
        </m:sSub>
        <m:d>
          <m:dPr>
            <m:ctrlPr>
              <w:rPr>
                <w:rFonts w:ascii="Cambria Math" w:eastAsiaTheme="majorEastAsia" w:hAnsi="Cambria Math"/>
                <w:i/>
                <w:sz w:val="24"/>
                <w:szCs w:val="24"/>
              </w:rPr>
            </m:ctrlPr>
          </m:dPr>
          <m:e>
            <m:r>
              <w:rPr>
                <w:rFonts w:ascii="Cambria Math" w:eastAsiaTheme="majorEastAsia" w:hAnsi="Cambria Math"/>
                <w:sz w:val="24"/>
                <w:szCs w:val="24"/>
              </w:rPr>
              <m:t>Q</m:t>
            </m:r>
          </m:e>
        </m:d>
      </m:oMath>
      <w:r w:rsidRPr="00352607">
        <w:rPr>
          <w:rFonts w:eastAsiaTheme="majorEastAsia"/>
          <w:sz w:val="24"/>
          <w:szCs w:val="24"/>
        </w:rPr>
        <w:t xml:space="preserve"> can be related to each other by a set of reparameterization equations (Madsen et al., 1997; </w:t>
      </w:r>
      <w:proofErr w:type="spellStart"/>
      <w:r w:rsidRPr="00352607">
        <w:rPr>
          <w:rFonts w:eastAsiaTheme="majorEastAsia"/>
          <w:sz w:val="24"/>
          <w:szCs w:val="24"/>
        </w:rPr>
        <w:t>Prosdocimi</w:t>
      </w:r>
      <w:proofErr w:type="spellEnd"/>
      <w:r w:rsidRPr="00352607">
        <w:rPr>
          <w:rFonts w:eastAsiaTheme="majorEastAsia"/>
          <w:sz w:val="24"/>
          <w:szCs w:val="24"/>
        </w:rPr>
        <w:t xml:space="preserve"> &amp; Kjeldsen, 2022; Wang &amp; Holmes, 2020). This property is termed the “duality” between the AM and POT distributions (Coles, 2001; Wang &amp; Holmes, 2020) and can be exploited to rewrite </w:t>
      </w:r>
      <m:oMath>
        <m:r>
          <w:rPr>
            <w:rFonts w:ascii="Cambria Math" w:eastAsiaTheme="majorEastAsia" w:hAnsi="Cambria Math"/>
            <w:sz w:val="24"/>
            <w:szCs w:val="24"/>
          </w:rPr>
          <m:t>r</m:t>
        </m:r>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352607">
        <w:rPr>
          <w:rFonts w:eastAsiaTheme="majorEastAsia"/>
          <w:sz w:val="24"/>
          <w:szCs w:val="24"/>
        </w:rPr>
        <w:t xml:space="preserve"> as an expression of the parameters of a single distribution, either that for the AMs or the POTs. It is worth noticing that, for small quantiles, the choice of the distributions for AM and POTs is expected to have only a minor impact on </w:t>
      </w:r>
      <m:oMath>
        <m:r>
          <w:rPr>
            <w:rFonts w:ascii="Cambria Math" w:eastAsiaTheme="majorEastAsia" w:hAnsi="Cambria Math"/>
            <w:sz w:val="24"/>
            <w:szCs w:val="24"/>
          </w:rPr>
          <m:t>r</m:t>
        </m:r>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352607">
        <w:rPr>
          <w:rFonts w:eastAsiaTheme="majorEastAsia"/>
          <w:sz w:val="24"/>
          <w:szCs w:val="24"/>
        </w:rPr>
        <w:t xml:space="preserve"> and </w:t>
      </w:r>
      <m:oMath>
        <m:r>
          <w:rPr>
            <w:rFonts w:ascii="Cambria Math" w:eastAsiaTheme="majorEastAsia" w:hAnsi="Cambria Math"/>
            <w:sz w:val="24"/>
            <w:szCs w:val="24"/>
          </w:rPr>
          <m:t>u</m:t>
        </m:r>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352607">
        <w:rPr>
          <w:rFonts w:eastAsiaTheme="majorEastAsia"/>
          <w:sz w:val="24"/>
          <w:szCs w:val="24"/>
        </w:rPr>
        <w:t xml:space="preserve">. </w:t>
      </w:r>
    </w:p>
    <w:p w14:paraId="4DDB932B" w14:textId="6A7DD643" w:rsidR="00352607" w:rsidRDefault="00352607" w:rsidP="00352607">
      <w:pPr>
        <w:ind w:firstLine="720"/>
        <w:jc w:val="both"/>
        <w:rPr>
          <w:rFonts w:eastAsiaTheme="majorEastAsia"/>
          <w:sz w:val="24"/>
          <w:szCs w:val="24"/>
        </w:rPr>
      </w:pPr>
      <w:r w:rsidRPr="00352607">
        <w:rPr>
          <w:rFonts w:eastAsiaTheme="majorEastAsia"/>
          <w:sz w:val="24"/>
          <w:szCs w:val="24"/>
        </w:rPr>
        <w:t xml:space="preserve">We use the Generalized Pareto (GP) distribution (Equation 4), with shape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oMath>
      <w:r w:rsidRPr="00352607">
        <w:rPr>
          <w:rFonts w:eastAsiaTheme="majorEastAsia"/>
          <w:sz w:val="24"/>
          <w:szCs w:val="24"/>
        </w:rPr>
        <w:t xml:space="preserve">, scale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oMath>
      <w:r w:rsidRPr="00352607">
        <w:rPr>
          <w:rFonts w:eastAsiaTheme="majorEastAsia"/>
          <w:sz w:val="24"/>
          <w:szCs w:val="24"/>
        </w:rPr>
        <w:t xml:space="preserve">, and location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oMath>
      <w:r w:rsidRPr="00352607">
        <w:rPr>
          <w:rFonts w:eastAsiaTheme="majorEastAsia"/>
          <w:sz w:val="24"/>
          <w:szCs w:val="24"/>
        </w:rPr>
        <w:t>, to model the magnitude of exceedances</w:t>
      </w:r>
      <m:oMath>
        <m:r>
          <w:rPr>
            <w:rFonts w:ascii="Cambria Math" w:eastAsiaTheme="majorEastAsia" w:hAnsi="Cambria Math"/>
            <w:sz w:val="24"/>
            <w:szCs w:val="24"/>
          </w:rPr>
          <m:t xml:space="preserve">. </m:t>
        </m:r>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5"/>
        <w:gridCol w:w="605"/>
      </w:tblGrid>
      <w:tr w:rsidR="0099417F" w:rsidRPr="00E048E4" w14:paraId="43533131" w14:textId="77777777" w:rsidTr="0007665F">
        <w:tc>
          <w:tcPr>
            <w:tcW w:w="8455" w:type="dxa"/>
          </w:tcPr>
          <w:p w14:paraId="6E035898" w14:textId="77777777" w:rsidR="0099417F" w:rsidRPr="0099417F" w:rsidRDefault="00990971" w:rsidP="0007665F">
            <w:pPr>
              <w:jc w:val="both"/>
              <w:rPr>
                <w:rFonts w:eastAsia="MS Gothic"/>
                <w:sz w:val="24"/>
                <w:szCs w:val="24"/>
                <w:lang w:val="en-US"/>
              </w:rPr>
            </w:pPr>
            <m:oMathPara>
              <m:oMath>
                <m:sSub>
                  <m:sSubPr>
                    <m:ctrlPr>
                      <w:rPr>
                        <w:rFonts w:ascii="Cambria Math" w:eastAsia="MS Gothic" w:hAnsi="Cambria Math"/>
                        <w:i/>
                        <w:sz w:val="24"/>
                        <w:szCs w:val="24"/>
                        <w:lang w:val="en-US"/>
                      </w:rPr>
                    </m:ctrlPr>
                  </m:sSubPr>
                  <m:e>
                    <m:r>
                      <w:rPr>
                        <w:rFonts w:ascii="Cambria Math" w:eastAsia="MS Gothic" w:hAnsi="Cambria Math"/>
                        <w:sz w:val="24"/>
                        <w:szCs w:val="24"/>
                        <w:lang w:val="en-US"/>
                      </w:rPr>
                      <m:t>P</m:t>
                    </m:r>
                  </m:e>
                  <m:sub>
                    <m:r>
                      <w:rPr>
                        <w:rFonts w:ascii="Cambria Math" w:eastAsia="MS Gothic" w:hAnsi="Cambria Math"/>
                        <w:sz w:val="24"/>
                        <w:szCs w:val="24"/>
                        <w:lang w:val="en-US"/>
                      </w:rPr>
                      <m:t>GP</m:t>
                    </m:r>
                  </m:sub>
                </m:sSub>
                <m:d>
                  <m:dPr>
                    <m:ctrlPr>
                      <w:rPr>
                        <w:rFonts w:ascii="Cambria Math" w:eastAsia="MS Gothic" w:hAnsi="Cambria Math"/>
                        <w:i/>
                        <w:sz w:val="24"/>
                        <w:szCs w:val="24"/>
                        <w:lang w:val="en-US"/>
                      </w:rPr>
                    </m:ctrlPr>
                  </m:dPr>
                  <m:e>
                    <m:r>
                      <w:rPr>
                        <w:rFonts w:ascii="Cambria Math" w:eastAsia="MS Gothic" w:hAnsi="Cambria Math"/>
                        <w:sz w:val="24"/>
                        <w:szCs w:val="24"/>
                        <w:lang w:val="en-US"/>
                      </w:rPr>
                      <m:t>Q</m:t>
                    </m:r>
                    <m:r>
                      <w:rPr>
                        <w:rFonts w:ascii="Cambria Math" w:eastAsia="MS Gothic" w:hAnsi="Cambria Math"/>
                        <w:sz w:val="24"/>
                        <w:szCs w:val="24"/>
                        <w:lang w:val="en-US"/>
                      </w:rPr>
                      <m:t>≤</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T</m:t>
                        </m:r>
                      </m:sub>
                    </m:sSub>
                    <m:r>
                      <w:rPr>
                        <w:rFonts w:ascii="Cambria Math" w:eastAsia="MS Gothic" w:hAnsi="Cambria Math"/>
                        <w:sz w:val="24"/>
                        <w:szCs w:val="24"/>
                        <w:lang w:val="en-US"/>
                      </w:rPr>
                      <m:t>,</m:t>
                    </m:r>
                    <m:r>
                      <w:rPr>
                        <w:rFonts w:ascii="Cambria Math" w:eastAsia="MS Gothic" w:hAnsi="Cambria Math"/>
                        <w:sz w:val="24"/>
                        <w:szCs w:val="24"/>
                        <w:lang w:val="en-US"/>
                      </w:rPr>
                      <m:t>Q</m:t>
                    </m:r>
                    <m:r>
                      <w:rPr>
                        <w:rFonts w:ascii="Cambria Math" w:eastAsia="MS Gothic" w:hAnsi="Cambria Math"/>
                        <w:sz w:val="24"/>
                        <w:szCs w:val="24"/>
                        <w:lang w:val="en-US"/>
                      </w:rPr>
                      <m:t>&gt;</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μ</m:t>
                        </m:r>
                      </m:e>
                      <m:sub>
                        <m:r>
                          <w:rPr>
                            <w:rFonts w:ascii="Cambria Math" w:eastAsia="MS Gothic" w:hAnsi="Cambria Math"/>
                            <w:sz w:val="24"/>
                            <w:szCs w:val="24"/>
                            <w:lang w:val="en-US"/>
                          </w:rPr>
                          <m:t>p</m:t>
                        </m:r>
                      </m:sub>
                    </m:sSub>
                  </m:e>
                </m:d>
                <m:r>
                  <w:rPr>
                    <w:rFonts w:ascii="Cambria Math" w:eastAsia="MS Gothic" w:hAnsi="Cambria Math"/>
                    <w:sz w:val="24"/>
                    <w:szCs w:val="24"/>
                    <w:lang w:val="en-US"/>
                  </w:rPr>
                  <m:t>=</m:t>
                </m:r>
                <m:d>
                  <m:dPr>
                    <m:begChr m:val="{"/>
                    <m:endChr m:val=""/>
                    <m:ctrlPr>
                      <w:rPr>
                        <w:rFonts w:ascii="Cambria Math" w:eastAsia="MS Gothic" w:hAnsi="Cambria Math"/>
                        <w:i/>
                        <w:sz w:val="24"/>
                        <w:szCs w:val="24"/>
                        <w:lang w:val="en-US"/>
                      </w:rPr>
                    </m:ctrlPr>
                  </m:dPr>
                  <m:e>
                    <m:eqArr>
                      <m:eqArrPr>
                        <m:ctrlPr>
                          <w:rPr>
                            <w:rFonts w:ascii="Cambria Math" w:eastAsia="MS Gothic" w:hAnsi="Cambria Math"/>
                            <w:i/>
                            <w:sz w:val="24"/>
                            <w:szCs w:val="24"/>
                            <w:lang w:val="en-US"/>
                          </w:rPr>
                        </m:ctrlPr>
                      </m:eqArrPr>
                      <m:e>
                        <m:r>
                          <w:rPr>
                            <w:rFonts w:ascii="Cambria Math" w:eastAsia="MS Gothic" w:hAnsi="Cambria Math"/>
                            <w:sz w:val="24"/>
                            <w:szCs w:val="24"/>
                            <w:lang w:val="en-US"/>
                          </w:rPr>
                          <m:t>1-</m:t>
                        </m:r>
                        <m:sSup>
                          <m:sSupPr>
                            <m:ctrlPr>
                              <w:rPr>
                                <w:rFonts w:ascii="Cambria Math" w:eastAsia="MS Gothic" w:hAnsi="Cambria Math"/>
                                <w:i/>
                                <w:sz w:val="24"/>
                                <w:szCs w:val="24"/>
                                <w:lang w:val="en-US"/>
                              </w:rPr>
                            </m:ctrlPr>
                          </m:sSupPr>
                          <m:e>
                            <m:d>
                              <m:dPr>
                                <m:ctrlPr>
                                  <w:rPr>
                                    <w:rFonts w:ascii="Cambria Math" w:eastAsia="MS Gothic" w:hAnsi="Cambria Math"/>
                                    <w:i/>
                                    <w:sz w:val="24"/>
                                    <w:szCs w:val="24"/>
                                    <w:lang w:val="en-US"/>
                                  </w:rPr>
                                </m:ctrlPr>
                              </m:dPr>
                              <m:e>
                                <m:r>
                                  <w:rPr>
                                    <w:rFonts w:ascii="Cambria Math" w:eastAsia="MS Gothic" w:hAnsi="Cambria Math"/>
                                    <w:sz w:val="24"/>
                                    <w:szCs w:val="24"/>
                                    <w:lang w:val="en-US"/>
                                  </w:rPr>
                                  <m:t>1+</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ξ</m:t>
                                    </m:r>
                                  </m:e>
                                  <m:sub>
                                    <m:r>
                                      <w:rPr>
                                        <w:rFonts w:ascii="Cambria Math" w:eastAsia="MS Gothic" w:hAnsi="Cambria Math"/>
                                        <w:sz w:val="24"/>
                                        <w:szCs w:val="24"/>
                                        <w:lang w:val="en-US"/>
                                      </w:rPr>
                                      <m:t>p</m:t>
                                    </m:r>
                                  </m:sub>
                                </m:sSub>
                                <m:f>
                                  <m:fPr>
                                    <m:ctrlPr>
                                      <w:rPr>
                                        <w:rFonts w:ascii="Cambria Math" w:eastAsia="MS Gothic" w:hAnsi="Cambria Math"/>
                                        <w:i/>
                                        <w:sz w:val="24"/>
                                        <w:szCs w:val="24"/>
                                        <w:lang w:val="en-US"/>
                                      </w:rPr>
                                    </m:ctrlPr>
                                  </m:fPr>
                                  <m:num>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T</m:t>
                                        </m:r>
                                      </m:sub>
                                    </m:sSub>
                                    <m:r>
                                      <w:rPr>
                                        <w:rFonts w:ascii="Cambria Math" w:eastAsia="MS Gothic" w:hAnsi="Cambria Math"/>
                                        <w:sz w:val="24"/>
                                        <w:szCs w:val="24"/>
                                        <w:lang w:val="en-US"/>
                                      </w:rPr>
                                      <m:t>-</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μ</m:t>
                                        </m:r>
                                      </m:e>
                                      <m:sub>
                                        <m:r>
                                          <w:rPr>
                                            <w:rFonts w:ascii="Cambria Math" w:eastAsia="MS Gothic" w:hAnsi="Cambria Math"/>
                                            <w:sz w:val="24"/>
                                            <w:szCs w:val="24"/>
                                            <w:lang w:val="en-US"/>
                                          </w:rPr>
                                          <m:t>p</m:t>
                                        </m:r>
                                      </m:sub>
                                    </m:sSub>
                                  </m:num>
                                  <m:den>
                                    <m:sSub>
                                      <m:sSubPr>
                                        <m:ctrlPr>
                                          <w:rPr>
                                            <w:rFonts w:ascii="Cambria Math" w:eastAsia="MS Gothic" w:hAnsi="Cambria Math"/>
                                            <w:i/>
                                            <w:sz w:val="24"/>
                                            <w:szCs w:val="24"/>
                                            <w:lang w:val="en-US"/>
                                          </w:rPr>
                                        </m:ctrlPr>
                                      </m:sSubPr>
                                      <m:e>
                                        <m:r>
                                          <w:rPr>
                                            <w:rFonts w:ascii="Cambria Math" w:eastAsia="MS Gothic" w:hAnsi="Cambria Math"/>
                                            <w:sz w:val="24"/>
                                            <w:szCs w:val="24"/>
                                            <w:lang w:val="en-US"/>
                                          </w:rPr>
                                          <m:t>σ</m:t>
                                        </m:r>
                                      </m:e>
                                      <m:sub>
                                        <m:r>
                                          <w:rPr>
                                            <w:rFonts w:ascii="Cambria Math" w:eastAsia="MS Gothic" w:hAnsi="Cambria Math"/>
                                            <w:sz w:val="24"/>
                                            <w:szCs w:val="24"/>
                                            <w:lang w:val="en-US"/>
                                          </w:rPr>
                                          <m:t>p</m:t>
                                        </m:r>
                                      </m:sub>
                                    </m:sSub>
                                  </m:den>
                                </m:f>
                              </m:e>
                            </m:d>
                          </m:e>
                          <m:sup>
                            <m:r>
                              <w:rPr>
                                <w:rFonts w:ascii="Cambria Math" w:eastAsia="MS Gothic" w:hAnsi="Cambria Math"/>
                                <w:sz w:val="24"/>
                                <w:szCs w:val="24"/>
                                <w:lang w:val="en-US"/>
                              </w:rPr>
                              <m:t>-</m:t>
                            </m:r>
                            <m:f>
                              <m:fPr>
                                <m:ctrlPr>
                                  <w:rPr>
                                    <w:rFonts w:ascii="Cambria Math" w:eastAsia="MS Gothic" w:hAnsi="Cambria Math"/>
                                    <w:i/>
                                    <w:sz w:val="24"/>
                                    <w:szCs w:val="24"/>
                                    <w:lang w:val="en-US"/>
                                  </w:rPr>
                                </m:ctrlPr>
                              </m:fPr>
                              <m:num>
                                <m:r>
                                  <w:rPr>
                                    <w:rFonts w:ascii="Cambria Math" w:eastAsia="MS Gothic" w:hAnsi="Cambria Math"/>
                                    <w:sz w:val="24"/>
                                    <w:szCs w:val="24"/>
                                    <w:lang w:val="en-US"/>
                                  </w:rPr>
                                  <m:t>1</m:t>
                                </m:r>
                              </m:num>
                              <m:den>
                                <m:sSub>
                                  <m:sSubPr>
                                    <m:ctrlPr>
                                      <w:rPr>
                                        <w:rFonts w:ascii="Cambria Math" w:eastAsia="MS Gothic" w:hAnsi="Cambria Math"/>
                                        <w:i/>
                                        <w:sz w:val="24"/>
                                        <w:szCs w:val="24"/>
                                        <w:lang w:val="en-US"/>
                                      </w:rPr>
                                    </m:ctrlPr>
                                  </m:sSubPr>
                                  <m:e>
                                    <m:r>
                                      <w:rPr>
                                        <w:rFonts w:ascii="Cambria Math" w:eastAsia="MS Gothic" w:hAnsi="Cambria Math"/>
                                        <w:sz w:val="24"/>
                                        <w:szCs w:val="24"/>
                                        <w:lang w:val="en-US"/>
                                      </w:rPr>
                                      <m:t>ξ</m:t>
                                    </m:r>
                                  </m:e>
                                  <m:sub>
                                    <m:r>
                                      <w:rPr>
                                        <w:rFonts w:ascii="Cambria Math" w:eastAsia="MS Gothic" w:hAnsi="Cambria Math"/>
                                        <w:sz w:val="24"/>
                                        <w:szCs w:val="24"/>
                                        <w:lang w:val="en-US"/>
                                      </w:rPr>
                                      <m:t>p</m:t>
                                    </m:r>
                                  </m:sub>
                                </m:sSub>
                              </m:den>
                            </m:f>
                          </m:sup>
                        </m:sSup>
                        <m:r>
                          <w:rPr>
                            <w:rFonts w:ascii="Cambria Math" w:eastAsia="MS Gothic" w:hAnsi="Cambria Math"/>
                            <w:sz w:val="24"/>
                            <w:szCs w:val="24"/>
                            <w:lang w:val="en-US"/>
                          </w:rPr>
                          <m:t xml:space="preserve">,  </m:t>
                        </m:r>
                        <m:r>
                          <w:rPr>
                            <w:rFonts w:ascii="Cambria Math" w:eastAsia="MS Gothic" w:hAnsi="Cambria Math"/>
                            <w:sz w:val="24"/>
                            <w:szCs w:val="24"/>
                            <w:lang w:val="en-US"/>
                          </w:rPr>
                          <m:t>for</m:t>
                        </m:r>
                        <m:r>
                          <w:rPr>
                            <w:rFonts w:ascii="Cambria Math" w:eastAsia="MS Gothic" w:hAnsi="Cambria Math"/>
                            <w:sz w:val="24"/>
                            <w:szCs w:val="24"/>
                            <w:lang w:val="en-US"/>
                          </w:rPr>
                          <m:t xml:space="preserve"> </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ξ</m:t>
                            </m:r>
                          </m:e>
                          <m:sub>
                            <m:r>
                              <w:rPr>
                                <w:rFonts w:ascii="Cambria Math" w:eastAsia="MS Gothic" w:hAnsi="Cambria Math"/>
                                <w:sz w:val="24"/>
                                <w:szCs w:val="24"/>
                                <w:lang w:val="en-US"/>
                              </w:rPr>
                              <m:t>p</m:t>
                            </m:r>
                          </m:sub>
                        </m:sSub>
                        <m:r>
                          <w:rPr>
                            <w:rFonts w:ascii="Cambria Math" w:eastAsia="MS Gothic" w:hAnsi="Cambria Math"/>
                            <w:sz w:val="24"/>
                            <w:szCs w:val="24"/>
                            <w:lang w:val="en-US"/>
                          </w:rPr>
                          <m:t>≠0</m:t>
                        </m:r>
                      </m:e>
                      <m:e>
                        <m:r>
                          <w:rPr>
                            <w:rFonts w:ascii="Cambria Math" w:eastAsia="MS Gothic" w:hAnsi="Cambria Math"/>
                            <w:sz w:val="24"/>
                            <w:szCs w:val="24"/>
                            <w:lang w:val="en-US"/>
                          </w:rPr>
                          <m:t>1-</m:t>
                        </m:r>
                        <m:func>
                          <m:funcPr>
                            <m:ctrlPr>
                              <w:rPr>
                                <w:rFonts w:ascii="Cambria Math" w:eastAsia="MS Gothic" w:hAnsi="Cambria Math"/>
                                <w:i/>
                                <w:sz w:val="24"/>
                                <w:szCs w:val="24"/>
                                <w:lang w:val="en-US"/>
                              </w:rPr>
                            </m:ctrlPr>
                          </m:funcPr>
                          <m:fName>
                            <m:r>
                              <m:rPr>
                                <m:sty m:val="p"/>
                              </m:rPr>
                              <w:rPr>
                                <w:rFonts w:ascii="Cambria Math" w:eastAsia="MS Gothic" w:hAnsi="Cambria Math"/>
                                <w:sz w:val="24"/>
                                <w:szCs w:val="24"/>
                                <w:lang w:val="en-US"/>
                              </w:rPr>
                              <m:t>exp</m:t>
                            </m:r>
                          </m:fName>
                          <m:e>
                            <m:d>
                              <m:dPr>
                                <m:ctrlPr>
                                  <w:rPr>
                                    <w:rFonts w:ascii="Cambria Math" w:eastAsia="MS Gothic" w:hAnsi="Cambria Math"/>
                                    <w:i/>
                                    <w:sz w:val="24"/>
                                    <w:szCs w:val="24"/>
                                    <w:lang w:val="en-US"/>
                                  </w:rPr>
                                </m:ctrlPr>
                              </m:dPr>
                              <m:e>
                                <m:r>
                                  <w:rPr>
                                    <w:rFonts w:ascii="Cambria Math" w:eastAsia="MS Gothic" w:hAnsi="Cambria Math"/>
                                    <w:sz w:val="24"/>
                                    <w:szCs w:val="24"/>
                                    <w:lang w:val="en-US"/>
                                  </w:rPr>
                                  <m:t>-</m:t>
                                </m:r>
                                <m:f>
                                  <m:fPr>
                                    <m:ctrlPr>
                                      <w:rPr>
                                        <w:rFonts w:ascii="Cambria Math" w:eastAsia="MS Gothic" w:hAnsi="Cambria Math"/>
                                        <w:i/>
                                        <w:sz w:val="24"/>
                                        <w:szCs w:val="24"/>
                                        <w:lang w:val="en-US"/>
                                      </w:rPr>
                                    </m:ctrlPr>
                                  </m:fPr>
                                  <m:num>
                                    <m:sSub>
                                      <m:sSubPr>
                                        <m:ctrlPr>
                                          <w:rPr>
                                            <w:rFonts w:ascii="Cambria Math" w:eastAsia="MS Gothic" w:hAnsi="Cambria Math"/>
                                            <w:i/>
                                            <w:sz w:val="24"/>
                                            <w:szCs w:val="24"/>
                                            <w:lang w:val="en-US"/>
                                          </w:rPr>
                                        </m:ctrlPr>
                                      </m:sSubPr>
                                      <m:e>
                                        <m:r>
                                          <w:rPr>
                                            <w:rFonts w:ascii="Cambria Math" w:eastAsia="MS Gothic" w:hAnsi="Cambria Math"/>
                                            <w:sz w:val="24"/>
                                            <w:szCs w:val="24"/>
                                            <w:lang w:val="en-US"/>
                                          </w:rPr>
                                          <m:t>Q</m:t>
                                        </m:r>
                                      </m:e>
                                      <m:sub>
                                        <m:r>
                                          <w:rPr>
                                            <w:rFonts w:ascii="Cambria Math" w:eastAsia="MS Gothic" w:hAnsi="Cambria Math"/>
                                            <w:sz w:val="24"/>
                                            <w:szCs w:val="24"/>
                                            <w:lang w:val="en-US"/>
                                          </w:rPr>
                                          <m:t>T</m:t>
                                        </m:r>
                                      </m:sub>
                                    </m:sSub>
                                    <m:r>
                                      <w:rPr>
                                        <w:rFonts w:ascii="Cambria Math" w:eastAsia="MS Gothic" w:hAnsi="Cambria Math"/>
                                        <w:sz w:val="24"/>
                                        <w:szCs w:val="24"/>
                                        <w:lang w:val="en-US"/>
                                      </w:rPr>
                                      <m:t>-</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μ</m:t>
                                        </m:r>
                                      </m:e>
                                      <m:sub>
                                        <m:r>
                                          <w:rPr>
                                            <w:rFonts w:ascii="Cambria Math" w:eastAsia="MS Gothic" w:hAnsi="Cambria Math"/>
                                            <w:sz w:val="24"/>
                                            <w:szCs w:val="24"/>
                                            <w:lang w:val="en-US"/>
                                          </w:rPr>
                                          <m:t>p</m:t>
                                        </m:r>
                                      </m:sub>
                                    </m:sSub>
                                  </m:num>
                                  <m:den>
                                    <m:sSub>
                                      <m:sSubPr>
                                        <m:ctrlPr>
                                          <w:rPr>
                                            <w:rFonts w:ascii="Cambria Math" w:eastAsia="MS Gothic" w:hAnsi="Cambria Math"/>
                                            <w:i/>
                                            <w:sz w:val="24"/>
                                            <w:szCs w:val="24"/>
                                            <w:lang w:val="en-US"/>
                                          </w:rPr>
                                        </m:ctrlPr>
                                      </m:sSubPr>
                                      <m:e>
                                        <m:r>
                                          <w:rPr>
                                            <w:rFonts w:ascii="Cambria Math" w:eastAsia="MS Gothic" w:hAnsi="Cambria Math"/>
                                            <w:sz w:val="24"/>
                                            <w:szCs w:val="24"/>
                                            <w:lang w:val="en-US"/>
                                          </w:rPr>
                                          <m:t>σ</m:t>
                                        </m:r>
                                      </m:e>
                                      <m:sub>
                                        <m:r>
                                          <w:rPr>
                                            <w:rFonts w:ascii="Cambria Math" w:eastAsia="MS Gothic" w:hAnsi="Cambria Math"/>
                                            <w:sz w:val="24"/>
                                            <w:szCs w:val="24"/>
                                            <w:lang w:val="en-US"/>
                                          </w:rPr>
                                          <m:t>p</m:t>
                                        </m:r>
                                      </m:sub>
                                    </m:sSub>
                                  </m:den>
                                </m:f>
                              </m:e>
                            </m:d>
                            <m:r>
                              <w:rPr>
                                <w:rFonts w:ascii="Cambria Math" w:eastAsia="MS Gothic" w:hAnsi="Cambria Math"/>
                                <w:sz w:val="24"/>
                                <w:szCs w:val="24"/>
                                <w:lang w:val="en-US"/>
                              </w:rPr>
                              <m:t xml:space="preserve">  </m:t>
                            </m:r>
                          </m:e>
                        </m:func>
                        <m:r>
                          <w:rPr>
                            <w:rFonts w:ascii="Cambria Math" w:eastAsia="MS Gothic" w:hAnsi="Cambria Math"/>
                            <w:sz w:val="24"/>
                            <w:szCs w:val="24"/>
                            <w:lang w:val="en-US"/>
                          </w:rPr>
                          <m:t xml:space="preserve">   ,  </m:t>
                        </m:r>
                        <m:r>
                          <w:rPr>
                            <w:rFonts w:ascii="Cambria Math" w:eastAsia="MS Gothic" w:hAnsi="Cambria Math"/>
                            <w:sz w:val="24"/>
                            <w:szCs w:val="24"/>
                            <w:lang w:val="en-US"/>
                          </w:rPr>
                          <m:t>for</m:t>
                        </m:r>
                        <m:r>
                          <w:rPr>
                            <w:rFonts w:ascii="Cambria Math" w:eastAsia="MS Gothic" w:hAnsi="Cambria Math"/>
                            <w:sz w:val="24"/>
                            <w:szCs w:val="24"/>
                            <w:lang w:val="en-US"/>
                          </w:rPr>
                          <m:t xml:space="preserve"> </m:t>
                        </m:r>
                        <m:sSub>
                          <m:sSubPr>
                            <m:ctrlPr>
                              <w:rPr>
                                <w:rFonts w:ascii="Cambria Math" w:eastAsia="MS Gothic" w:hAnsi="Cambria Math"/>
                                <w:i/>
                                <w:sz w:val="24"/>
                                <w:szCs w:val="24"/>
                                <w:lang w:val="en-US"/>
                              </w:rPr>
                            </m:ctrlPr>
                          </m:sSubPr>
                          <m:e>
                            <m:r>
                              <w:rPr>
                                <w:rFonts w:ascii="Cambria Math" w:eastAsia="MS Gothic" w:hAnsi="Cambria Math"/>
                                <w:sz w:val="24"/>
                                <w:szCs w:val="24"/>
                                <w:lang w:val="en-US"/>
                              </w:rPr>
                              <m:t>ξ</m:t>
                            </m:r>
                          </m:e>
                          <m:sub>
                            <m:r>
                              <w:rPr>
                                <w:rFonts w:ascii="Cambria Math" w:eastAsia="MS Gothic" w:hAnsi="Cambria Math"/>
                                <w:sz w:val="24"/>
                                <w:szCs w:val="24"/>
                                <w:lang w:val="en-US"/>
                              </w:rPr>
                              <m:t>p</m:t>
                            </m:r>
                          </m:sub>
                        </m:sSub>
                        <m:r>
                          <w:rPr>
                            <w:rFonts w:ascii="Cambria Math" w:eastAsia="MS Gothic" w:hAnsi="Cambria Math"/>
                            <w:sz w:val="24"/>
                            <w:szCs w:val="24"/>
                            <w:lang w:val="en-US"/>
                          </w:rPr>
                          <m:t xml:space="preserve">=0  </m:t>
                        </m:r>
                      </m:e>
                    </m:eqArr>
                  </m:e>
                </m:d>
              </m:oMath>
            </m:oMathPara>
          </w:p>
        </w:tc>
        <w:tc>
          <w:tcPr>
            <w:tcW w:w="605" w:type="dxa"/>
            <w:vAlign w:val="center"/>
          </w:tcPr>
          <w:p w14:paraId="116AA546" w14:textId="77777777" w:rsidR="0099417F" w:rsidRPr="0099417F" w:rsidRDefault="0099417F" w:rsidP="0007665F">
            <w:pPr>
              <w:jc w:val="both"/>
              <w:rPr>
                <w:rFonts w:eastAsiaTheme="majorEastAsia"/>
                <w:sz w:val="24"/>
                <w:szCs w:val="24"/>
                <w:lang w:val="en-US"/>
              </w:rPr>
            </w:pPr>
            <w:r w:rsidRPr="0099417F">
              <w:rPr>
                <w:rFonts w:eastAsiaTheme="majorEastAsia"/>
                <w:sz w:val="24"/>
                <w:szCs w:val="24"/>
                <w:lang w:val="en-US"/>
              </w:rPr>
              <w:t>(</w:t>
            </w:r>
            <w:r w:rsidRPr="0099417F">
              <w:rPr>
                <w:sz w:val="24"/>
                <w:szCs w:val="24"/>
              </w:rPr>
              <w:fldChar w:fldCharType="begin"/>
            </w:r>
            <w:r w:rsidRPr="0099417F">
              <w:rPr>
                <w:sz w:val="24"/>
                <w:szCs w:val="24"/>
                <w:lang w:val="en-US"/>
              </w:rPr>
              <w:instrText xml:space="preserve"> SEQ Equazione \* ARABIC </w:instrText>
            </w:r>
            <w:r w:rsidRPr="0099417F">
              <w:rPr>
                <w:sz w:val="24"/>
                <w:szCs w:val="24"/>
              </w:rPr>
              <w:fldChar w:fldCharType="separate"/>
            </w:r>
            <w:r w:rsidRPr="0099417F">
              <w:rPr>
                <w:noProof/>
                <w:sz w:val="24"/>
                <w:szCs w:val="24"/>
                <w:lang w:val="en-US"/>
              </w:rPr>
              <w:t>4</w:t>
            </w:r>
            <w:r w:rsidRPr="0099417F">
              <w:rPr>
                <w:sz w:val="24"/>
                <w:szCs w:val="24"/>
              </w:rPr>
              <w:fldChar w:fldCharType="end"/>
            </w:r>
            <w:r w:rsidRPr="0099417F">
              <w:rPr>
                <w:sz w:val="24"/>
                <w:szCs w:val="24"/>
                <w:lang w:val="en-US"/>
              </w:rPr>
              <w:t>)</w:t>
            </w:r>
          </w:p>
        </w:tc>
      </w:tr>
    </w:tbl>
    <w:p w14:paraId="05D66B1F" w14:textId="71ECE558" w:rsidR="00021590" w:rsidRDefault="00021590" w:rsidP="00021590">
      <w:pPr>
        <w:ind w:firstLine="720"/>
        <w:jc w:val="both"/>
        <w:rPr>
          <w:rFonts w:eastAsiaTheme="majorEastAsia"/>
          <w:sz w:val="24"/>
          <w:szCs w:val="24"/>
        </w:rPr>
      </w:pPr>
      <w:r w:rsidRPr="00021590">
        <w:rPr>
          <w:rFonts w:eastAsiaTheme="majorEastAsia"/>
          <w:sz w:val="24"/>
          <w:szCs w:val="24"/>
        </w:rPr>
        <w:t xml:space="preserve">GP is defined on the set </w:t>
      </w:r>
      <m:oMath>
        <m:d>
          <m:dPr>
            <m:begChr m:val="{"/>
            <m:endChr m:val="}"/>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&gt;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e>
        </m:d>
        <m:r>
          <w:rPr>
            <w:rFonts w:ascii="Cambria Math" w:eastAsiaTheme="majorEastAsia" w:hAnsi="Cambria Math"/>
            <w:sz w:val="24"/>
            <w:szCs w:val="24"/>
          </w:rPr>
          <m:t xml:space="preserve"> </m:t>
        </m:r>
      </m:oMath>
      <w:r w:rsidRPr="00021590">
        <w:rPr>
          <w:rFonts w:eastAsiaTheme="majorEastAsia"/>
          <w:sz w:val="24"/>
          <w:szCs w:val="24"/>
        </w:rPr>
        <w:t xml:space="preserve"> when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oMath>
      <w:r w:rsidRPr="00021590">
        <w:rPr>
          <w:rFonts w:eastAsiaTheme="majorEastAsia"/>
          <w:sz w:val="24"/>
          <w:szCs w:val="24"/>
        </w:rPr>
        <w:t xml:space="preserve">, and </w:t>
      </w:r>
      <m:oMath>
        <m:d>
          <m:dPr>
            <m:begChr m:val="{"/>
            <m:endChr m:val="}"/>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&lt;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&lt;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e>
        </m:d>
      </m:oMath>
      <w:r w:rsidRPr="00021590">
        <w:rPr>
          <w:rFonts w:eastAsiaTheme="majorEastAsia"/>
          <w:sz w:val="24"/>
          <w:szCs w:val="24"/>
        </w:rPr>
        <w:t xml:space="preserve"> when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&lt;0</m:t>
        </m:r>
      </m:oMath>
      <w:r w:rsidRPr="00021590">
        <w:rPr>
          <w:rFonts w:eastAsiaTheme="majorEastAsia"/>
          <w:sz w:val="24"/>
          <w:szCs w:val="24"/>
        </w:rPr>
        <w:t xml:space="preserve">. For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oMath>
      <w:r w:rsidRPr="00021590">
        <w:rPr>
          <w:rFonts w:eastAsiaTheme="majorEastAsia"/>
          <w:sz w:val="24"/>
          <w:szCs w:val="24"/>
        </w:rPr>
        <w:t xml:space="preserve">, GP degenerates to a shifted exponential distribution (Coles, 2001). For the AM, we consider the derived distributions from the total probability theorem (Eq. 3) for three alternative count models of </w:t>
      </w:r>
      <m:oMath>
        <m:r>
          <w:rPr>
            <w:rFonts w:ascii="Cambria Math" w:eastAsiaTheme="majorEastAsia" w:hAnsi="Cambria Math"/>
            <w:sz w:val="24"/>
            <w:szCs w:val="24"/>
          </w:rPr>
          <m:t>m</m:t>
        </m:r>
      </m:oMath>
      <w:r w:rsidRPr="00021590">
        <w:rPr>
          <w:rFonts w:eastAsiaTheme="majorEastAsia"/>
          <w:sz w:val="24"/>
          <w:szCs w:val="24"/>
        </w:rPr>
        <w:t xml:space="preserve">, namely the Poisson (PSN), Negative Binomial (NEG), and Binomial (BIN) distributions, given by </w:t>
      </w:r>
      <w:proofErr w:type="spellStart"/>
      <w:r w:rsidRPr="00021590">
        <w:rPr>
          <w:rFonts w:eastAsiaTheme="majorEastAsia"/>
          <w:sz w:val="24"/>
          <w:szCs w:val="24"/>
        </w:rPr>
        <w:t>Eqs</w:t>
      </w:r>
      <w:proofErr w:type="spellEnd"/>
      <w:r w:rsidRPr="00021590">
        <w:rPr>
          <w:rFonts w:eastAsiaTheme="majorEastAsia"/>
          <w:sz w:val="24"/>
          <w:szCs w:val="24"/>
        </w:rPr>
        <w:t xml:space="preserve">. (5), (6), and (7), respectively. While the PSN is the </w:t>
      </w:r>
      <w:r w:rsidRPr="00021590">
        <w:rPr>
          <w:rFonts w:eastAsiaTheme="majorEastAsia"/>
          <w:sz w:val="24"/>
          <w:szCs w:val="24"/>
        </w:rPr>
        <w:lastRenderedPageBreak/>
        <w:t>most popular (</w:t>
      </w:r>
      <w:proofErr w:type="spellStart"/>
      <w:r w:rsidRPr="00021590">
        <w:rPr>
          <w:rFonts w:eastAsiaTheme="majorEastAsia"/>
          <w:sz w:val="24"/>
          <w:szCs w:val="24"/>
        </w:rPr>
        <w:t>Bezak</w:t>
      </w:r>
      <w:proofErr w:type="spellEnd"/>
      <w:r w:rsidRPr="00021590">
        <w:rPr>
          <w:rFonts w:eastAsiaTheme="majorEastAsia"/>
          <w:sz w:val="24"/>
          <w:szCs w:val="24"/>
        </w:rPr>
        <w:t xml:space="preserve"> et al., 2014; Pan et al., 2022; Wang &amp; Holmes, 2020), some authors (e.g., </w:t>
      </w:r>
      <w:proofErr w:type="spellStart"/>
      <w:r w:rsidRPr="00021590">
        <w:rPr>
          <w:rFonts w:eastAsiaTheme="majorEastAsia"/>
          <w:sz w:val="24"/>
          <w:szCs w:val="24"/>
        </w:rPr>
        <w:t>Bezak</w:t>
      </w:r>
      <w:proofErr w:type="spellEnd"/>
      <w:r w:rsidRPr="00021590">
        <w:rPr>
          <w:rFonts w:eastAsiaTheme="majorEastAsia"/>
          <w:sz w:val="24"/>
          <w:szCs w:val="24"/>
        </w:rPr>
        <w:t xml:space="preserve"> et al., 2014; </w:t>
      </w:r>
      <w:proofErr w:type="spellStart"/>
      <w:r w:rsidRPr="00021590">
        <w:rPr>
          <w:rFonts w:eastAsiaTheme="majorEastAsia"/>
          <w:sz w:val="24"/>
          <w:szCs w:val="24"/>
        </w:rPr>
        <w:t>Bhunya</w:t>
      </w:r>
      <w:proofErr w:type="spellEnd"/>
      <w:r w:rsidRPr="00021590">
        <w:rPr>
          <w:rFonts w:eastAsiaTheme="majorEastAsia"/>
          <w:sz w:val="24"/>
          <w:szCs w:val="24"/>
        </w:rPr>
        <w:t xml:space="preserve"> et al., 2013; </w:t>
      </w:r>
      <w:proofErr w:type="spellStart"/>
      <w:r w:rsidRPr="00021590">
        <w:rPr>
          <w:rFonts w:eastAsiaTheme="majorEastAsia"/>
          <w:sz w:val="24"/>
          <w:szCs w:val="24"/>
        </w:rPr>
        <w:t>Önöz</w:t>
      </w:r>
      <w:proofErr w:type="spellEnd"/>
      <w:r w:rsidRPr="00021590">
        <w:rPr>
          <w:rFonts w:eastAsiaTheme="majorEastAsia"/>
          <w:sz w:val="24"/>
          <w:szCs w:val="24"/>
        </w:rPr>
        <w:t xml:space="preserve"> &amp; </w:t>
      </w:r>
      <w:proofErr w:type="spellStart"/>
      <w:r w:rsidRPr="00021590">
        <w:rPr>
          <w:rFonts w:eastAsiaTheme="majorEastAsia"/>
          <w:sz w:val="24"/>
          <w:szCs w:val="24"/>
        </w:rPr>
        <w:t>Bayazit</w:t>
      </w:r>
      <w:proofErr w:type="spellEnd"/>
      <w:r w:rsidRPr="00021590">
        <w:rPr>
          <w:rFonts w:eastAsiaTheme="majorEastAsia"/>
          <w:sz w:val="24"/>
          <w:szCs w:val="24"/>
        </w:rPr>
        <w:t xml:space="preserve">, 2001) have proposed NEG and BIN as alternative models to deal with cases of over- or under-dispersion,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5"/>
        <w:gridCol w:w="605"/>
      </w:tblGrid>
      <w:tr w:rsidR="00416F24" w:rsidRPr="00E048E4" w14:paraId="7D15CAA1" w14:textId="77777777" w:rsidTr="0007665F">
        <w:tc>
          <w:tcPr>
            <w:tcW w:w="8455" w:type="dxa"/>
          </w:tcPr>
          <w:p w14:paraId="27DCA3D8" w14:textId="77777777" w:rsidR="00416F24" w:rsidRPr="00416F24" w:rsidRDefault="00990971" w:rsidP="0007665F">
            <w:pPr>
              <w:jc w:val="both"/>
              <w:rPr>
                <w:rFonts w:eastAsia="MS Gothic"/>
                <w:sz w:val="24"/>
                <w:szCs w:val="24"/>
                <w:lang w:val="en-US"/>
              </w:rPr>
            </w:pPr>
            <m:oMathPara>
              <m:oMath>
                <m:sSub>
                  <m:sSubPr>
                    <m:ctrlPr>
                      <w:rPr>
                        <w:rFonts w:ascii="Cambria Math" w:eastAsia="MS Gothic" w:hAnsi="Cambria Math"/>
                        <w:i/>
                        <w:sz w:val="24"/>
                        <w:szCs w:val="24"/>
                        <w:lang w:val="en-US"/>
                      </w:rPr>
                    </m:ctrlPr>
                  </m:sSubPr>
                  <m:e>
                    <m:r>
                      <w:rPr>
                        <w:rFonts w:ascii="Cambria Math" w:eastAsia="MS Gothic" w:hAnsi="Cambria Math"/>
                        <w:sz w:val="24"/>
                        <w:szCs w:val="24"/>
                        <w:lang w:val="en-US"/>
                      </w:rPr>
                      <m:t>P</m:t>
                    </m:r>
                  </m:e>
                  <m:sub>
                    <m:r>
                      <w:rPr>
                        <w:rFonts w:ascii="Cambria Math" w:eastAsia="MS Gothic" w:hAnsi="Cambria Math"/>
                        <w:sz w:val="24"/>
                        <w:szCs w:val="24"/>
                        <w:lang w:val="en-US"/>
                      </w:rPr>
                      <m:t>PSN</m:t>
                    </m:r>
                  </m:sub>
                </m:sSub>
                <m:d>
                  <m:dPr>
                    <m:ctrlPr>
                      <w:rPr>
                        <w:rFonts w:ascii="Cambria Math" w:eastAsia="MS Gothic" w:hAnsi="Cambria Math"/>
                        <w:i/>
                        <w:sz w:val="24"/>
                        <w:szCs w:val="24"/>
                        <w:lang w:val="en-US"/>
                      </w:rPr>
                    </m:ctrlPr>
                  </m:dPr>
                  <m:e>
                    <m:r>
                      <w:rPr>
                        <w:rFonts w:ascii="Cambria Math" w:eastAsia="MS Gothic" w:hAnsi="Cambria Math"/>
                        <w:sz w:val="24"/>
                        <w:szCs w:val="24"/>
                        <w:lang w:val="en-US"/>
                      </w:rPr>
                      <m:t>m</m:t>
                    </m:r>
                    <m:r>
                      <w:rPr>
                        <w:rFonts w:ascii="Cambria Math" w:eastAsia="MS Gothic" w:hAnsi="Cambria Math"/>
                        <w:sz w:val="24"/>
                        <w:szCs w:val="24"/>
                        <w:lang w:val="en-US"/>
                      </w:rPr>
                      <m:t>=</m:t>
                    </m:r>
                    <m:r>
                      <w:rPr>
                        <w:rFonts w:ascii="Cambria Math" w:eastAsia="MS Gothic" w:hAnsi="Cambria Math"/>
                        <w:sz w:val="24"/>
                        <w:szCs w:val="24"/>
                        <w:lang w:val="en-US"/>
                      </w:rPr>
                      <m:t>k</m:t>
                    </m:r>
                    <m:r>
                      <w:rPr>
                        <w:rFonts w:ascii="Cambria Math" w:eastAsia="MS Gothic" w:hAnsi="Cambria Math"/>
                        <w:sz w:val="24"/>
                        <w:szCs w:val="24"/>
                        <w:lang w:val="en-US"/>
                      </w:rPr>
                      <m:t>,</m:t>
                    </m:r>
                    <m:r>
                      <w:rPr>
                        <w:rFonts w:ascii="Cambria Math" w:eastAsia="MS Gothic" w:hAnsi="Cambria Math"/>
                        <w:sz w:val="24"/>
                        <w:szCs w:val="24"/>
                        <w:lang w:val="en-US"/>
                      </w:rPr>
                      <m:t>λ</m:t>
                    </m:r>
                    <m:r>
                      <w:rPr>
                        <w:rFonts w:ascii="Cambria Math" w:eastAsia="MS Gothic" w:hAnsi="Cambria Math"/>
                        <w:sz w:val="24"/>
                        <w:szCs w:val="24"/>
                        <w:lang w:val="en-US"/>
                      </w:rPr>
                      <m:t xml:space="preserve"> </m:t>
                    </m:r>
                  </m:e>
                </m:d>
                <m:r>
                  <w:rPr>
                    <w:rFonts w:ascii="Cambria Math" w:eastAsia="MS Gothic" w:hAnsi="Cambria Math"/>
                    <w:sz w:val="24"/>
                    <w:szCs w:val="24"/>
                    <w:lang w:val="en-US"/>
                  </w:rPr>
                  <m:t>=</m:t>
                </m:r>
                <m:f>
                  <m:fPr>
                    <m:ctrlPr>
                      <w:rPr>
                        <w:rFonts w:ascii="Cambria Math" w:eastAsia="MS Gothic" w:hAnsi="Cambria Math"/>
                        <w:i/>
                        <w:sz w:val="24"/>
                        <w:szCs w:val="24"/>
                        <w:lang w:val="en-US"/>
                      </w:rPr>
                    </m:ctrlPr>
                  </m:fPr>
                  <m:num>
                    <m:sSup>
                      <m:sSupPr>
                        <m:ctrlPr>
                          <w:rPr>
                            <w:rFonts w:ascii="Cambria Math" w:eastAsia="MS Gothic" w:hAnsi="Cambria Math"/>
                            <w:i/>
                            <w:sz w:val="24"/>
                            <w:szCs w:val="24"/>
                            <w:lang w:val="en-US"/>
                          </w:rPr>
                        </m:ctrlPr>
                      </m:sSupPr>
                      <m:e>
                        <m:r>
                          <w:rPr>
                            <w:rFonts w:ascii="Cambria Math" w:eastAsia="MS Gothic" w:hAnsi="Cambria Math"/>
                            <w:sz w:val="24"/>
                            <w:szCs w:val="24"/>
                            <w:lang w:val="en-US"/>
                          </w:rPr>
                          <m:t>e</m:t>
                        </m:r>
                      </m:e>
                      <m:sup>
                        <m:r>
                          <w:rPr>
                            <w:rFonts w:ascii="Cambria Math" w:eastAsia="MS Gothic" w:hAnsi="Cambria Math"/>
                            <w:sz w:val="24"/>
                            <w:szCs w:val="24"/>
                            <w:lang w:val="en-US"/>
                          </w:rPr>
                          <m:t>-</m:t>
                        </m:r>
                        <m:r>
                          <w:rPr>
                            <w:rFonts w:ascii="Cambria Math" w:eastAsia="MS Gothic" w:hAnsi="Cambria Math"/>
                            <w:sz w:val="24"/>
                            <w:szCs w:val="24"/>
                            <w:lang w:val="en-US"/>
                          </w:rPr>
                          <m:t>λ</m:t>
                        </m:r>
                      </m:sup>
                    </m:sSup>
                    <m:sSup>
                      <m:sSupPr>
                        <m:ctrlPr>
                          <w:rPr>
                            <w:rFonts w:ascii="Cambria Math" w:eastAsia="MS Gothic" w:hAnsi="Cambria Math"/>
                            <w:i/>
                            <w:sz w:val="24"/>
                            <w:szCs w:val="24"/>
                            <w:lang w:val="en-US"/>
                          </w:rPr>
                        </m:ctrlPr>
                      </m:sSupPr>
                      <m:e>
                        <m:r>
                          <w:rPr>
                            <w:rFonts w:ascii="Cambria Math" w:eastAsia="MS Gothic" w:hAnsi="Cambria Math"/>
                            <w:sz w:val="24"/>
                            <w:szCs w:val="24"/>
                            <w:lang w:val="en-US"/>
                          </w:rPr>
                          <m:t>λ</m:t>
                        </m:r>
                      </m:e>
                      <m:sup>
                        <m:r>
                          <w:rPr>
                            <w:rFonts w:ascii="Cambria Math" w:eastAsia="MS Gothic" w:hAnsi="Cambria Math"/>
                            <w:sz w:val="24"/>
                            <w:szCs w:val="24"/>
                            <w:lang w:val="en-US"/>
                          </w:rPr>
                          <m:t>k</m:t>
                        </m:r>
                      </m:sup>
                    </m:sSup>
                  </m:num>
                  <m:den>
                    <m:r>
                      <w:rPr>
                        <w:rFonts w:ascii="Cambria Math" w:eastAsia="MS Gothic" w:hAnsi="Cambria Math"/>
                        <w:sz w:val="24"/>
                        <w:szCs w:val="24"/>
                        <w:lang w:val="en-US"/>
                      </w:rPr>
                      <m:t>k</m:t>
                    </m:r>
                    <m:r>
                      <w:rPr>
                        <w:rFonts w:ascii="Cambria Math" w:eastAsia="MS Gothic" w:hAnsi="Cambria Math"/>
                        <w:sz w:val="24"/>
                        <w:szCs w:val="24"/>
                        <w:lang w:val="en-US"/>
                      </w:rPr>
                      <m:t>!</m:t>
                    </m:r>
                  </m:den>
                </m:f>
              </m:oMath>
            </m:oMathPara>
          </w:p>
        </w:tc>
        <w:tc>
          <w:tcPr>
            <w:tcW w:w="605" w:type="dxa"/>
            <w:vAlign w:val="center"/>
          </w:tcPr>
          <w:p w14:paraId="56866677" w14:textId="77777777" w:rsidR="00416F24" w:rsidRPr="00416F24" w:rsidRDefault="00416F24" w:rsidP="0007665F">
            <w:pPr>
              <w:jc w:val="both"/>
              <w:rPr>
                <w:rFonts w:eastAsiaTheme="majorEastAsia"/>
                <w:sz w:val="24"/>
                <w:szCs w:val="24"/>
                <w:lang w:val="en-US"/>
              </w:rPr>
            </w:pPr>
            <w:r w:rsidRPr="00416F24">
              <w:rPr>
                <w:rFonts w:eastAsiaTheme="majorEastAsia"/>
                <w:sz w:val="24"/>
                <w:szCs w:val="24"/>
                <w:lang w:val="en-US"/>
              </w:rPr>
              <w:t>(</w:t>
            </w:r>
            <w:r w:rsidRPr="00416F24">
              <w:rPr>
                <w:sz w:val="24"/>
                <w:szCs w:val="24"/>
              </w:rPr>
              <w:fldChar w:fldCharType="begin"/>
            </w:r>
            <w:r w:rsidRPr="00416F24">
              <w:rPr>
                <w:sz w:val="24"/>
                <w:szCs w:val="24"/>
                <w:lang w:val="en-US"/>
              </w:rPr>
              <w:instrText xml:space="preserve"> SEQ Equazione \* ARABIC </w:instrText>
            </w:r>
            <w:r w:rsidRPr="00416F24">
              <w:rPr>
                <w:sz w:val="24"/>
                <w:szCs w:val="24"/>
              </w:rPr>
              <w:fldChar w:fldCharType="separate"/>
            </w:r>
            <w:r w:rsidRPr="00416F24">
              <w:rPr>
                <w:noProof/>
                <w:sz w:val="24"/>
                <w:szCs w:val="24"/>
                <w:lang w:val="en-US"/>
              </w:rPr>
              <w:t>5</w:t>
            </w:r>
            <w:r w:rsidRPr="00416F24">
              <w:rPr>
                <w:sz w:val="24"/>
                <w:szCs w:val="24"/>
              </w:rPr>
              <w:fldChar w:fldCharType="end"/>
            </w:r>
            <w:r w:rsidRPr="00416F24">
              <w:rPr>
                <w:sz w:val="24"/>
                <w:szCs w:val="24"/>
                <w:lang w:val="en-US"/>
              </w:rPr>
              <w:t>)</w:t>
            </w:r>
          </w:p>
        </w:tc>
      </w:tr>
    </w:tbl>
    <w:p w14:paraId="6B4A6704" w14:textId="637FB325" w:rsidR="00936493" w:rsidRDefault="00936493" w:rsidP="00936493">
      <w:pPr>
        <w:ind w:firstLine="720"/>
        <w:jc w:val="both"/>
        <w:rPr>
          <w:rFonts w:eastAsiaTheme="majorEastAsia"/>
          <w:sz w:val="24"/>
          <w:szCs w:val="24"/>
        </w:rPr>
      </w:pPr>
      <w:r w:rsidRPr="00936493">
        <w:rPr>
          <w:rFonts w:eastAsiaTheme="majorEastAsia"/>
          <w:sz w:val="24"/>
          <w:szCs w:val="24"/>
        </w:rPr>
        <w:t xml:space="preserve">The parameter </w:t>
      </w:r>
      <m:oMath>
        <m:r>
          <w:rPr>
            <w:rFonts w:ascii="Cambria Math" w:eastAsiaTheme="majorEastAsia" w:hAnsi="Cambria Math"/>
            <w:sz w:val="24"/>
            <w:szCs w:val="24"/>
          </w:rPr>
          <m:t>λ</m:t>
        </m:r>
      </m:oMath>
      <w:r w:rsidRPr="00936493">
        <w:rPr>
          <w:rFonts w:eastAsiaTheme="majorEastAsia"/>
          <w:sz w:val="24"/>
          <w:szCs w:val="24"/>
        </w:rPr>
        <w:t xml:space="preserve"> of PSN represents the expected value </w:t>
      </w:r>
      <m:oMath>
        <m:r>
          <w:rPr>
            <w:rFonts w:ascii="Cambria Math" w:eastAsiaTheme="majorEastAsia" w:hAnsi="Cambria Math"/>
            <w:sz w:val="24"/>
            <w:szCs w:val="24"/>
          </w:rPr>
          <m:t>E</m:t>
        </m:r>
        <m:d>
          <m:dPr>
            <m:ctrlPr>
              <w:rPr>
                <w:rFonts w:ascii="Cambria Math" w:eastAsiaTheme="majorEastAsia" w:hAnsi="Cambria Math"/>
                <w:i/>
                <w:sz w:val="24"/>
                <w:szCs w:val="24"/>
              </w:rPr>
            </m:ctrlPr>
          </m:dPr>
          <m:e>
            <m:r>
              <w:rPr>
                <w:rFonts w:ascii="Cambria Math" w:eastAsiaTheme="majorEastAsia" w:hAnsi="Cambria Math"/>
                <w:sz w:val="24"/>
                <w:szCs w:val="24"/>
              </w:rPr>
              <m:t>m</m:t>
            </m:r>
          </m:e>
        </m:d>
      </m:oMath>
      <w:r w:rsidRPr="00936493">
        <w:rPr>
          <w:rFonts w:eastAsiaTheme="majorEastAsia"/>
          <w:sz w:val="24"/>
          <w:szCs w:val="24"/>
        </w:rPr>
        <w:t xml:space="preserve"> of the number </w:t>
      </w:r>
      <m:oMath>
        <m:r>
          <w:rPr>
            <w:rFonts w:ascii="Cambria Math" w:eastAsiaTheme="majorEastAsia" w:hAnsi="Cambria Math"/>
            <w:sz w:val="24"/>
            <w:szCs w:val="24"/>
          </w:rPr>
          <m:t>m</m:t>
        </m:r>
      </m:oMath>
      <w:r w:rsidRPr="00936493">
        <w:rPr>
          <w:rFonts w:eastAsiaTheme="majorEastAsia"/>
          <w:sz w:val="24"/>
          <w:szCs w:val="24"/>
        </w:rPr>
        <w:t xml:space="preserve"> of exceedances (</w:t>
      </w:r>
      <w:proofErr w:type="spellStart"/>
      <w:r w:rsidRPr="00936493">
        <w:rPr>
          <w:rFonts w:eastAsiaTheme="majorEastAsia"/>
          <w:sz w:val="24"/>
          <w:szCs w:val="24"/>
        </w:rPr>
        <w:t>Önöz</w:t>
      </w:r>
      <w:proofErr w:type="spellEnd"/>
      <w:r w:rsidRPr="00936493">
        <w:rPr>
          <w:rFonts w:eastAsiaTheme="majorEastAsia"/>
          <w:sz w:val="24"/>
          <w:szCs w:val="24"/>
        </w:rPr>
        <w:t xml:space="preserve"> &amp; </w:t>
      </w:r>
      <w:proofErr w:type="spellStart"/>
      <w:r w:rsidRPr="00936493">
        <w:rPr>
          <w:rFonts w:eastAsiaTheme="majorEastAsia"/>
          <w:sz w:val="24"/>
          <w:szCs w:val="24"/>
        </w:rPr>
        <w:t>Bayazit</w:t>
      </w:r>
      <w:proofErr w:type="spellEnd"/>
      <w:r w:rsidRPr="00936493">
        <w:rPr>
          <w:rFonts w:eastAsiaTheme="majorEastAsia"/>
          <w:sz w:val="24"/>
          <w:szCs w:val="24"/>
        </w:rPr>
        <w:t xml:space="preserve">, 2001).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5"/>
        <w:gridCol w:w="605"/>
      </w:tblGrid>
      <w:tr w:rsidR="007F5601" w:rsidRPr="007F5601" w14:paraId="51DDAFC6" w14:textId="77777777" w:rsidTr="0007665F">
        <w:tc>
          <w:tcPr>
            <w:tcW w:w="8455" w:type="dxa"/>
          </w:tcPr>
          <w:p w14:paraId="6911FE4B" w14:textId="77777777" w:rsidR="007F5601" w:rsidRPr="007F5601" w:rsidRDefault="00990971" w:rsidP="0007665F">
            <w:pPr>
              <w:jc w:val="both"/>
              <w:rPr>
                <w:rFonts w:eastAsia="MS Gothic"/>
                <w:sz w:val="24"/>
                <w:szCs w:val="24"/>
                <w:lang w:val="en-US"/>
              </w:rPr>
            </w:pPr>
            <m:oMathPara>
              <m:oMath>
                <m:sSub>
                  <m:sSubPr>
                    <m:ctrlPr>
                      <w:rPr>
                        <w:rFonts w:ascii="Cambria Math" w:eastAsia="MS Gothic" w:hAnsi="Cambria Math"/>
                        <w:i/>
                        <w:sz w:val="24"/>
                        <w:szCs w:val="24"/>
                        <w:lang w:val="en-US"/>
                      </w:rPr>
                    </m:ctrlPr>
                  </m:sSubPr>
                  <m:e>
                    <m:r>
                      <w:rPr>
                        <w:rFonts w:ascii="Cambria Math" w:eastAsia="MS Gothic" w:hAnsi="Cambria Math"/>
                        <w:sz w:val="24"/>
                        <w:szCs w:val="24"/>
                        <w:lang w:val="en-US"/>
                      </w:rPr>
                      <m:t>P</m:t>
                    </m:r>
                  </m:e>
                  <m:sub>
                    <m:r>
                      <w:rPr>
                        <w:rFonts w:ascii="Cambria Math" w:eastAsia="MS Gothic" w:hAnsi="Cambria Math"/>
                        <w:sz w:val="24"/>
                        <w:szCs w:val="24"/>
                        <w:lang w:val="en-US"/>
                      </w:rPr>
                      <m:t>NEG</m:t>
                    </m:r>
                  </m:sub>
                </m:sSub>
                <m:d>
                  <m:dPr>
                    <m:ctrlPr>
                      <w:rPr>
                        <w:rFonts w:ascii="Cambria Math" w:eastAsia="MS Gothic" w:hAnsi="Cambria Math"/>
                        <w:i/>
                        <w:sz w:val="24"/>
                        <w:szCs w:val="24"/>
                        <w:lang w:val="en-US"/>
                      </w:rPr>
                    </m:ctrlPr>
                  </m:dPr>
                  <m:e>
                    <m:r>
                      <w:rPr>
                        <w:rFonts w:ascii="Cambria Math" w:eastAsia="MS Gothic" w:hAnsi="Cambria Math"/>
                        <w:sz w:val="24"/>
                        <w:szCs w:val="24"/>
                        <w:lang w:val="en-US"/>
                      </w:rPr>
                      <m:t>m</m:t>
                    </m:r>
                    <m:r>
                      <w:rPr>
                        <w:rFonts w:ascii="Cambria Math" w:eastAsia="MS Gothic" w:hAnsi="Cambria Math"/>
                        <w:sz w:val="24"/>
                        <w:szCs w:val="24"/>
                        <w:lang w:val="en-US"/>
                      </w:rPr>
                      <m:t>=</m:t>
                    </m:r>
                    <m:r>
                      <w:rPr>
                        <w:rFonts w:ascii="Cambria Math" w:eastAsia="MS Gothic" w:hAnsi="Cambria Math"/>
                        <w:sz w:val="24"/>
                        <w:szCs w:val="24"/>
                        <w:lang w:val="en-US"/>
                      </w:rPr>
                      <m:t>k</m:t>
                    </m:r>
                    <m:r>
                      <w:rPr>
                        <w:rFonts w:ascii="Cambria Math" w:eastAsia="MS Gothic" w:hAnsi="Cambria Math"/>
                        <w:sz w:val="24"/>
                        <w:szCs w:val="24"/>
                        <w:lang w:val="en-US"/>
                      </w:rPr>
                      <m:t>,</m:t>
                    </m:r>
                    <m:r>
                      <w:rPr>
                        <w:rFonts w:ascii="Cambria Math" w:eastAsia="MS Gothic" w:hAnsi="Cambria Math"/>
                        <w:sz w:val="24"/>
                        <w:szCs w:val="24"/>
                        <w:lang w:val="en-US"/>
                      </w:rPr>
                      <m:t>α</m:t>
                    </m:r>
                    <m:r>
                      <w:rPr>
                        <w:rFonts w:ascii="Cambria Math" w:eastAsia="MS Gothic" w:hAnsi="Cambria Math"/>
                        <w:sz w:val="24"/>
                        <w:szCs w:val="24"/>
                        <w:lang w:val="en-US"/>
                      </w:rPr>
                      <m:t>,</m:t>
                    </m:r>
                    <m:r>
                      <w:rPr>
                        <w:rFonts w:ascii="Cambria Math" w:eastAsia="MS Gothic" w:hAnsi="Cambria Math"/>
                        <w:sz w:val="24"/>
                        <w:szCs w:val="24"/>
                        <w:lang w:val="en-US"/>
                      </w:rPr>
                      <m:t>γ</m:t>
                    </m:r>
                  </m:e>
                </m:d>
                <m:r>
                  <w:rPr>
                    <w:rFonts w:ascii="Cambria Math" w:eastAsia="MS Gothic" w:hAnsi="Cambria Math"/>
                    <w:sz w:val="24"/>
                    <w:szCs w:val="24"/>
                    <w:lang w:val="en-US"/>
                  </w:rPr>
                  <m:t>=</m:t>
                </m:r>
                <m:d>
                  <m:dPr>
                    <m:ctrlPr>
                      <w:rPr>
                        <w:rFonts w:ascii="Cambria Math" w:eastAsia="MS Gothic" w:hAnsi="Cambria Math"/>
                        <w:i/>
                        <w:sz w:val="24"/>
                        <w:szCs w:val="24"/>
                        <w:lang w:val="en-US"/>
                      </w:rPr>
                    </m:ctrlPr>
                  </m:dPr>
                  <m:e>
                    <m:m>
                      <m:mPr>
                        <m:mcs>
                          <m:mc>
                            <m:mcPr>
                              <m:count m:val="1"/>
                              <m:mcJc m:val="center"/>
                            </m:mcPr>
                          </m:mc>
                        </m:mcs>
                        <m:ctrlPr>
                          <w:rPr>
                            <w:rFonts w:ascii="Cambria Math" w:eastAsia="MS Gothic" w:hAnsi="Cambria Math"/>
                            <w:i/>
                            <w:sz w:val="24"/>
                            <w:szCs w:val="24"/>
                            <w:lang w:val="en-US"/>
                          </w:rPr>
                        </m:ctrlPr>
                      </m:mPr>
                      <m:mr>
                        <m:e>
                          <m:r>
                            <w:rPr>
                              <w:rFonts w:ascii="Cambria Math" w:eastAsia="MS Gothic" w:hAnsi="Cambria Math"/>
                              <w:sz w:val="24"/>
                              <w:szCs w:val="24"/>
                              <w:lang w:val="en-US"/>
                            </w:rPr>
                            <m:t>γ</m:t>
                          </m:r>
                          <m:r>
                            <w:rPr>
                              <w:rFonts w:ascii="Cambria Math" w:eastAsia="MS Gothic" w:hAnsi="Cambria Math"/>
                              <w:sz w:val="24"/>
                              <w:szCs w:val="24"/>
                              <w:lang w:val="en-US"/>
                            </w:rPr>
                            <m:t>+</m:t>
                          </m:r>
                          <m:r>
                            <w:rPr>
                              <w:rFonts w:ascii="Cambria Math" w:eastAsia="MS Gothic" w:hAnsi="Cambria Math"/>
                              <w:sz w:val="24"/>
                              <w:szCs w:val="24"/>
                              <w:lang w:val="en-US"/>
                            </w:rPr>
                            <m:t>k</m:t>
                          </m:r>
                          <m:r>
                            <w:rPr>
                              <w:rFonts w:ascii="Cambria Math" w:eastAsia="MS Gothic" w:hAnsi="Cambria Math"/>
                              <w:sz w:val="24"/>
                              <w:szCs w:val="24"/>
                              <w:lang w:val="en-US"/>
                            </w:rPr>
                            <m:t>-</m:t>
                          </m:r>
                          <m:r>
                            <w:rPr>
                              <w:rFonts w:ascii="Cambria Math" w:eastAsia="MS Gothic" w:hAnsi="Cambria Math"/>
                              <w:sz w:val="24"/>
                              <w:szCs w:val="24"/>
                              <w:lang w:val="en-US"/>
                            </w:rPr>
                            <m:t>1</m:t>
                          </m:r>
                        </m:e>
                      </m:mr>
                      <m:mr>
                        <m:e>
                          <m:r>
                            <w:rPr>
                              <w:rFonts w:ascii="Cambria Math" w:eastAsia="MS Gothic" w:hAnsi="Cambria Math"/>
                              <w:sz w:val="24"/>
                              <w:szCs w:val="24"/>
                              <w:lang w:val="en-US"/>
                            </w:rPr>
                            <m:t>k</m:t>
                          </m:r>
                        </m:e>
                      </m:mr>
                    </m:m>
                  </m:e>
                </m:d>
                <m:sSup>
                  <m:sSupPr>
                    <m:ctrlPr>
                      <w:rPr>
                        <w:rFonts w:ascii="Cambria Math" w:eastAsia="MS Gothic" w:hAnsi="Cambria Math"/>
                        <w:i/>
                        <w:sz w:val="24"/>
                        <w:szCs w:val="24"/>
                        <w:lang w:val="en-US"/>
                      </w:rPr>
                    </m:ctrlPr>
                  </m:sSupPr>
                  <m:e>
                    <m:r>
                      <w:rPr>
                        <w:rFonts w:ascii="Cambria Math" w:eastAsia="MS Gothic" w:hAnsi="Cambria Math"/>
                        <w:sz w:val="24"/>
                        <w:szCs w:val="24"/>
                        <w:lang w:val="en-US"/>
                      </w:rPr>
                      <m:t>α</m:t>
                    </m:r>
                  </m:e>
                  <m:sup>
                    <m:r>
                      <w:rPr>
                        <w:rFonts w:ascii="Cambria Math" w:eastAsia="MS Gothic" w:hAnsi="Cambria Math"/>
                        <w:sz w:val="24"/>
                        <w:szCs w:val="24"/>
                        <w:lang w:val="en-US"/>
                      </w:rPr>
                      <m:t>k</m:t>
                    </m:r>
                  </m:sup>
                </m:sSup>
                <m:sSup>
                  <m:sSupPr>
                    <m:ctrlPr>
                      <w:rPr>
                        <w:rFonts w:ascii="Cambria Math" w:eastAsia="MS Gothic" w:hAnsi="Cambria Math"/>
                        <w:i/>
                        <w:sz w:val="24"/>
                        <w:szCs w:val="24"/>
                        <w:lang w:val="en-US"/>
                      </w:rPr>
                    </m:ctrlPr>
                  </m:sSupPr>
                  <m:e>
                    <m:d>
                      <m:dPr>
                        <m:ctrlPr>
                          <w:rPr>
                            <w:rFonts w:ascii="Cambria Math" w:eastAsia="MS Gothic" w:hAnsi="Cambria Math"/>
                            <w:i/>
                            <w:sz w:val="24"/>
                            <w:szCs w:val="24"/>
                            <w:lang w:val="en-US"/>
                          </w:rPr>
                        </m:ctrlPr>
                      </m:dPr>
                      <m:e>
                        <m:r>
                          <w:rPr>
                            <w:rFonts w:ascii="Cambria Math" w:eastAsia="MS Gothic" w:hAnsi="Cambria Math"/>
                            <w:sz w:val="24"/>
                            <w:szCs w:val="24"/>
                            <w:lang w:val="en-US"/>
                          </w:rPr>
                          <m:t>1-</m:t>
                        </m:r>
                        <m:r>
                          <w:rPr>
                            <w:rFonts w:ascii="Cambria Math" w:eastAsia="MS Gothic" w:hAnsi="Cambria Math"/>
                            <w:sz w:val="24"/>
                            <w:szCs w:val="24"/>
                            <w:lang w:val="en-US"/>
                          </w:rPr>
                          <m:t>α</m:t>
                        </m:r>
                      </m:e>
                    </m:d>
                  </m:e>
                  <m:sup>
                    <m:r>
                      <w:rPr>
                        <w:rFonts w:ascii="Cambria Math" w:eastAsia="MS Gothic" w:hAnsi="Cambria Math"/>
                        <w:sz w:val="24"/>
                        <w:szCs w:val="24"/>
                        <w:lang w:val="en-US"/>
                      </w:rPr>
                      <m:t>γ</m:t>
                    </m:r>
                  </m:sup>
                </m:sSup>
              </m:oMath>
            </m:oMathPara>
          </w:p>
        </w:tc>
        <w:tc>
          <w:tcPr>
            <w:tcW w:w="605" w:type="dxa"/>
            <w:vAlign w:val="center"/>
          </w:tcPr>
          <w:p w14:paraId="72556A58" w14:textId="77777777" w:rsidR="007F5601" w:rsidRPr="007F5601" w:rsidRDefault="007F5601" w:rsidP="0007665F">
            <w:pPr>
              <w:jc w:val="both"/>
              <w:rPr>
                <w:rFonts w:eastAsiaTheme="majorEastAsia"/>
                <w:sz w:val="24"/>
                <w:szCs w:val="24"/>
                <w:lang w:val="en-US"/>
              </w:rPr>
            </w:pPr>
            <w:r w:rsidRPr="007F5601">
              <w:rPr>
                <w:rFonts w:eastAsiaTheme="majorEastAsia"/>
                <w:sz w:val="24"/>
                <w:szCs w:val="24"/>
                <w:lang w:val="en-US"/>
              </w:rPr>
              <w:t>(</w:t>
            </w:r>
            <w:r w:rsidRPr="007F5601">
              <w:rPr>
                <w:sz w:val="24"/>
                <w:szCs w:val="24"/>
              </w:rPr>
              <w:fldChar w:fldCharType="begin"/>
            </w:r>
            <w:r w:rsidRPr="007F5601">
              <w:rPr>
                <w:sz w:val="24"/>
                <w:szCs w:val="24"/>
                <w:lang w:val="en-US"/>
              </w:rPr>
              <w:instrText xml:space="preserve"> SEQ Equazione \* ARABIC </w:instrText>
            </w:r>
            <w:r w:rsidRPr="007F5601">
              <w:rPr>
                <w:sz w:val="24"/>
                <w:szCs w:val="24"/>
              </w:rPr>
              <w:fldChar w:fldCharType="separate"/>
            </w:r>
            <w:r w:rsidRPr="007F5601">
              <w:rPr>
                <w:noProof/>
                <w:sz w:val="24"/>
                <w:szCs w:val="24"/>
                <w:lang w:val="en-US"/>
              </w:rPr>
              <w:t>6</w:t>
            </w:r>
            <w:r w:rsidRPr="007F5601">
              <w:rPr>
                <w:sz w:val="24"/>
                <w:szCs w:val="24"/>
              </w:rPr>
              <w:fldChar w:fldCharType="end"/>
            </w:r>
            <w:r w:rsidRPr="007F5601">
              <w:rPr>
                <w:sz w:val="24"/>
                <w:szCs w:val="24"/>
                <w:lang w:val="en-US"/>
              </w:rPr>
              <w:t>)</w:t>
            </w:r>
          </w:p>
        </w:tc>
      </w:tr>
    </w:tbl>
    <w:p w14:paraId="7D535827" w14:textId="3D3A173F" w:rsidR="009E63CD" w:rsidRDefault="009E63CD" w:rsidP="009E63CD">
      <w:pPr>
        <w:ind w:firstLine="720"/>
        <w:jc w:val="both"/>
        <w:rPr>
          <w:rFonts w:eastAsiaTheme="majorEastAsia"/>
          <w:sz w:val="24"/>
          <w:szCs w:val="24"/>
        </w:rPr>
      </w:pPr>
      <w:r w:rsidRPr="009E63CD">
        <w:rPr>
          <w:rFonts w:eastAsiaTheme="majorEastAsia"/>
          <w:sz w:val="24"/>
          <w:szCs w:val="24"/>
        </w:rPr>
        <w:t xml:space="preserve">The parameters </w:t>
      </w:r>
      <m:oMath>
        <m:r>
          <w:rPr>
            <w:rFonts w:ascii="Cambria Math" w:eastAsiaTheme="majorEastAsia" w:hAnsi="Cambria Math"/>
            <w:sz w:val="24"/>
            <w:szCs w:val="24"/>
          </w:rPr>
          <m:t>α</m:t>
        </m:r>
      </m:oMath>
      <w:r w:rsidRPr="009E63CD">
        <w:rPr>
          <w:rFonts w:eastAsiaTheme="majorEastAsia"/>
          <w:sz w:val="24"/>
          <w:szCs w:val="24"/>
        </w:rPr>
        <w:t xml:space="preserve"> and </w:t>
      </w:r>
      <m:oMath>
        <m:r>
          <w:rPr>
            <w:rFonts w:ascii="Cambria Math" w:eastAsiaTheme="majorEastAsia" w:hAnsi="Cambria Math"/>
            <w:sz w:val="24"/>
            <w:szCs w:val="24"/>
          </w:rPr>
          <m:t>γ</m:t>
        </m:r>
      </m:oMath>
      <w:r w:rsidRPr="009E63CD">
        <w:rPr>
          <w:rFonts w:eastAsiaTheme="majorEastAsia"/>
          <w:sz w:val="24"/>
          <w:szCs w:val="24"/>
        </w:rPr>
        <w:t xml:space="preserve"> of NEG can be derived from </w:t>
      </w:r>
      <m:oMath>
        <m:r>
          <w:rPr>
            <w:rFonts w:ascii="Cambria Math" w:eastAsiaTheme="majorEastAsia" w:hAnsi="Cambria Math"/>
            <w:sz w:val="24"/>
            <w:szCs w:val="24"/>
          </w:rPr>
          <m:t>E</m:t>
        </m:r>
        <m:d>
          <m:dPr>
            <m:ctrlPr>
              <w:rPr>
                <w:rFonts w:ascii="Cambria Math" w:eastAsiaTheme="majorEastAsia" w:hAnsi="Cambria Math"/>
                <w:i/>
                <w:sz w:val="24"/>
                <w:szCs w:val="24"/>
              </w:rPr>
            </m:ctrlPr>
          </m:dPr>
          <m:e>
            <m:r>
              <w:rPr>
                <w:rFonts w:ascii="Cambria Math" w:eastAsiaTheme="majorEastAsia" w:hAnsi="Cambria Math"/>
                <w:sz w:val="24"/>
                <w:szCs w:val="24"/>
              </w:rPr>
              <m:t>m</m:t>
            </m:r>
          </m:e>
        </m:d>
        <m:r>
          <w:rPr>
            <w:rFonts w:ascii="Cambria Math" w:eastAsiaTheme="majorEastAsia" w:hAnsi="Cambria Math"/>
            <w:sz w:val="24"/>
            <w:szCs w:val="24"/>
          </w:rPr>
          <m:t>=λ=</m:t>
        </m:r>
        <m:f>
          <m:fPr>
            <m:ctrlPr>
              <w:rPr>
                <w:rFonts w:ascii="Cambria Math" w:eastAsiaTheme="majorEastAsia" w:hAnsi="Cambria Math"/>
                <w:i/>
                <w:sz w:val="24"/>
                <w:szCs w:val="24"/>
              </w:rPr>
            </m:ctrlPr>
          </m:fPr>
          <m:num>
            <m:r>
              <w:rPr>
                <w:rFonts w:ascii="Cambria Math" w:eastAsiaTheme="majorEastAsia" w:hAnsi="Cambria Math"/>
                <w:sz w:val="24"/>
                <w:szCs w:val="24"/>
              </w:rPr>
              <m:t>αγ</m:t>
            </m:r>
          </m:num>
          <m:den>
            <m:r>
              <w:rPr>
                <w:rFonts w:ascii="Cambria Math" w:eastAsiaTheme="majorEastAsia" w:hAnsi="Cambria Math"/>
                <w:sz w:val="24"/>
                <w:szCs w:val="24"/>
              </w:rPr>
              <m:t>1-α</m:t>
            </m:r>
          </m:den>
        </m:f>
      </m:oMath>
      <w:r w:rsidRPr="009E63CD">
        <w:rPr>
          <w:rFonts w:eastAsiaTheme="majorEastAsia"/>
          <w:sz w:val="24"/>
          <w:szCs w:val="24"/>
        </w:rPr>
        <w:t xml:space="preserve">, and the variance of the number of exceedances, </w:t>
      </w:r>
      <m:oMath>
        <m:r>
          <w:rPr>
            <w:rFonts w:ascii="Cambria Math" w:eastAsiaTheme="majorEastAsia" w:hAnsi="Cambria Math"/>
            <w:sz w:val="24"/>
            <w:szCs w:val="24"/>
          </w:rPr>
          <m:t>Var</m:t>
        </m:r>
        <m:d>
          <m:dPr>
            <m:ctrlPr>
              <w:rPr>
                <w:rFonts w:ascii="Cambria Math" w:eastAsiaTheme="majorEastAsia" w:hAnsi="Cambria Math"/>
                <w:i/>
                <w:sz w:val="24"/>
                <w:szCs w:val="24"/>
              </w:rPr>
            </m:ctrlPr>
          </m:dPr>
          <m:e>
            <m:r>
              <w:rPr>
                <w:rFonts w:ascii="Cambria Math" w:eastAsiaTheme="majorEastAsia" w:hAnsi="Cambria Math"/>
                <w:sz w:val="24"/>
                <w:szCs w:val="24"/>
              </w:rPr>
              <m:t>m</m:t>
            </m:r>
          </m:e>
        </m:d>
        <m:r>
          <w:rPr>
            <w:rFonts w:ascii="Cambria Math" w:eastAsiaTheme="majorEastAsia" w:hAnsi="Cambria Math"/>
            <w:sz w:val="24"/>
            <w:szCs w:val="24"/>
          </w:rPr>
          <m:t>=V=</m:t>
        </m:r>
        <m:f>
          <m:fPr>
            <m:ctrlPr>
              <w:rPr>
                <w:rFonts w:ascii="Cambria Math" w:eastAsiaTheme="majorEastAsia" w:hAnsi="Cambria Math"/>
                <w:i/>
                <w:sz w:val="24"/>
                <w:szCs w:val="24"/>
              </w:rPr>
            </m:ctrlPr>
          </m:fPr>
          <m:num>
            <m:r>
              <w:rPr>
                <w:rFonts w:ascii="Cambria Math" w:eastAsiaTheme="majorEastAsia" w:hAnsi="Cambria Math"/>
                <w:sz w:val="24"/>
                <w:szCs w:val="24"/>
              </w:rPr>
              <m:t>αγ</m:t>
            </m:r>
          </m:num>
          <m:den>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1-α</m:t>
                    </m:r>
                  </m:e>
                </m:d>
              </m:e>
              <m:sup>
                <m:r>
                  <w:rPr>
                    <w:rFonts w:ascii="Cambria Math" w:eastAsiaTheme="majorEastAsia" w:hAnsi="Cambria Math"/>
                    <w:sz w:val="24"/>
                    <w:szCs w:val="24"/>
                  </w:rPr>
                  <m:t>2</m:t>
                </m:r>
              </m:sup>
            </m:sSup>
          </m:den>
        </m:f>
      </m:oMath>
      <w:r w:rsidRPr="009E63CD">
        <w:rPr>
          <w:rFonts w:eastAsiaTheme="majorEastAsia"/>
          <w:sz w:val="24"/>
          <w:szCs w:val="24"/>
        </w:rPr>
        <w:t xml:space="preserve">, as </w:t>
      </w:r>
      <m:oMath>
        <m:r>
          <w:rPr>
            <w:rFonts w:ascii="Cambria Math" w:eastAsiaTheme="majorEastAsia" w:hAnsi="Cambria Math"/>
            <w:sz w:val="24"/>
            <w:szCs w:val="24"/>
          </w:rPr>
          <m:t>α=1-</m:t>
        </m:r>
        <m:f>
          <m:fPr>
            <m:ctrlPr>
              <w:rPr>
                <w:rFonts w:ascii="Cambria Math" w:eastAsiaTheme="majorEastAsia" w:hAnsi="Cambria Math"/>
                <w:i/>
                <w:sz w:val="24"/>
                <w:szCs w:val="24"/>
              </w:rPr>
            </m:ctrlPr>
          </m:fPr>
          <m:num>
            <m:r>
              <w:rPr>
                <w:rFonts w:ascii="Cambria Math" w:eastAsiaTheme="majorEastAsia" w:hAnsi="Cambria Math"/>
                <w:sz w:val="24"/>
                <w:szCs w:val="24"/>
              </w:rPr>
              <m:t>λ</m:t>
            </m:r>
          </m:num>
          <m:den>
            <m:r>
              <w:rPr>
                <w:rFonts w:ascii="Cambria Math" w:eastAsiaTheme="majorEastAsia" w:hAnsi="Cambria Math"/>
                <w:sz w:val="24"/>
                <w:szCs w:val="24"/>
              </w:rPr>
              <m:t>V</m:t>
            </m:r>
          </m:den>
        </m:f>
      </m:oMath>
      <w:r w:rsidRPr="009E63CD">
        <w:rPr>
          <w:rFonts w:eastAsiaTheme="majorEastAsia"/>
          <w:sz w:val="24"/>
          <w:szCs w:val="24"/>
        </w:rPr>
        <w:t xml:space="preserve"> and </w:t>
      </w:r>
      <m:oMath>
        <m:r>
          <w:rPr>
            <w:rFonts w:ascii="Cambria Math" w:eastAsiaTheme="majorEastAsia" w:hAnsi="Cambria Math"/>
            <w:sz w:val="24"/>
            <w:szCs w:val="24"/>
          </w:rPr>
          <m:t>γ=λ</m:t>
        </m:r>
        <m:f>
          <m:fPr>
            <m:ctrlPr>
              <w:rPr>
                <w:rFonts w:ascii="Cambria Math" w:eastAsiaTheme="majorEastAsia" w:hAnsi="Cambria Math"/>
                <w:i/>
                <w:sz w:val="24"/>
                <w:szCs w:val="24"/>
              </w:rPr>
            </m:ctrlPr>
          </m:fPr>
          <m:num>
            <m:r>
              <w:rPr>
                <w:rFonts w:ascii="Cambria Math" w:eastAsiaTheme="majorEastAsia" w:hAnsi="Cambria Math"/>
                <w:sz w:val="24"/>
                <w:szCs w:val="24"/>
              </w:rPr>
              <m:t>1-α</m:t>
            </m:r>
          </m:num>
          <m:den>
            <m:r>
              <w:rPr>
                <w:rFonts w:ascii="Cambria Math" w:eastAsiaTheme="majorEastAsia" w:hAnsi="Cambria Math"/>
                <w:sz w:val="24"/>
                <w:szCs w:val="24"/>
              </w:rPr>
              <m:t>α</m:t>
            </m:r>
          </m:den>
        </m:f>
        <m:r>
          <w:rPr>
            <w:rFonts w:ascii="Cambria Math" w:eastAsiaTheme="majorEastAsia" w:hAnsi="Cambria Math"/>
            <w:sz w:val="24"/>
            <w:szCs w:val="24"/>
          </w:rPr>
          <m:t>=</m:t>
        </m:r>
        <m:f>
          <m:fPr>
            <m:ctrlPr>
              <w:rPr>
                <w:rFonts w:ascii="Cambria Math" w:eastAsiaTheme="majorEastAsia" w:hAnsi="Cambria Math"/>
                <w:i/>
                <w:sz w:val="24"/>
                <w:szCs w:val="24"/>
              </w:rPr>
            </m:ctrlPr>
          </m:fPr>
          <m:num>
            <m:sSup>
              <m:sSupPr>
                <m:ctrlPr>
                  <w:rPr>
                    <w:rFonts w:ascii="Cambria Math" w:eastAsiaTheme="majorEastAsia" w:hAnsi="Cambria Math"/>
                    <w:i/>
                    <w:sz w:val="24"/>
                    <w:szCs w:val="24"/>
                  </w:rPr>
                </m:ctrlPr>
              </m:sSupPr>
              <m:e>
                <m:r>
                  <w:rPr>
                    <w:rFonts w:ascii="Cambria Math" w:eastAsiaTheme="majorEastAsia" w:hAnsi="Cambria Math"/>
                    <w:sz w:val="24"/>
                    <w:szCs w:val="24"/>
                  </w:rPr>
                  <m:t>λ</m:t>
                </m:r>
              </m:e>
              <m:sup>
                <m:r>
                  <w:rPr>
                    <w:rFonts w:ascii="Cambria Math" w:eastAsiaTheme="majorEastAsia" w:hAnsi="Cambria Math"/>
                    <w:sz w:val="24"/>
                    <w:szCs w:val="24"/>
                  </w:rPr>
                  <m:t>2</m:t>
                </m:r>
              </m:sup>
            </m:sSup>
          </m:num>
          <m:den>
            <m:r>
              <w:rPr>
                <w:rFonts w:ascii="Cambria Math" w:eastAsiaTheme="majorEastAsia" w:hAnsi="Cambria Math"/>
                <w:sz w:val="24"/>
                <w:szCs w:val="24"/>
              </w:rPr>
              <m:t>V-λ</m:t>
            </m:r>
          </m:den>
        </m:f>
      </m:oMath>
      <w:r w:rsidRPr="009E63CD">
        <w:rPr>
          <w:rFonts w:eastAsiaTheme="majorEastAsia"/>
          <w:sz w:val="24"/>
          <w:szCs w:val="24"/>
        </w:rPr>
        <w:t xml:space="preserve"> (</w:t>
      </w:r>
      <w:proofErr w:type="spellStart"/>
      <w:r w:rsidRPr="009E63CD">
        <w:rPr>
          <w:rFonts w:eastAsiaTheme="majorEastAsia"/>
          <w:sz w:val="24"/>
          <w:szCs w:val="24"/>
        </w:rPr>
        <w:t>Bhunya</w:t>
      </w:r>
      <w:proofErr w:type="spellEnd"/>
      <w:r w:rsidRPr="009E63CD">
        <w:rPr>
          <w:rFonts w:eastAsiaTheme="majorEastAsia"/>
          <w:sz w:val="24"/>
          <w:szCs w:val="24"/>
        </w:rPr>
        <w:t xml:space="preserve"> et al., 2013).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5"/>
        <w:gridCol w:w="605"/>
      </w:tblGrid>
      <w:tr w:rsidR="00F803FF" w:rsidRPr="00E048E4" w14:paraId="419F306C" w14:textId="77777777" w:rsidTr="0007665F">
        <w:tc>
          <w:tcPr>
            <w:tcW w:w="8455" w:type="dxa"/>
          </w:tcPr>
          <w:p w14:paraId="34436DA8" w14:textId="77777777" w:rsidR="00F803FF" w:rsidRPr="00F803FF" w:rsidRDefault="00990971" w:rsidP="0007665F">
            <w:pPr>
              <w:jc w:val="both"/>
              <w:rPr>
                <w:rFonts w:eastAsia="MS Gothic"/>
                <w:sz w:val="24"/>
                <w:szCs w:val="24"/>
                <w:lang w:val="en-US"/>
              </w:rPr>
            </w:pPr>
            <m:oMathPara>
              <m:oMath>
                <m:sSub>
                  <m:sSubPr>
                    <m:ctrlPr>
                      <w:rPr>
                        <w:rFonts w:ascii="Cambria Math" w:eastAsia="MS Gothic" w:hAnsi="Cambria Math"/>
                        <w:i/>
                        <w:sz w:val="24"/>
                        <w:szCs w:val="24"/>
                        <w:lang w:val="en-US"/>
                      </w:rPr>
                    </m:ctrlPr>
                  </m:sSubPr>
                  <m:e>
                    <m:r>
                      <w:rPr>
                        <w:rFonts w:ascii="Cambria Math" w:eastAsia="MS Gothic" w:hAnsi="Cambria Math"/>
                        <w:sz w:val="24"/>
                        <w:szCs w:val="24"/>
                        <w:lang w:val="en-US"/>
                      </w:rPr>
                      <m:t>P</m:t>
                    </m:r>
                  </m:e>
                  <m:sub>
                    <m:r>
                      <w:rPr>
                        <w:rFonts w:ascii="Cambria Math" w:eastAsia="MS Gothic" w:hAnsi="Cambria Math"/>
                        <w:sz w:val="24"/>
                        <w:szCs w:val="24"/>
                        <w:lang w:val="en-US"/>
                      </w:rPr>
                      <m:t>BIN</m:t>
                    </m:r>
                  </m:sub>
                </m:sSub>
                <m:d>
                  <m:dPr>
                    <m:ctrlPr>
                      <w:rPr>
                        <w:rFonts w:ascii="Cambria Math" w:eastAsia="MS Gothic" w:hAnsi="Cambria Math"/>
                        <w:i/>
                        <w:sz w:val="24"/>
                        <w:szCs w:val="24"/>
                        <w:lang w:val="en-US"/>
                      </w:rPr>
                    </m:ctrlPr>
                  </m:dPr>
                  <m:e>
                    <m:r>
                      <w:rPr>
                        <w:rFonts w:ascii="Cambria Math" w:eastAsia="MS Gothic" w:hAnsi="Cambria Math"/>
                        <w:sz w:val="24"/>
                        <w:szCs w:val="24"/>
                        <w:lang w:val="en-US"/>
                      </w:rPr>
                      <m:t>m</m:t>
                    </m:r>
                    <m:r>
                      <w:rPr>
                        <w:rFonts w:ascii="Cambria Math" w:eastAsia="MS Gothic" w:hAnsi="Cambria Math"/>
                        <w:sz w:val="24"/>
                        <w:szCs w:val="24"/>
                        <w:lang w:val="en-US"/>
                      </w:rPr>
                      <m:t>=</m:t>
                    </m:r>
                    <m:r>
                      <w:rPr>
                        <w:rFonts w:ascii="Cambria Math" w:eastAsia="MS Gothic" w:hAnsi="Cambria Math"/>
                        <w:sz w:val="24"/>
                        <w:szCs w:val="24"/>
                        <w:lang w:val="en-US"/>
                      </w:rPr>
                      <m:t>k</m:t>
                    </m:r>
                    <m:r>
                      <w:rPr>
                        <w:rFonts w:ascii="Cambria Math" w:eastAsia="MS Gothic" w:hAnsi="Cambria Math"/>
                        <w:sz w:val="24"/>
                        <w:szCs w:val="24"/>
                        <w:lang w:val="en-US"/>
                      </w:rPr>
                      <m:t>,</m:t>
                    </m:r>
                    <m:r>
                      <w:rPr>
                        <w:rFonts w:ascii="Cambria Math" w:eastAsia="MS Gothic" w:hAnsi="Cambria Math"/>
                        <w:sz w:val="24"/>
                        <w:szCs w:val="24"/>
                        <w:lang w:val="en-US"/>
                      </w:rPr>
                      <m:t>β</m:t>
                    </m:r>
                    <m:r>
                      <w:rPr>
                        <w:rFonts w:ascii="Cambria Math" w:eastAsia="MS Gothic" w:hAnsi="Cambria Math"/>
                        <w:sz w:val="24"/>
                        <w:szCs w:val="24"/>
                        <w:lang w:val="en-US"/>
                      </w:rPr>
                      <m:t>,</m:t>
                    </m:r>
                    <m:r>
                      <w:rPr>
                        <w:rFonts w:ascii="Cambria Math" w:eastAsia="MS Gothic" w:hAnsi="Cambria Math"/>
                        <w:sz w:val="24"/>
                        <w:szCs w:val="24"/>
                        <w:lang w:val="en-US"/>
                      </w:rPr>
                      <m:t>δ</m:t>
                    </m:r>
                  </m:e>
                </m:d>
                <m:r>
                  <w:rPr>
                    <w:rFonts w:ascii="Cambria Math" w:eastAsia="MS Gothic" w:hAnsi="Cambria Math"/>
                    <w:sz w:val="24"/>
                    <w:szCs w:val="24"/>
                    <w:lang w:val="en-US"/>
                  </w:rPr>
                  <m:t>=</m:t>
                </m:r>
                <m:d>
                  <m:dPr>
                    <m:ctrlPr>
                      <w:rPr>
                        <w:rFonts w:ascii="Cambria Math" w:eastAsia="MS Gothic" w:hAnsi="Cambria Math"/>
                        <w:i/>
                        <w:sz w:val="24"/>
                        <w:szCs w:val="24"/>
                        <w:lang w:val="en-US"/>
                      </w:rPr>
                    </m:ctrlPr>
                  </m:dPr>
                  <m:e>
                    <m:m>
                      <m:mPr>
                        <m:mcs>
                          <m:mc>
                            <m:mcPr>
                              <m:count m:val="1"/>
                              <m:mcJc m:val="center"/>
                            </m:mcPr>
                          </m:mc>
                        </m:mcs>
                        <m:ctrlPr>
                          <w:rPr>
                            <w:rFonts w:ascii="Cambria Math" w:eastAsia="MS Gothic" w:hAnsi="Cambria Math"/>
                            <w:i/>
                            <w:sz w:val="24"/>
                            <w:szCs w:val="24"/>
                            <w:lang w:val="en-US"/>
                          </w:rPr>
                        </m:ctrlPr>
                      </m:mPr>
                      <m:mr>
                        <m:e>
                          <m:r>
                            <w:rPr>
                              <w:rFonts w:ascii="Cambria Math" w:eastAsia="MS Gothic" w:hAnsi="Cambria Math"/>
                              <w:sz w:val="24"/>
                              <w:szCs w:val="24"/>
                              <w:lang w:val="en-US"/>
                            </w:rPr>
                            <m:t>δ</m:t>
                          </m:r>
                        </m:e>
                      </m:mr>
                      <m:mr>
                        <m:e>
                          <m:r>
                            <w:rPr>
                              <w:rFonts w:ascii="Cambria Math" w:eastAsia="MS Gothic" w:hAnsi="Cambria Math"/>
                              <w:sz w:val="24"/>
                              <w:szCs w:val="24"/>
                              <w:lang w:val="en-US"/>
                            </w:rPr>
                            <m:t>k</m:t>
                          </m:r>
                        </m:e>
                      </m:mr>
                    </m:m>
                  </m:e>
                </m:d>
                <m:sSup>
                  <m:sSupPr>
                    <m:ctrlPr>
                      <w:rPr>
                        <w:rFonts w:ascii="Cambria Math" w:eastAsia="MS Gothic" w:hAnsi="Cambria Math"/>
                        <w:i/>
                        <w:sz w:val="24"/>
                        <w:szCs w:val="24"/>
                        <w:lang w:val="en-US"/>
                      </w:rPr>
                    </m:ctrlPr>
                  </m:sSupPr>
                  <m:e>
                    <m:r>
                      <w:rPr>
                        <w:rFonts w:ascii="Cambria Math" w:eastAsia="MS Gothic" w:hAnsi="Cambria Math"/>
                        <w:sz w:val="24"/>
                        <w:szCs w:val="24"/>
                        <w:lang w:val="en-US"/>
                      </w:rPr>
                      <m:t>β</m:t>
                    </m:r>
                  </m:e>
                  <m:sup>
                    <m:r>
                      <w:rPr>
                        <w:rFonts w:ascii="Cambria Math" w:eastAsia="MS Gothic" w:hAnsi="Cambria Math"/>
                        <w:sz w:val="24"/>
                        <w:szCs w:val="24"/>
                        <w:lang w:val="en-US"/>
                      </w:rPr>
                      <m:t>k</m:t>
                    </m:r>
                  </m:sup>
                </m:sSup>
                <m:sSup>
                  <m:sSupPr>
                    <m:ctrlPr>
                      <w:rPr>
                        <w:rFonts w:ascii="Cambria Math" w:eastAsia="MS Gothic" w:hAnsi="Cambria Math"/>
                        <w:i/>
                        <w:sz w:val="24"/>
                        <w:szCs w:val="24"/>
                        <w:lang w:val="en-US"/>
                      </w:rPr>
                    </m:ctrlPr>
                  </m:sSupPr>
                  <m:e>
                    <m:d>
                      <m:dPr>
                        <m:ctrlPr>
                          <w:rPr>
                            <w:rFonts w:ascii="Cambria Math" w:eastAsia="MS Gothic" w:hAnsi="Cambria Math"/>
                            <w:i/>
                            <w:sz w:val="24"/>
                            <w:szCs w:val="24"/>
                            <w:lang w:val="en-US"/>
                          </w:rPr>
                        </m:ctrlPr>
                      </m:dPr>
                      <m:e>
                        <m:r>
                          <w:rPr>
                            <w:rFonts w:ascii="Cambria Math" w:eastAsia="MS Gothic" w:hAnsi="Cambria Math"/>
                            <w:sz w:val="24"/>
                            <w:szCs w:val="24"/>
                            <w:lang w:val="en-US"/>
                          </w:rPr>
                          <m:t>1-</m:t>
                        </m:r>
                        <m:r>
                          <w:rPr>
                            <w:rFonts w:ascii="Cambria Math" w:eastAsia="MS Gothic" w:hAnsi="Cambria Math"/>
                            <w:sz w:val="24"/>
                            <w:szCs w:val="24"/>
                            <w:lang w:val="en-US"/>
                          </w:rPr>
                          <m:t>β</m:t>
                        </m:r>
                      </m:e>
                    </m:d>
                  </m:e>
                  <m:sup>
                    <m:r>
                      <w:rPr>
                        <w:rFonts w:ascii="Cambria Math" w:eastAsia="MS Gothic" w:hAnsi="Cambria Math"/>
                        <w:sz w:val="24"/>
                        <w:szCs w:val="24"/>
                        <w:lang w:val="en-US"/>
                      </w:rPr>
                      <m:t>δ</m:t>
                    </m:r>
                    <m:r>
                      <w:rPr>
                        <w:rFonts w:ascii="Cambria Math" w:eastAsia="MS Gothic" w:hAnsi="Cambria Math"/>
                        <w:sz w:val="24"/>
                        <w:szCs w:val="24"/>
                        <w:lang w:val="en-US"/>
                      </w:rPr>
                      <m:t>-</m:t>
                    </m:r>
                    <m:r>
                      <w:rPr>
                        <w:rFonts w:ascii="Cambria Math" w:eastAsia="MS Gothic" w:hAnsi="Cambria Math"/>
                        <w:sz w:val="24"/>
                        <w:szCs w:val="24"/>
                        <w:lang w:val="en-US"/>
                      </w:rPr>
                      <m:t>k</m:t>
                    </m:r>
                  </m:sup>
                </m:sSup>
              </m:oMath>
            </m:oMathPara>
          </w:p>
        </w:tc>
        <w:tc>
          <w:tcPr>
            <w:tcW w:w="605" w:type="dxa"/>
            <w:vAlign w:val="center"/>
          </w:tcPr>
          <w:p w14:paraId="19D2A8B7" w14:textId="77777777" w:rsidR="00F803FF" w:rsidRPr="00F803FF" w:rsidRDefault="00F803FF" w:rsidP="0007665F">
            <w:pPr>
              <w:jc w:val="both"/>
              <w:rPr>
                <w:rFonts w:eastAsiaTheme="majorEastAsia"/>
                <w:sz w:val="24"/>
                <w:szCs w:val="24"/>
                <w:lang w:val="en-US"/>
              </w:rPr>
            </w:pPr>
            <w:r w:rsidRPr="00F803FF">
              <w:rPr>
                <w:rFonts w:eastAsiaTheme="majorEastAsia"/>
                <w:sz w:val="24"/>
                <w:szCs w:val="24"/>
                <w:lang w:val="en-US"/>
              </w:rPr>
              <w:t>(</w:t>
            </w:r>
            <w:r w:rsidRPr="00F803FF">
              <w:rPr>
                <w:sz w:val="24"/>
                <w:szCs w:val="24"/>
              </w:rPr>
              <w:fldChar w:fldCharType="begin"/>
            </w:r>
            <w:r w:rsidRPr="00F803FF">
              <w:rPr>
                <w:sz w:val="24"/>
                <w:szCs w:val="24"/>
                <w:lang w:val="en-US"/>
              </w:rPr>
              <w:instrText xml:space="preserve"> SEQ Equazione \* ARABIC </w:instrText>
            </w:r>
            <w:r w:rsidRPr="00F803FF">
              <w:rPr>
                <w:sz w:val="24"/>
                <w:szCs w:val="24"/>
              </w:rPr>
              <w:fldChar w:fldCharType="separate"/>
            </w:r>
            <w:r w:rsidRPr="00F803FF">
              <w:rPr>
                <w:noProof/>
                <w:sz w:val="24"/>
                <w:szCs w:val="24"/>
                <w:lang w:val="en-US"/>
              </w:rPr>
              <w:t>7</w:t>
            </w:r>
            <w:r w:rsidRPr="00F803FF">
              <w:rPr>
                <w:sz w:val="24"/>
                <w:szCs w:val="24"/>
              </w:rPr>
              <w:fldChar w:fldCharType="end"/>
            </w:r>
            <w:r w:rsidRPr="00F803FF">
              <w:rPr>
                <w:sz w:val="24"/>
                <w:szCs w:val="24"/>
                <w:lang w:val="en-US"/>
              </w:rPr>
              <w:t>)</w:t>
            </w:r>
          </w:p>
        </w:tc>
      </w:tr>
    </w:tbl>
    <w:p w14:paraId="4C95D14C" w14:textId="75612B17" w:rsidR="003135F3" w:rsidRDefault="003135F3" w:rsidP="003135F3">
      <w:pPr>
        <w:ind w:firstLine="720"/>
        <w:jc w:val="both"/>
        <w:rPr>
          <w:rFonts w:eastAsiaTheme="majorEastAsia"/>
          <w:sz w:val="24"/>
          <w:szCs w:val="24"/>
        </w:rPr>
      </w:pPr>
      <w:r w:rsidRPr="003135F3">
        <w:rPr>
          <w:rFonts w:eastAsiaTheme="majorEastAsia"/>
          <w:sz w:val="24"/>
          <w:szCs w:val="24"/>
        </w:rPr>
        <w:t xml:space="preserve">The parameters </w:t>
      </w:r>
      <m:oMath>
        <m:r>
          <w:rPr>
            <w:rFonts w:ascii="Cambria Math" w:eastAsiaTheme="majorEastAsia" w:hAnsi="Cambria Math"/>
            <w:sz w:val="24"/>
            <w:szCs w:val="24"/>
          </w:rPr>
          <m:t>β</m:t>
        </m:r>
      </m:oMath>
      <w:r w:rsidRPr="003135F3">
        <w:rPr>
          <w:rFonts w:eastAsiaTheme="majorEastAsia"/>
          <w:sz w:val="24"/>
          <w:szCs w:val="24"/>
        </w:rPr>
        <w:t xml:space="preserve"> and </w:t>
      </w:r>
      <m:oMath>
        <m:r>
          <w:rPr>
            <w:rFonts w:ascii="Cambria Math" w:eastAsiaTheme="majorEastAsia" w:hAnsi="Cambria Math"/>
            <w:sz w:val="24"/>
            <w:szCs w:val="24"/>
          </w:rPr>
          <m:t>δ</m:t>
        </m:r>
      </m:oMath>
      <w:r w:rsidRPr="003135F3">
        <w:rPr>
          <w:rFonts w:eastAsiaTheme="majorEastAsia"/>
          <w:sz w:val="24"/>
          <w:szCs w:val="24"/>
        </w:rPr>
        <w:t xml:space="preserve"> of the BIN can be derived from </w:t>
      </w:r>
      <m:oMath>
        <m:r>
          <w:rPr>
            <w:rFonts w:ascii="Cambria Math" w:eastAsiaTheme="majorEastAsia" w:hAnsi="Cambria Math"/>
            <w:sz w:val="24"/>
            <w:szCs w:val="24"/>
          </w:rPr>
          <m:t>E</m:t>
        </m:r>
        <m:d>
          <m:dPr>
            <m:ctrlPr>
              <w:rPr>
                <w:rFonts w:ascii="Cambria Math" w:eastAsiaTheme="majorEastAsia" w:hAnsi="Cambria Math"/>
                <w:i/>
                <w:sz w:val="24"/>
                <w:szCs w:val="24"/>
              </w:rPr>
            </m:ctrlPr>
          </m:dPr>
          <m:e>
            <m:r>
              <w:rPr>
                <w:rFonts w:ascii="Cambria Math" w:eastAsiaTheme="majorEastAsia" w:hAnsi="Cambria Math"/>
                <w:sz w:val="24"/>
                <w:szCs w:val="24"/>
              </w:rPr>
              <m:t>m</m:t>
            </m:r>
          </m:e>
        </m:d>
        <m:r>
          <w:rPr>
            <w:rFonts w:ascii="Cambria Math" w:eastAsiaTheme="majorEastAsia" w:hAnsi="Cambria Math"/>
            <w:sz w:val="24"/>
            <w:szCs w:val="24"/>
          </w:rPr>
          <m:t>=λ=βδ</m:t>
        </m:r>
      </m:oMath>
      <w:r w:rsidRPr="003135F3">
        <w:rPr>
          <w:rFonts w:eastAsiaTheme="majorEastAsia"/>
          <w:sz w:val="24"/>
          <w:szCs w:val="24"/>
        </w:rPr>
        <w:t xml:space="preserve"> and </w:t>
      </w:r>
      <m:oMath>
        <m:r>
          <w:rPr>
            <w:rFonts w:ascii="Cambria Math" w:eastAsiaTheme="majorEastAsia" w:hAnsi="Cambria Math"/>
            <w:sz w:val="24"/>
            <w:szCs w:val="24"/>
          </w:rPr>
          <m:t>Var</m:t>
        </m:r>
        <m:d>
          <m:dPr>
            <m:ctrlPr>
              <w:rPr>
                <w:rFonts w:ascii="Cambria Math" w:eastAsiaTheme="majorEastAsia" w:hAnsi="Cambria Math"/>
                <w:i/>
                <w:sz w:val="24"/>
                <w:szCs w:val="24"/>
              </w:rPr>
            </m:ctrlPr>
          </m:dPr>
          <m:e>
            <m:r>
              <w:rPr>
                <w:rFonts w:ascii="Cambria Math" w:eastAsiaTheme="majorEastAsia" w:hAnsi="Cambria Math"/>
                <w:sz w:val="24"/>
                <w:szCs w:val="24"/>
              </w:rPr>
              <m:t>m</m:t>
            </m:r>
          </m:e>
        </m:d>
        <m:r>
          <w:rPr>
            <w:rFonts w:ascii="Cambria Math" w:eastAsiaTheme="majorEastAsia" w:hAnsi="Cambria Math"/>
            <w:sz w:val="24"/>
            <w:szCs w:val="24"/>
          </w:rPr>
          <m:t>=V=βδ(1-β)</m:t>
        </m:r>
      </m:oMath>
      <w:r w:rsidRPr="003135F3">
        <w:rPr>
          <w:rFonts w:eastAsiaTheme="majorEastAsia"/>
          <w:sz w:val="24"/>
          <w:szCs w:val="24"/>
        </w:rPr>
        <w:t xml:space="preserve"> as </w:t>
      </w:r>
      <m:oMath>
        <m:r>
          <w:rPr>
            <w:rFonts w:ascii="Cambria Math" w:eastAsiaTheme="majorEastAsia" w:hAnsi="Cambria Math"/>
            <w:sz w:val="24"/>
            <w:szCs w:val="24"/>
          </w:rPr>
          <m:t>δ=</m:t>
        </m:r>
        <m:f>
          <m:fPr>
            <m:ctrlPr>
              <w:rPr>
                <w:rFonts w:ascii="Cambria Math" w:eastAsiaTheme="majorEastAsia" w:hAnsi="Cambria Math"/>
                <w:i/>
                <w:sz w:val="24"/>
                <w:szCs w:val="24"/>
              </w:rPr>
            </m:ctrlPr>
          </m:fPr>
          <m:num>
            <m:sSup>
              <m:sSupPr>
                <m:ctrlPr>
                  <w:rPr>
                    <w:rFonts w:ascii="Cambria Math" w:eastAsiaTheme="majorEastAsia" w:hAnsi="Cambria Math"/>
                    <w:i/>
                    <w:sz w:val="24"/>
                    <w:szCs w:val="24"/>
                  </w:rPr>
                </m:ctrlPr>
              </m:sSupPr>
              <m:e>
                <m:r>
                  <w:rPr>
                    <w:rFonts w:ascii="Cambria Math" w:eastAsiaTheme="majorEastAsia" w:hAnsi="Cambria Math"/>
                    <w:sz w:val="24"/>
                    <w:szCs w:val="24"/>
                  </w:rPr>
                  <m:t>λ</m:t>
                </m:r>
              </m:e>
              <m:sup>
                <m:r>
                  <w:rPr>
                    <w:rFonts w:ascii="Cambria Math" w:eastAsiaTheme="majorEastAsia" w:hAnsi="Cambria Math"/>
                    <w:sz w:val="24"/>
                    <w:szCs w:val="24"/>
                  </w:rPr>
                  <m:t>2</m:t>
                </m:r>
              </m:sup>
            </m:sSup>
          </m:num>
          <m:den>
            <m:r>
              <w:rPr>
                <w:rFonts w:ascii="Cambria Math" w:eastAsiaTheme="majorEastAsia" w:hAnsi="Cambria Math"/>
                <w:sz w:val="24"/>
                <w:szCs w:val="24"/>
              </w:rPr>
              <m:t>λ-V</m:t>
            </m:r>
          </m:den>
        </m:f>
      </m:oMath>
      <w:r w:rsidRPr="003135F3">
        <w:rPr>
          <w:rFonts w:eastAsiaTheme="majorEastAsia"/>
          <w:sz w:val="24"/>
          <w:szCs w:val="24"/>
        </w:rPr>
        <w:t xml:space="preserve"> and </w:t>
      </w:r>
      <m:oMath>
        <m:r>
          <w:rPr>
            <w:rFonts w:ascii="Cambria Math" w:eastAsiaTheme="majorEastAsia" w:hAnsi="Cambria Math"/>
            <w:sz w:val="24"/>
            <w:szCs w:val="24"/>
          </w:rPr>
          <m:t>β=</m:t>
        </m:r>
        <m:f>
          <m:fPr>
            <m:ctrlPr>
              <w:rPr>
                <w:rFonts w:ascii="Cambria Math" w:eastAsiaTheme="majorEastAsia" w:hAnsi="Cambria Math"/>
                <w:i/>
                <w:sz w:val="24"/>
                <w:szCs w:val="24"/>
              </w:rPr>
            </m:ctrlPr>
          </m:fPr>
          <m:num>
            <m:r>
              <w:rPr>
                <w:rFonts w:ascii="Cambria Math" w:eastAsiaTheme="majorEastAsia" w:hAnsi="Cambria Math"/>
                <w:sz w:val="24"/>
                <w:szCs w:val="24"/>
              </w:rPr>
              <m:t>λ</m:t>
            </m:r>
          </m:num>
          <m:den>
            <m:r>
              <w:rPr>
                <w:rFonts w:ascii="Cambria Math" w:eastAsiaTheme="majorEastAsia" w:hAnsi="Cambria Math"/>
                <w:sz w:val="24"/>
                <w:szCs w:val="24"/>
              </w:rPr>
              <m:t>δ</m:t>
            </m:r>
          </m:den>
        </m:f>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λ-V</m:t>
            </m:r>
          </m:num>
          <m:den>
            <m:r>
              <w:rPr>
                <w:rFonts w:ascii="Cambria Math" w:eastAsiaTheme="majorEastAsia" w:hAnsi="Cambria Math"/>
                <w:sz w:val="24"/>
                <w:szCs w:val="24"/>
              </w:rPr>
              <m:t>λ</m:t>
            </m:r>
          </m:den>
        </m:f>
      </m:oMath>
      <w:r w:rsidRPr="003135F3">
        <w:rPr>
          <w:rFonts w:eastAsiaTheme="majorEastAsia"/>
          <w:sz w:val="24"/>
          <w:szCs w:val="24"/>
        </w:rPr>
        <w:t xml:space="preserve"> (</w:t>
      </w:r>
      <w:proofErr w:type="spellStart"/>
      <w:r w:rsidRPr="003135F3">
        <w:rPr>
          <w:rFonts w:eastAsiaTheme="majorEastAsia"/>
          <w:sz w:val="24"/>
          <w:szCs w:val="24"/>
        </w:rPr>
        <w:t>Önöz</w:t>
      </w:r>
      <w:proofErr w:type="spellEnd"/>
      <w:r w:rsidRPr="003135F3">
        <w:rPr>
          <w:rFonts w:eastAsiaTheme="majorEastAsia"/>
          <w:sz w:val="24"/>
          <w:szCs w:val="24"/>
        </w:rPr>
        <w:t xml:space="preserve"> &amp; </w:t>
      </w:r>
      <w:proofErr w:type="spellStart"/>
      <w:r w:rsidRPr="003135F3">
        <w:rPr>
          <w:rFonts w:eastAsiaTheme="majorEastAsia"/>
          <w:sz w:val="24"/>
          <w:szCs w:val="24"/>
        </w:rPr>
        <w:t>Bayazit</w:t>
      </w:r>
      <w:proofErr w:type="spellEnd"/>
      <w:r w:rsidRPr="003135F3">
        <w:rPr>
          <w:rFonts w:eastAsiaTheme="majorEastAsia"/>
          <w:sz w:val="24"/>
          <w:szCs w:val="24"/>
        </w:rPr>
        <w:t>, 2001).</w:t>
      </w:r>
    </w:p>
    <w:p w14:paraId="4190137E" w14:textId="428D8B68" w:rsidR="00FE6284" w:rsidRPr="00FE6284" w:rsidRDefault="00FE6284" w:rsidP="00FE6284">
      <w:pPr>
        <w:ind w:firstLine="720"/>
        <w:jc w:val="both"/>
        <w:rPr>
          <w:rFonts w:eastAsiaTheme="majorEastAsia"/>
          <w:sz w:val="24"/>
          <w:szCs w:val="24"/>
        </w:rPr>
      </w:pPr>
      <w:r w:rsidRPr="00FE6284">
        <w:rPr>
          <w:rFonts w:eastAsiaTheme="majorEastAsia"/>
          <w:sz w:val="24"/>
          <w:szCs w:val="24"/>
        </w:rPr>
        <w:t>The derived distribution of AM assuming GP and PSN for magnitude and number of exceedances, respectively, is the Generalized Extreme Value (GEV) distribution (Eq. 8), with shape, scale, and location parameters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oMath>
      <w:r w:rsidRPr="00FE6284">
        <w:rPr>
          <w:rFonts w:eastAsiaTheme="majorEastAsia"/>
          <w:sz w:val="24"/>
          <w:szCs w:val="24"/>
        </w:rPr>
        <w:t xml:space="preserv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oMath>
      <w:r w:rsidRPr="00FE6284">
        <w:rPr>
          <w:rFonts w:eastAsiaTheme="majorEastAsia"/>
          <w:sz w:val="24"/>
          <w:szCs w:val="24"/>
        </w:rPr>
        <w:t xml:space="preserve">,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oMath>
      <w:r w:rsidRPr="00FE6284">
        <w:rPr>
          <w:rFonts w:eastAsiaTheme="majorEastAsia"/>
          <w:sz w:val="24"/>
          <w:szCs w:val="24"/>
        </w:rPr>
        <w:t xml:space="preserve">, respectively) assuming values in the ranges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-∞&lt;ξ</m:t>
            </m:r>
          </m:e>
          <m:sub>
            <m:r>
              <w:rPr>
                <w:rFonts w:ascii="Cambria Math" w:eastAsiaTheme="majorEastAsia" w:hAnsi="Cambria Math"/>
                <w:sz w:val="24"/>
                <w:szCs w:val="24"/>
              </w:rPr>
              <m:t>g</m:t>
            </m:r>
          </m:sub>
        </m:sSub>
        <m:r>
          <w:rPr>
            <w:rFonts w:ascii="Cambria Math" w:eastAsiaTheme="majorEastAsia" w:hAnsi="Cambria Math"/>
            <w:sz w:val="24"/>
            <w:szCs w:val="24"/>
          </w:rPr>
          <m:t>&lt;+∞</m:t>
        </m:r>
      </m:oMath>
      <w:r w:rsidRPr="00FE6284">
        <w:rPr>
          <w:rFonts w:eastAsiaTheme="majorEastAsia"/>
          <w:sz w:val="24"/>
          <w:szCs w:val="24"/>
        </w:rPr>
        <w:t xml:space="preserv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&gt;0</m:t>
        </m:r>
      </m:oMath>
      <w:r w:rsidRPr="00FE6284">
        <w:rPr>
          <w:rFonts w:eastAsiaTheme="majorEastAsia"/>
          <w:sz w:val="24"/>
          <w:szCs w:val="24"/>
        </w:rPr>
        <w:t xml:space="preserve">,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-∞&lt;μ</m:t>
            </m:r>
          </m:e>
          <m:sub>
            <m:r>
              <w:rPr>
                <w:rFonts w:ascii="Cambria Math" w:eastAsiaTheme="majorEastAsia" w:hAnsi="Cambria Math"/>
                <w:sz w:val="24"/>
                <w:szCs w:val="24"/>
              </w:rPr>
              <m:t>g</m:t>
            </m:r>
          </m:sub>
        </m:sSub>
        <m:r>
          <w:rPr>
            <w:rFonts w:ascii="Cambria Math" w:eastAsiaTheme="majorEastAsia" w:hAnsi="Cambria Math"/>
            <w:sz w:val="24"/>
            <w:szCs w:val="24"/>
          </w:rPr>
          <m:t>&lt;+∞</m:t>
        </m:r>
      </m:oMath>
      <w:r w:rsidRPr="00FE6284">
        <w:rPr>
          <w:rFonts w:eastAsiaTheme="majorEastAsia"/>
          <w:sz w:val="24"/>
          <w:szCs w:val="24"/>
        </w:rPr>
        <w:t xml:space="preserve">, respectively (Coles, 2001).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4"/>
        <w:gridCol w:w="1216"/>
      </w:tblGrid>
      <w:tr w:rsidR="00FE6284" w:rsidRPr="00FE6284" w14:paraId="556B0617" w14:textId="77777777" w:rsidTr="00223753">
        <w:tc>
          <w:tcPr>
            <w:tcW w:w="8144" w:type="dxa"/>
          </w:tcPr>
          <w:p w14:paraId="4F4896FF" w14:textId="3E120F68" w:rsidR="00FE6284" w:rsidRPr="00FE6284" w:rsidRDefault="00990971" w:rsidP="00FE6284">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P</m:t>
                    </m:r>
                  </m:e>
                  <m:sub>
                    <m:r>
                      <w:rPr>
                        <w:rFonts w:ascii="Cambria Math" w:eastAsiaTheme="majorEastAsia" w:hAnsi="Cambria Math"/>
                        <w:sz w:val="24"/>
                        <w:szCs w:val="24"/>
                      </w:rPr>
                      <m:t>GEV</m:t>
                    </m:r>
                  </m:sub>
                </m:sSub>
                <m:d>
                  <m:dPr>
                    <m:ctrlPr>
                      <w:rPr>
                        <w:rFonts w:ascii="Cambria Math" w:eastAsiaTheme="majorEastAsia" w:hAnsi="Cambria Math"/>
                        <w:i/>
                        <w:sz w:val="24"/>
                        <w:szCs w:val="24"/>
                      </w:rPr>
                    </m:ctrlPr>
                  </m:dPr>
                  <m:e>
                    <m:r>
                      <w:rPr>
                        <w:rFonts w:ascii="Cambria Math" w:eastAsiaTheme="majorEastAsia" w:hAnsi="Cambria Math"/>
                        <w:sz w:val="24"/>
                        <w:szCs w:val="24"/>
                      </w:rPr>
                      <m:t>Q</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exp</m:t>
                            </m:r>
                          </m:fName>
                          <m:e>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m:t>
                                </m:r>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den>
                                        </m:f>
                                      </m:e>
                                    </m:d>
                                  </m:e>
                                  <m:sup>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sup>
                                </m:sSup>
                              </m:e>
                            </m:d>
                            <m:r>
                              <w:rPr>
                                <w:rFonts w:ascii="Cambria Math" w:eastAsiaTheme="majorEastAsia" w:hAnsi="Cambria Math"/>
                                <w:sz w:val="24"/>
                                <w:szCs w:val="24"/>
                              </w:rPr>
                              <m:t xml:space="preserve"> </m:t>
                            </m:r>
                          </m:e>
                        </m:func>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e>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exp</m:t>
                            </m:r>
                          </m:fName>
                          <m:e>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exp</m:t>
                                    </m:r>
                                  </m:fName>
                                  <m:e>
                                    <m:d>
                                      <m:dPr>
                                        <m:ctrlPr>
                                          <w:rPr>
                                            <w:rFonts w:ascii="Cambria Math" w:eastAsiaTheme="majorEastAsia" w:hAnsi="Cambria Math"/>
                                            <w:i/>
                                            <w:sz w:val="24"/>
                                            <w:szCs w:val="24"/>
                                          </w:rPr>
                                        </m:ctrlPr>
                                      </m:dPr>
                                      <m:e>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den>
                                        </m:f>
                                        <m:r>
                                          <w:rPr>
                                            <w:rFonts w:ascii="Cambria Math" w:eastAsiaTheme="majorEastAsia" w:hAnsi="Cambria Math"/>
                                            <w:sz w:val="24"/>
                                            <w:szCs w:val="24"/>
                                          </w:rPr>
                                          <m:t>)</m:t>
                                        </m:r>
                                      </m:e>
                                    </m:d>
                                  </m:e>
                                </m:func>
                              </m:e>
                            </m:d>
                          </m:e>
                        </m:func>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 xml:space="preserve">=0  </m:t>
                        </m:r>
                      </m:e>
                    </m:eqArr>
                  </m:e>
                </m:d>
              </m:oMath>
            </m:oMathPara>
          </w:p>
        </w:tc>
        <w:tc>
          <w:tcPr>
            <w:tcW w:w="1216" w:type="dxa"/>
            <w:vAlign w:val="center"/>
          </w:tcPr>
          <w:p w14:paraId="2ED5A6C1" w14:textId="77777777" w:rsidR="00FE6284" w:rsidRPr="00FE6284" w:rsidRDefault="00FE6284" w:rsidP="00FE6284">
            <w:pPr>
              <w:ind w:firstLine="720"/>
              <w:jc w:val="both"/>
              <w:rPr>
                <w:rFonts w:eastAsiaTheme="majorEastAsia"/>
                <w:sz w:val="24"/>
                <w:szCs w:val="24"/>
              </w:rPr>
            </w:pPr>
            <w:r w:rsidRPr="00FE6284">
              <w:rPr>
                <w:rFonts w:eastAsiaTheme="majorEastAsia"/>
                <w:sz w:val="24"/>
                <w:szCs w:val="24"/>
              </w:rPr>
              <w:t>(</w:t>
            </w:r>
            <w:r w:rsidRPr="00FE6284">
              <w:rPr>
                <w:rFonts w:eastAsiaTheme="majorEastAsia"/>
                <w:sz w:val="24"/>
                <w:szCs w:val="24"/>
              </w:rPr>
              <w:fldChar w:fldCharType="begin"/>
            </w:r>
            <w:r w:rsidRPr="00FE6284">
              <w:rPr>
                <w:rFonts w:eastAsiaTheme="majorEastAsia"/>
                <w:sz w:val="24"/>
                <w:szCs w:val="24"/>
              </w:rPr>
              <w:instrText xml:space="preserve"> SEQ Equazione \* ARABIC </w:instrText>
            </w:r>
            <w:r w:rsidRPr="00FE6284">
              <w:rPr>
                <w:rFonts w:eastAsiaTheme="majorEastAsia"/>
                <w:sz w:val="24"/>
                <w:szCs w:val="24"/>
              </w:rPr>
              <w:fldChar w:fldCharType="separate"/>
            </w:r>
            <w:r w:rsidRPr="00FE6284">
              <w:rPr>
                <w:rFonts w:eastAsiaTheme="majorEastAsia"/>
                <w:sz w:val="24"/>
                <w:szCs w:val="24"/>
              </w:rPr>
              <w:t>8</w:t>
            </w:r>
            <w:r w:rsidRPr="00FE6284">
              <w:rPr>
                <w:rFonts w:eastAsiaTheme="majorEastAsia"/>
                <w:sz w:val="24"/>
                <w:szCs w:val="24"/>
              </w:rPr>
              <w:fldChar w:fldCharType="end"/>
            </w:r>
            <w:r w:rsidRPr="00FE6284">
              <w:rPr>
                <w:rFonts w:eastAsiaTheme="majorEastAsia"/>
                <w:sz w:val="24"/>
                <w:szCs w:val="24"/>
              </w:rPr>
              <w:t>)</w:t>
            </w:r>
          </w:p>
        </w:tc>
      </w:tr>
    </w:tbl>
    <w:p w14:paraId="0CEC69BE" w14:textId="4DABB442" w:rsidR="00223753" w:rsidRPr="00223753" w:rsidRDefault="00223753" w:rsidP="00223753">
      <w:pPr>
        <w:ind w:firstLine="720"/>
        <w:jc w:val="both"/>
        <w:rPr>
          <w:rFonts w:eastAsiaTheme="majorEastAsia"/>
          <w:sz w:val="24"/>
          <w:szCs w:val="24"/>
        </w:rPr>
      </w:pPr>
      <w:r w:rsidRPr="00223753">
        <w:rPr>
          <w:rFonts w:eastAsiaTheme="majorEastAsia"/>
          <w:sz w:val="24"/>
          <w:szCs w:val="24"/>
        </w:rPr>
        <w:t xml:space="preserve">The GEV has a lower (upper) bound equal to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oMath>
      <w:r w:rsidRPr="00223753">
        <w:rPr>
          <w:rFonts w:eastAsiaTheme="majorEastAsia"/>
          <w:sz w:val="24"/>
          <w:szCs w:val="24"/>
        </w:rPr>
        <w:t xml:space="preserve"> for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&gt;0</m:t>
        </m:r>
      </m:oMath>
      <w:r w:rsidRPr="00223753">
        <w:rPr>
          <w:rFonts w:eastAsiaTheme="majorEastAsia"/>
          <w:sz w:val="24"/>
          <w:szCs w:val="24"/>
        </w:rPr>
        <w:t xml:space="preserv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&lt;0</m:t>
        </m:r>
      </m:oMath>
      <w:r w:rsidRPr="00223753">
        <w:rPr>
          <w:rFonts w:eastAsiaTheme="majorEastAsia"/>
          <w:sz w:val="24"/>
          <w:szCs w:val="24"/>
        </w:rPr>
        <w:t xml:space="preserve"> ), while it is unbounded for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oMath>
      <w:r w:rsidRPr="00223753">
        <w:rPr>
          <w:rFonts w:eastAsiaTheme="majorEastAsia"/>
          <w:sz w:val="24"/>
          <w:szCs w:val="24"/>
        </w:rPr>
        <w:t xml:space="preserve"> (Coles, 2001).</w:t>
      </w:r>
    </w:p>
    <w:p w14:paraId="64A167AD" w14:textId="77777777" w:rsidR="00223753" w:rsidRDefault="00223753" w:rsidP="00223753">
      <w:pPr>
        <w:ind w:firstLine="720"/>
        <w:jc w:val="both"/>
        <w:rPr>
          <w:rFonts w:eastAsiaTheme="majorEastAsia"/>
          <w:sz w:val="24"/>
          <w:szCs w:val="24"/>
        </w:rPr>
      </w:pPr>
      <w:r w:rsidRPr="00223753">
        <w:rPr>
          <w:rFonts w:eastAsiaTheme="majorEastAsia"/>
          <w:sz w:val="24"/>
          <w:szCs w:val="24"/>
        </w:rPr>
        <w:t xml:space="preserve">Reparameterization </w:t>
      </w:r>
      <w:proofErr w:type="spellStart"/>
      <w:r w:rsidRPr="00223753">
        <w:rPr>
          <w:rFonts w:eastAsiaTheme="majorEastAsia"/>
          <w:sz w:val="24"/>
          <w:szCs w:val="24"/>
        </w:rPr>
        <w:t>Eqs</w:t>
      </w:r>
      <w:proofErr w:type="spellEnd"/>
      <w:r w:rsidRPr="00223753">
        <w:rPr>
          <w:rFonts w:eastAsiaTheme="majorEastAsia"/>
          <w:sz w:val="24"/>
          <w:szCs w:val="24"/>
        </w:rPr>
        <w:t xml:space="preserve">. (9), (10), and (11) provide the relationships between the parameters of the GP and GEV distributions (Wang &amp; Holmes, 2020).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4"/>
        <w:gridCol w:w="1216"/>
      </w:tblGrid>
      <w:tr w:rsidR="00223753" w:rsidRPr="00223753" w14:paraId="51BC8F1E" w14:textId="77777777" w:rsidTr="007F00CD">
        <w:tc>
          <w:tcPr>
            <w:tcW w:w="8144" w:type="dxa"/>
          </w:tcPr>
          <w:p w14:paraId="1F1346E5" w14:textId="2CAAD3C8"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ξ</m:t>
                </m:r>
              </m:oMath>
            </m:oMathPara>
          </w:p>
        </w:tc>
        <w:tc>
          <w:tcPr>
            <w:tcW w:w="1216" w:type="dxa"/>
            <w:vAlign w:val="center"/>
          </w:tcPr>
          <w:p w14:paraId="41937A03"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9</w:t>
            </w:r>
            <w:r w:rsidRPr="00223753">
              <w:rPr>
                <w:rFonts w:eastAsiaTheme="majorEastAsia"/>
                <w:sz w:val="24"/>
                <w:szCs w:val="24"/>
              </w:rPr>
              <w:fldChar w:fldCharType="end"/>
            </w:r>
            <w:r w:rsidRPr="00223753">
              <w:rPr>
                <w:rFonts w:eastAsiaTheme="majorEastAsia"/>
                <w:sz w:val="24"/>
                <w:szCs w:val="24"/>
              </w:rPr>
              <w:t>)</w:t>
            </w:r>
          </w:p>
        </w:tc>
      </w:tr>
    </w:tbl>
    <w:p w14:paraId="49CB5D6C"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6D724E24" w14:textId="77777777" w:rsidTr="0007665F">
        <w:tc>
          <w:tcPr>
            <w:tcW w:w="8455" w:type="dxa"/>
          </w:tcPr>
          <w:p w14:paraId="19CBC4D0" w14:textId="783876DD" w:rsidR="00223753" w:rsidRPr="00223753" w:rsidRDefault="00223753" w:rsidP="00223753">
            <w:pPr>
              <w:ind w:firstLine="720"/>
              <w:jc w:val="both"/>
              <w:rPr>
                <w:rFonts w:eastAsiaTheme="majorEastAsia"/>
                <w:sz w:val="24"/>
                <w:szCs w:val="24"/>
              </w:rPr>
            </w:pPr>
            <m:oMathPara>
              <m:oMath>
                <m:r>
                  <w:rPr>
                    <w:rFonts w:ascii="Cambria Math" w:eastAsiaTheme="majorEastAsia" w:hAnsi="Cambria Math"/>
                    <w:sz w:val="24"/>
                    <w:szCs w:val="24"/>
                  </w:rPr>
                  <m:t>λ=</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1-ξ</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den>
                                </m:f>
                              </m:e>
                            </m:d>
                          </m:e>
                          <m:sup>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ξ</m:t>
                                </m:r>
                              </m:den>
                            </m:f>
                          </m:sup>
                        </m:sSup>
                        <m:r>
                          <w:rPr>
                            <w:rFonts w:ascii="Cambria Math" w:eastAsiaTheme="majorEastAsia" w:hAnsi="Cambria Math"/>
                            <w:sz w:val="24"/>
                            <w:szCs w:val="24"/>
                          </w:rPr>
                          <m:t xml:space="preserve">,  for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 xml:space="preserve"> </m:t>
                            </m:r>
                          </m:sub>
                        </m:sSub>
                        <m:r>
                          <w:rPr>
                            <w:rFonts w:ascii="Cambria Math" w:eastAsiaTheme="majorEastAsia" w:hAnsi="Cambria Math"/>
                            <w:sz w:val="24"/>
                            <w:szCs w:val="24"/>
                          </w:rPr>
                          <m:t>≠0</m:t>
                        </m:r>
                      </m:e>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exp</m:t>
                            </m:r>
                          </m:fName>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den>
                                </m:f>
                              </m:e>
                            </m:d>
                          </m:e>
                        </m:func>
                        <m:r>
                          <w:rPr>
                            <w:rFonts w:ascii="Cambria Math" w:eastAsiaTheme="majorEastAsia" w:hAnsi="Cambria Math"/>
                            <w:sz w:val="24"/>
                            <w:szCs w:val="24"/>
                          </w:rPr>
                          <m:t xml:space="preserve">,  for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 xml:space="preserve"> </m:t>
                            </m:r>
                          </m:sub>
                        </m:sSub>
                        <m:r>
                          <w:rPr>
                            <w:rFonts w:ascii="Cambria Math" w:eastAsiaTheme="majorEastAsia" w:hAnsi="Cambria Math"/>
                            <w:sz w:val="24"/>
                            <w:szCs w:val="24"/>
                          </w:rPr>
                          <m:t>=0</m:t>
                        </m:r>
                      </m:e>
                    </m:eqArr>
                  </m:e>
                </m:d>
              </m:oMath>
            </m:oMathPara>
          </w:p>
        </w:tc>
        <w:tc>
          <w:tcPr>
            <w:tcW w:w="605" w:type="dxa"/>
            <w:vAlign w:val="center"/>
          </w:tcPr>
          <w:p w14:paraId="394A2B77"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10</w:t>
            </w:r>
            <w:r w:rsidRPr="00223753">
              <w:rPr>
                <w:rFonts w:eastAsiaTheme="majorEastAsia"/>
                <w:sz w:val="24"/>
                <w:szCs w:val="24"/>
              </w:rPr>
              <w:fldChar w:fldCharType="end"/>
            </w:r>
            <w:r w:rsidRPr="00223753">
              <w:rPr>
                <w:rFonts w:eastAsiaTheme="majorEastAsia"/>
                <w:sz w:val="24"/>
                <w:szCs w:val="24"/>
              </w:rPr>
              <w:t>)</w:t>
            </w:r>
          </w:p>
        </w:tc>
      </w:tr>
    </w:tbl>
    <w:p w14:paraId="552CBA15"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68368AA7" w14:textId="77777777" w:rsidTr="0007665F">
        <w:tc>
          <w:tcPr>
            <w:tcW w:w="8455" w:type="dxa"/>
          </w:tcPr>
          <w:p w14:paraId="2FEB8CF9" w14:textId="7511C8B0"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ξ</m:t>
                </m:r>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e>
                </m:d>
              </m:oMath>
            </m:oMathPara>
          </w:p>
        </w:tc>
        <w:tc>
          <w:tcPr>
            <w:tcW w:w="605" w:type="dxa"/>
            <w:vAlign w:val="center"/>
          </w:tcPr>
          <w:p w14:paraId="7A8C0206"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11</w:t>
            </w:r>
            <w:r w:rsidRPr="00223753">
              <w:rPr>
                <w:rFonts w:eastAsiaTheme="majorEastAsia"/>
                <w:sz w:val="24"/>
                <w:szCs w:val="24"/>
              </w:rPr>
              <w:fldChar w:fldCharType="end"/>
            </w:r>
            <w:r w:rsidRPr="00223753">
              <w:rPr>
                <w:rFonts w:eastAsiaTheme="majorEastAsia"/>
                <w:sz w:val="24"/>
                <w:szCs w:val="24"/>
              </w:rPr>
              <w:t>)</w:t>
            </w:r>
          </w:p>
        </w:tc>
      </w:tr>
    </w:tbl>
    <w:p w14:paraId="0F7206DB" w14:textId="43E5D1BB" w:rsidR="00223753" w:rsidRPr="00223753" w:rsidRDefault="00223753" w:rsidP="00223753">
      <w:pPr>
        <w:ind w:firstLine="720"/>
        <w:jc w:val="both"/>
        <w:rPr>
          <w:rFonts w:eastAsiaTheme="majorEastAsia"/>
          <w:sz w:val="24"/>
          <w:szCs w:val="24"/>
        </w:rPr>
      </w:pPr>
      <w:r w:rsidRPr="00223753">
        <w:rPr>
          <w:rFonts w:eastAsiaTheme="majorEastAsia"/>
          <w:sz w:val="24"/>
          <w:szCs w:val="24"/>
        </w:rPr>
        <w:t xml:space="preserve">Alternatively, when the NEG or BIN are considered to model the number of exceedances, the derived distribution is a 5-parameter extension of the 4-parameter Kappa (KPP) family (K5E; Eq. 12; </w:t>
      </w:r>
      <w:proofErr w:type="spellStart"/>
      <w:r w:rsidRPr="00223753">
        <w:rPr>
          <w:rFonts w:eastAsiaTheme="majorEastAsia"/>
          <w:sz w:val="24"/>
          <w:szCs w:val="24"/>
        </w:rPr>
        <w:t>Eastoe</w:t>
      </w:r>
      <w:proofErr w:type="spellEnd"/>
      <w:r w:rsidRPr="00223753">
        <w:rPr>
          <w:rFonts w:eastAsiaTheme="majorEastAsia"/>
          <w:sz w:val="24"/>
          <w:szCs w:val="24"/>
        </w:rPr>
        <w:t xml:space="preserve"> &amp; </w:t>
      </w:r>
      <w:proofErr w:type="spellStart"/>
      <w:r w:rsidRPr="00223753">
        <w:rPr>
          <w:rFonts w:eastAsiaTheme="majorEastAsia"/>
          <w:sz w:val="24"/>
          <w:szCs w:val="24"/>
        </w:rPr>
        <w:t>Tawn</w:t>
      </w:r>
      <w:proofErr w:type="spellEnd"/>
      <w:r w:rsidRPr="00223753">
        <w:rPr>
          <w:rFonts w:eastAsiaTheme="majorEastAsia"/>
          <w:sz w:val="24"/>
          <w:szCs w:val="24"/>
        </w:rPr>
        <w:t xml:space="preserve">, 2010), of which the GEV is a member (Hosking, 1994).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1DCD03E7" w14:textId="77777777" w:rsidTr="0007665F">
        <w:tc>
          <w:tcPr>
            <w:tcW w:w="8444" w:type="dxa"/>
          </w:tcPr>
          <w:p w14:paraId="247DBF66" w14:textId="38B1992A"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P</m:t>
                    </m:r>
                  </m:e>
                  <m:sub>
                    <m:r>
                      <w:rPr>
                        <w:rFonts w:ascii="Cambria Math" w:eastAsiaTheme="majorEastAsia" w:hAnsi="Cambria Math"/>
                        <w:sz w:val="24"/>
                        <w:szCs w:val="24"/>
                      </w:rPr>
                      <m:t>K</m:t>
                    </m:r>
                    <m:r>
                      <w:rPr>
                        <w:rFonts w:ascii="Cambria Math" w:eastAsiaTheme="majorEastAsia" w:hAnsi="Cambria Math"/>
                        <w:sz w:val="24"/>
                        <w:szCs w:val="24"/>
                      </w:rPr>
                      <m:t>5</m:t>
                    </m:r>
                    <m:r>
                      <w:rPr>
                        <w:rFonts w:ascii="Cambria Math" w:eastAsiaTheme="majorEastAsia" w:hAnsi="Cambria Math"/>
                        <w:sz w:val="24"/>
                        <w:szCs w:val="24"/>
                      </w:rPr>
                      <m:t>E</m:t>
                    </m:r>
                  </m:sub>
                </m:sSub>
                <m:d>
                  <m:dPr>
                    <m:ctrlPr>
                      <w:rPr>
                        <w:rFonts w:ascii="Cambria Math" w:eastAsiaTheme="majorEastAsia" w:hAnsi="Cambria Math"/>
                        <w:i/>
                        <w:sz w:val="24"/>
                        <w:szCs w:val="24"/>
                      </w:rPr>
                    </m:ctrlPr>
                  </m:dPr>
                  <m:e>
                    <m:r>
                      <w:rPr>
                        <w:rFonts w:ascii="Cambria Math" w:eastAsiaTheme="majorEastAsia" w:hAnsi="Cambria Math"/>
                        <w:sz w:val="24"/>
                        <w:szCs w:val="24"/>
                      </w:rPr>
                      <m:t>Q</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1-</m:t>
                                </m:r>
                                <m:r>
                                  <w:rPr>
                                    <w:rFonts w:ascii="Cambria Math" w:eastAsiaTheme="majorEastAsia" w:hAnsi="Cambria Math"/>
                                    <w:sz w:val="24"/>
                                    <w:szCs w:val="24"/>
                                  </w:rPr>
                                  <m:t>η</m:t>
                                </m:r>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k</m:t>
                                            </m:r>
                                          </m:sub>
                                        </m:sSub>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k</m:t>
                                                </m:r>
                                              </m:sub>
                                            </m:sSub>
                                          </m:den>
                                        </m:f>
                                      </m:e>
                                    </m:d>
                                  </m:e>
                                  <m:sup>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k</m:t>
                                            </m:r>
                                          </m:sub>
                                        </m:sSub>
                                      </m:den>
                                    </m:f>
                                  </m:sup>
                                </m:sSup>
                              </m:e>
                            </m:d>
                          </m:e>
                          <m:sup>
                            <m:f>
                              <m:fPr>
                                <m:ctrlPr>
                                  <w:rPr>
                                    <w:rFonts w:ascii="Cambria Math" w:eastAsiaTheme="majorEastAsia" w:hAnsi="Cambria Math"/>
                                    <w:i/>
                                    <w:sz w:val="24"/>
                                    <w:szCs w:val="24"/>
                                  </w:rPr>
                                </m:ctrlPr>
                              </m:fPr>
                              <m:num>
                                <m:r>
                                  <w:rPr>
                                    <w:rFonts w:ascii="Cambria Math" w:eastAsiaTheme="majorEastAsia" w:hAnsi="Cambria Math"/>
                                    <w:sz w:val="24"/>
                                    <w:szCs w:val="24"/>
                                  </w:rPr>
                                  <m:t>λ</m:t>
                                </m:r>
                              </m:num>
                              <m:den>
                                <m:r>
                                  <w:rPr>
                                    <w:rFonts w:ascii="Cambria Math" w:eastAsiaTheme="majorEastAsia" w:hAnsi="Cambria Math"/>
                                    <w:sz w:val="24"/>
                                    <w:szCs w:val="24"/>
                                  </w:rPr>
                                  <m:t>η</m:t>
                                </m:r>
                              </m:den>
                            </m:f>
                          </m:sup>
                        </m:sSup>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k</m:t>
                            </m:r>
                          </m:sub>
                        </m:sSub>
                        <m:r>
                          <w:rPr>
                            <w:rFonts w:ascii="Cambria Math" w:eastAsiaTheme="majorEastAsia" w:hAnsi="Cambria Math"/>
                            <w:sz w:val="24"/>
                            <w:szCs w:val="24"/>
                          </w:rPr>
                          <m:t xml:space="preserve">≠0 </m:t>
                        </m:r>
                      </m:e>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1-</m:t>
                                </m:r>
                                <m:r>
                                  <w:rPr>
                                    <w:rFonts w:ascii="Cambria Math" w:eastAsiaTheme="majorEastAsia" w:hAnsi="Cambria Math"/>
                                    <w:sz w:val="24"/>
                                    <w:szCs w:val="24"/>
                                  </w:rPr>
                                  <m:t>η</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exp</m:t>
                                    </m:r>
                                  </m:fName>
                                  <m:e>
                                    <m:d>
                                      <m:dPr>
                                        <m:ctrlPr>
                                          <w:rPr>
                                            <w:rFonts w:ascii="Cambria Math" w:eastAsiaTheme="majorEastAsia" w:hAnsi="Cambria Math"/>
                                            <w:i/>
                                            <w:sz w:val="24"/>
                                            <w:szCs w:val="24"/>
                                          </w:rPr>
                                        </m:ctrlPr>
                                      </m:dPr>
                                      <m:e>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T</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k</m:t>
                                                </m:r>
                                              </m:sub>
                                            </m:sSub>
                                          </m:den>
                                        </m:f>
                                      </m:e>
                                    </m:d>
                                  </m:e>
                                </m:func>
                                <m:r>
                                  <w:rPr>
                                    <w:rFonts w:ascii="Cambria Math" w:eastAsiaTheme="majorEastAsia" w:hAnsi="Cambria Math"/>
                                    <w:sz w:val="24"/>
                                    <w:szCs w:val="24"/>
                                  </w:rPr>
                                  <m:t xml:space="preserve"> </m:t>
                                </m:r>
                              </m:e>
                            </m:d>
                          </m:e>
                          <m:sup>
                            <m:f>
                              <m:fPr>
                                <m:ctrlPr>
                                  <w:rPr>
                                    <w:rFonts w:ascii="Cambria Math" w:eastAsiaTheme="majorEastAsia" w:hAnsi="Cambria Math"/>
                                    <w:i/>
                                    <w:sz w:val="24"/>
                                    <w:szCs w:val="24"/>
                                  </w:rPr>
                                </m:ctrlPr>
                              </m:fPr>
                              <m:num>
                                <m:r>
                                  <w:rPr>
                                    <w:rFonts w:ascii="Cambria Math" w:eastAsiaTheme="majorEastAsia" w:hAnsi="Cambria Math"/>
                                    <w:sz w:val="24"/>
                                    <w:szCs w:val="24"/>
                                  </w:rPr>
                                  <m:t>λ</m:t>
                                </m:r>
                              </m:num>
                              <m:den>
                                <m:r>
                                  <w:rPr>
                                    <w:rFonts w:ascii="Cambria Math" w:eastAsiaTheme="majorEastAsia" w:hAnsi="Cambria Math"/>
                                    <w:sz w:val="24"/>
                                    <w:szCs w:val="24"/>
                                  </w:rPr>
                                  <m:t>η</m:t>
                                </m:r>
                              </m:den>
                            </m:f>
                          </m:sup>
                        </m:sSup>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k</m:t>
                            </m:r>
                          </m:sub>
                        </m:sSub>
                        <m:r>
                          <w:rPr>
                            <w:rFonts w:ascii="Cambria Math" w:eastAsiaTheme="majorEastAsia" w:hAnsi="Cambria Math"/>
                            <w:sz w:val="24"/>
                            <w:szCs w:val="24"/>
                          </w:rPr>
                          <m:t xml:space="preserve">=0 </m:t>
                        </m:r>
                      </m:e>
                    </m:eqArr>
                  </m:e>
                </m:d>
              </m:oMath>
            </m:oMathPara>
          </w:p>
        </w:tc>
        <w:tc>
          <w:tcPr>
            <w:tcW w:w="616" w:type="dxa"/>
            <w:vAlign w:val="center"/>
          </w:tcPr>
          <w:p w14:paraId="07247C9B"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12</w:t>
            </w:r>
            <w:r w:rsidRPr="00223753">
              <w:rPr>
                <w:rFonts w:eastAsiaTheme="majorEastAsia"/>
                <w:sz w:val="24"/>
                <w:szCs w:val="24"/>
              </w:rPr>
              <w:fldChar w:fldCharType="end"/>
            </w:r>
            <w:r w:rsidRPr="00223753">
              <w:rPr>
                <w:rFonts w:eastAsiaTheme="majorEastAsia"/>
                <w:sz w:val="24"/>
                <w:szCs w:val="24"/>
              </w:rPr>
              <w:t>)</w:t>
            </w:r>
          </w:p>
        </w:tc>
      </w:tr>
    </w:tbl>
    <w:p w14:paraId="5D1B743B" w14:textId="40185AC5" w:rsidR="00223753" w:rsidRPr="00223753" w:rsidRDefault="00223753" w:rsidP="00223753">
      <w:pPr>
        <w:ind w:firstLine="720"/>
        <w:jc w:val="both"/>
        <w:rPr>
          <w:rFonts w:eastAsiaTheme="majorEastAsia"/>
          <w:sz w:val="24"/>
          <w:szCs w:val="24"/>
        </w:rPr>
      </w:pPr>
      <w:r w:rsidRPr="00223753">
        <w:rPr>
          <w:rFonts w:eastAsiaTheme="majorEastAsia"/>
          <w:sz w:val="24"/>
          <w:szCs w:val="24"/>
        </w:rPr>
        <w:t xml:space="preserve">The special KPP case (Hosking, 1994) occurs when </w:t>
      </w:r>
      <m:oMath>
        <m:r>
          <w:rPr>
            <w:rFonts w:ascii="Cambria Math" w:eastAsiaTheme="majorEastAsia" w:hAnsi="Cambria Math"/>
            <w:sz w:val="24"/>
            <w:szCs w:val="24"/>
          </w:rPr>
          <m:t>λ=1</m:t>
        </m:r>
      </m:oMath>
      <w:r w:rsidRPr="00223753">
        <w:rPr>
          <w:rFonts w:eastAsiaTheme="majorEastAsia"/>
          <w:sz w:val="24"/>
          <w:szCs w:val="24"/>
        </w:rPr>
        <w:t xml:space="preserve">. Reparameterization equations for the GP-K5E duality are given by </w:t>
      </w:r>
      <w:proofErr w:type="spellStart"/>
      <w:r w:rsidRPr="00223753">
        <w:rPr>
          <w:rFonts w:eastAsiaTheme="majorEastAsia"/>
          <w:sz w:val="24"/>
          <w:szCs w:val="24"/>
        </w:rPr>
        <w:t>Eqs</w:t>
      </w:r>
      <w:proofErr w:type="spellEnd"/>
      <w:r w:rsidRPr="00223753">
        <w:rPr>
          <w:rFonts w:eastAsiaTheme="majorEastAsia"/>
          <w:sz w:val="24"/>
          <w:szCs w:val="24"/>
        </w:rPr>
        <w:t>. (13), (14), and (15).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619DAD9C" w14:textId="77777777" w:rsidTr="007F00CD">
        <w:trPr>
          <w:jc w:val="center"/>
        </w:trPr>
        <w:tc>
          <w:tcPr>
            <w:tcW w:w="8444" w:type="dxa"/>
            <w:vAlign w:val="center"/>
          </w:tcPr>
          <w:p w14:paraId="0146E7EF" w14:textId="0864704E" w:rsidR="00223753" w:rsidRPr="00223753" w:rsidRDefault="00990971" w:rsidP="007F00CD">
            <w:pPr>
              <w:ind w:firstLine="720"/>
              <w:jc w:val="center"/>
              <w:rPr>
                <w:rFonts w:eastAsiaTheme="majorEastAsia"/>
                <w:sz w:val="24"/>
                <w:szCs w:val="24"/>
              </w:rPr>
            </w:pPr>
            <m:oMath>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k</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oMath>
            <w:r w:rsidR="00223753" w:rsidRPr="00223753">
              <w:rPr>
                <w:rFonts w:eastAsiaTheme="majorEastAsia"/>
                <w:sz w:val="24"/>
                <w:szCs w:val="24"/>
              </w:rPr>
              <w:t xml:space="preserve"> ,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k</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oMath>
            <w:r w:rsidR="00223753" w:rsidRPr="00223753">
              <w:rPr>
                <w:rFonts w:eastAsiaTheme="majorEastAsia"/>
                <w:sz w:val="24"/>
                <w:szCs w:val="24"/>
              </w:rPr>
              <w:t xml:space="preserve"> ,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k</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oMath>
          </w:p>
        </w:tc>
        <w:tc>
          <w:tcPr>
            <w:tcW w:w="616" w:type="dxa"/>
            <w:vAlign w:val="center"/>
          </w:tcPr>
          <w:p w14:paraId="183C6FE7"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13</w:t>
            </w:r>
            <w:r w:rsidRPr="00223753">
              <w:rPr>
                <w:rFonts w:eastAsiaTheme="majorEastAsia"/>
                <w:sz w:val="24"/>
                <w:szCs w:val="24"/>
              </w:rPr>
              <w:fldChar w:fldCharType="end"/>
            </w:r>
            <w:r w:rsidRPr="00223753">
              <w:rPr>
                <w:rFonts w:eastAsiaTheme="majorEastAsia"/>
                <w:sz w:val="24"/>
                <w:szCs w:val="24"/>
              </w:rPr>
              <w:t>)</w:t>
            </w:r>
          </w:p>
        </w:tc>
      </w:tr>
    </w:tbl>
    <w:p w14:paraId="791A23F4"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16F8EEB0" w14:textId="77777777" w:rsidTr="0007665F">
        <w:tc>
          <w:tcPr>
            <w:tcW w:w="8444" w:type="dxa"/>
          </w:tcPr>
          <w:p w14:paraId="7AE24DE9" w14:textId="1FC8A0CC" w:rsidR="00223753" w:rsidRPr="00223753" w:rsidRDefault="00223753" w:rsidP="00223753">
            <w:pPr>
              <w:ind w:firstLine="720"/>
              <w:jc w:val="both"/>
              <w:rPr>
                <w:rFonts w:eastAsiaTheme="majorEastAsia"/>
                <w:sz w:val="24"/>
                <w:szCs w:val="24"/>
              </w:rPr>
            </w:pPr>
            <m:oMathPara>
              <m:oMath>
                <m:r>
                  <w:rPr>
                    <w:rFonts w:ascii="Cambria Math" w:eastAsiaTheme="majorEastAsia" w:hAnsi="Cambria Math"/>
                    <w:sz w:val="24"/>
                    <w:szCs w:val="24"/>
                  </w:rPr>
                  <m:t>β=</m:t>
                </m:r>
                <m:f>
                  <m:fPr>
                    <m:ctrlPr>
                      <w:rPr>
                        <w:rFonts w:ascii="Cambria Math" w:eastAsiaTheme="majorEastAsia" w:hAnsi="Cambria Math"/>
                        <w:i/>
                        <w:sz w:val="24"/>
                        <w:szCs w:val="24"/>
                      </w:rPr>
                    </m:ctrlPr>
                  </m:fPr>
                  <m:num>
                    <m:r>
                      <w:rPr>
                        <w:rFonts w:ascii="Cambria Math" w:eastAsiaTheme="majorEastAsia" w:hAnsi="Cambria Math"/>
                        <w:sz w:val="24"/>
                        <w:szCs w:val="24"/>
                      </w:rPr>
                      <m:t>α</m:t>
                    </m:r>
                  </m:num>
                  <m:den>
                    <m:r>
                      <w:rPr>
                        <w:rFonts w:ascii="Cambria Math" w:eastAsiaTheme="majorEastAsia" w:hAnsi="Cambria Math"/>
                        <w:sz w:val="24"/>
                        <w:szCs w:val="24"/>
                      </w:rPr>
                      <m:t>α-1</m:t>
                    </m:r>
                  </m:den>
                </m:f>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λ-V</m:t>
                    </m:r>
                  </m:num>
                  <m:den>
                    <m:r>
                      <w:rPr>
                        <w:rFonts w:ascii="Cambria Math" w:eastAsiaTheme="majorEastAsia" w:hAnsi="Cambria Math"/>
                        <w:sz w:val="24"/>
                        <w:szCs w:val="24"/>
                      </w:rPr>
                      <m:t xml:space="preserve">λ </m:t>
                    </m:r>
                  </m:den>
                </m:f>
                <m:r>
                  <w:rPr>
                    <w:rFonts w:ascii="Cambria Math" w:eastAsiaTheme="majorEastAsia" w:hAnsi="Cambria Math"/>
                    <w:sz w:val="24"/>
                    <w:szCs w:val="24"/>
                  </w:rPr>
                  <m:t>=η</m:t>
                </m:r>
              </m:oMath>
            </m:oMathPara>
          </w:p>
        </w:tc>
        <w:tc>
          <w:tcPr>
            <w:tcW w:w="616" w:type="dxa"/>
            <w:vAlign w:val="center"/>
          </w:tcPr>
          <w:p w14:paraId="56D3D0AA"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14</w:t>
            </w:r>
            <w:r w:rsidRPr="00223753">
              <w:rPr>
                <w:rFonts w:eastAsiaTheme="majorEastAsia"/>
                <w:sz w:val="24"/>
                <w:szCs w:val="24"/>
              </w:rPr>
              <w:fldChar w:fldCharType="end"/>
            </w:r>
            <w:r w:rsidRPr="00223753">
              <w:rPr>
                <w:rFonts w:eastAsiaTheme="majorEastAsia"/>
                <w:sz w:val="24"/>
                <w:szCs w:val="24"/>
              </w:rPr>
              <w:t>)</w:t>
            </w:r>
          </w:p>
        </w:tc>
      </w:tr>
    </w:tbl>
    <w:p w14:paraId="66E9A31D"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71B53037" w14:textId="77777777" w:rsidTr="0007665F">
        <w:tc>
          <w:tcPr>
            <w:tcW w:w="8444" w:type="dxa"/>
          </w:tcPr>
          <w:p w14:paraId="2C236CD3" w14:textId="69A50CB7" w:rsidR="00223753" w:rsidRPr="00223753" w:rsidRDefault="00223753" w:rsidP="00223753">
            <w:pPr>
              <w:ind w:firstLine="720"/>
              <w:jc w:val="both"/>
              <w:rPr>
                <w:rFonts w:eastAsiaTheme="majorEastAsia"/>
                <w:sz w:val="24"/>
                <w:szCs w:val="24"/>
              </w:rPr>
            </w:pPr>
            <m:oMathPara>
              <m:oMath>
                <m:r>
                  <w:rPr>
                    <w:rFonts w:ascii="Cambria Math" w:eastAsiaTheme="majorEastAsia" w:hAnsi="Cambria Math"/>
                    <w:sz w:val="24"/>
                    <w:szCs w:val="24"/>
                  </w:rPr>
                  <m:t>δ=-γ=</m:t>
                </m:r>
                <m:f>
                  <m:fPr>
                    <m:ctrlPr>
                      <w:rPr>
                        <w:rFonts w:ascii="Cambria Math" w:eastAsiaTheme="majorEastAsia" w:hAnsi="Cambria Math"/>
                        <w:i/>
                        <w:sz w:val="24"/>
                        <w:szCs w:val="24"/>
                      </w:rPr>
                    </m:ctrlPr>
                  </m:fPr>
                  <m:num>
                    <m:sSup>
                      <m:sSupPr>
                        <m:ctrlPr>
                          <w:rPr>
                            <w:rFonts w:ascii="Cambria Math" w:eastAsiaTheme="majorEastAsia" w:hAnsi="Cambria Math"/>
                            <w:i/>
                            <w:sz w:val="24"/>
                            <w:szCs w:val="24"/>
                          </w:rPr>
                        </m:ctrlPr>
                      </m:sSupPr>
                      <m:e>
                        <m:r>
                          <w:rPr>
                            <w:rFonts w:ascii="Cambria Math" w:eastAsiaTheme="majorEastAsia" w:hAnsi="Cambria Math"/>
                            <w:sz w:val="24"/>
                            <w:szCs w:val="24"/>
                          </w:rPr>
                          <m:t>λ</m:t>
                        </m:r>
                      </m:e>
                      <m:sup>
                        <m:r>
                          <w:rPr>
                            <w:rFonts w:ascii="Cambria Math" w:eastAsiaTheme="majorEastAsia" w:hAnsi="Cambria Math"/>
                            <w:sz w:val="24"/>
                            <w:szCs w:val="24"/>
                          </w:rPr>
                          <m:t>2</m:t>
                        </m:r>
                      </m:sup>
                    </m:sSup>
                  </m:num>
                  <m:den>
                    <m:r>
                      <w:rPr>
                        <w:rFonts w:ascii="Cambria Math" w:eastAsiaTheme="majorEastAsia" w:hAnsi="Cambria Math"/>
                        <w:sz w:val="24"/>
                        <w:szCs w:val="24"/>
                      </w:rPr>
                      <m:t>λ-V</m:t>
                    </m:r>
                  </m:den>
                </m:f>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λ</m:t>
                    </m:r>
                  </m:num>
                  <m:den>
                    <m:r>
                      <w:rPr>
                        <w:rFonts w:ascii="Cambria Math" w:eastAsiaTheme="majorEastAsia" w:hAnsi="Cambria Math"/>
                        <w:sz w:val="24"/>
                        <w:szCs w:val="24"/>
                      </w:rPr>
                      <m:t>η</m:t>
                    </m:r>
                  </m:den>
                </m:f>
                <m:r>
                  <w:rPr>
                    <w:rFonts w:ascii="Cambria Math" w:eastAsiaTheme="majorEastAsia" w:hAnsi="Cambria Math"/>
                    <w:sz w:val="24"/>
                    <w:szCs w:val="24"/>
                  </w:rPr>
                  <m:t xml:space="preserve"> </m:t>
                </m:r>
              </m:oMath>
            </m:oMathPara>
          </w:p>
        </w:tc>
        <w:tc>
          <w:tcPr>
            <w:tcW w:w="616" w:type="dxa"/>
            <w:vAlign w:val="center"/>
          </w:tcPr>
          <w:p w14:paraId="66129399"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15</w:t>
            </w:r>
            <w:r w:rsidRPr="00223753">
              <w:rPr>
                <w:rFonts w:eastAsiaTheme="majorEastAsia"/>
                <w:sz w:val="24"/>
                <w:szCs w:val="24"/>
              </w:rPr>
              <w:fldChar w:fldCharType="end"/>
            </w:r>
            <w:r w:rsidRPr="00223753">
              <w:rPr>
                <w:rFonts w:eastAsiaTheme="majorEastAsia"/>
                <w:sz w:val="24"/>
                <w:szCs w:val="24"/>
              </w:rPr>
              <w:t>)</w:t>
            </w:r>
          </w:p>
        </w:tc>
      </w:tr>
    </w:tbl>
    <w:p w14:paraId="4F07B3CD" w14:textId="66D24E32" w:rsidR="00223753" w:rsidRPr="00223753" w:rsidRDefault="00223753" w:rsidP="00223753">
      <w:pPr>
        <w:ind w:firstLine="720"/>
        <w:jc w:val="both"/>
        <w:rPr>
          <w:rFonts w:eastAsiaTheme="majorEastAsia"/>
          <w:sz w:val="24"/>
          <w:szCs w:val="24"/>
        </w:rPr>
      </w:pPr>
      <w:proofErr w:type="spellStart"/>
      <w:r w:rsidRPr="00223753">
        <w:rPr>
          <w:rFonts w:eastAsiaTheme="majorEastAsia"/>
          <w:sz w:val="24"/>
          <w:szCs w:val="24"/>
        </w:rPr>
        <w:t>Eqs</w:t>
      </w:r>
      <w:proofErr w:type="spellEnd"/>
      <w:r w:rsidRPr="00223753">
        <w:rPr>
          <w:rFonts w:eastAsiaTheme="majorEastAsia"/>
          <w:sz w:val="24"/>
          <w:szCs w:val="24"/>
        </w:rPr>
        <w:t xml:space="preserve">. (16), (17), and (18) represent the inverse CDFs of the GEV, GP, and K5E distributions, respectively, where the probability is suitably expressed in terms of </w:t>
      </w:r>
      <m:oMath>
        <m:r>
          <w:rPr>
            <w:rFonts w:ascii="Cambria Math" w:eastAsiaTheme="majorEastAsia" w:hAnsi="Cambria Math"/>
            <w:sz w:val="24"/>
            <w:szCs w:val="24"/>
          </w:rPr>
          <m:t>R</m:t>
        </m:r>
      </m:oMath>
      <w:r w:rsidRPr="00223753">
        <w:rPr>
          <w:rFonts w:eastAsiaTheme="majorEastAsia"/>
          <w:sz w:val="24"/>
          <w:szCs w:val="24"/>
        </w:rPr>
        <w:t xml:space="preserve"> or </w:t>
      </w:r>
      <m:oMath>
        <m:r>
          <w:rPr>
            <w:rFonts w:ascii="Cambria Math" w:eastAsiaTheme="majorEastAsia" w:hAnsi="Cambria Math"/>
            <w:sz w:val="24"/>
            <w:szCs w:val="24"/>
          </w:rPr>
          <m:t>ARI</m:t>
        </m:r>
      </m:oMath>
      <w:r w:rsidRPr="00223753">
        <w:rPr>
          <w:rFonts w:eastAsiaTheme="majorEastAsia"/>
          <w:sz w:val="24"/>
          <w:szCs w:val="24"/>
        </w:rPr>
        <w:t>, by considering</w:t>
      </w:r>
      <w:r w:rsidR="00E77976">
        <w:rPr>
          <w:rFonts w:eastAsiaTheme="majorEastAsia"/>
          <w:sz w:val="24"/>
          <w:szCs w:val="24"/>
        </w:rPr>
        <w:t xml:space="preserv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G</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r>
                  <w:rPr>
                    <w:rFonts w:ascii="Cambria Math" w:eastAsiaTheme="majorEastAsia" w:hAnsi="Cambria Math"/>
                    <w:sz w:val="24"/>
                    <w:szCs w:val="24"/>
                  </w:rPr>
                  <m:t>ARI</m:t>
                </m:r>
              </m:e>
            </m:d>
          </m:e>
        </m:d>
        <m:r>
          <w:rPr>
            <w:rFonts w:ascii="Cambria Math" w:eastAsiaTheme="majorEastAsia" w:hAnsi="Cambria Math"/>
            <w:sz w:val="24"/>
            <w:szCs w:val="24"/>
          </w:rPr>
          <m:t>=1-1/(λ ARI)</m:t>
        </m:r>
      </m:oMath>
      <w:r w:rsidRPr="00223753">
        <w:rPr>
          <w:rFonts w:eastAsiaTheme="majorEastAsia"/>
          <w:sz w:val="24"/>
          <w:szCs w:val="24"/>
        </w:rPr>
        <w:t xml:space="preserve">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F</m:t>
            </m:r>
          </m:e>
          <m:sub>
            <m:r>
              <w:rPr>
                <w:rFonts w:ascii="Cambria Math" w:eastAsiaTheme="majorEastAsia" w:hAnsi="Cambria Math"/>
                <w:sz w:val="24"/>
                <w:szCs w:val="24"/>
              </w:rPr>
              <m:t>AM</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sub>
            </m:sSub>
            <m:d>
              <m:dPr>
                <m:ctrlPr>
                  <w:rPr>
                    <w:rFonts w:ascii="Cambria Math" w:eastAsiaTheme="majorEastAsia" w:hAnsi="Cambria Math"/>
                    <w:i/>
                    <w:sz w:val="24"/>
                    <w:szCs w:val="24"/>
                  </w:rPr>
                </m:ctrlPr>
              </m:dPr>
              <m:e>
                <m:r>
                  <w:rPr>
                    <w:rFonts w:ascii="Cambria Math" w:eastAsiaTheme="majorEastAsia" w:hAnsi="Cambria Math"/>
                    <w:sz w:val="24"/>
                    <w:szCs w:val="24"/>
                  </w:rPr>
                  <m:t>R</m:t>
                </m:r>
              </m:e>
            </m:d>
          </m:e>
        </m:d>
        <m:r>
          <w:rPr>
            <w:rFonts w:ascii="Cambria Math" w:eastAsiaTheme="majorEastAsia" w:hAnsi="Cambria Math"/>
            <w:sz w:val="24"/>
            <w:szCs w:val="24"/>
          </w:rPr>
          <m:t>=1-1/R</m:t>
        </m:r>
      </m:oMath>
      <w:r w:rsidRPr="00223753">
        <w:rPr>
          <w:rFonts w:eastAsiaTheme="majorEastAsia"/>
          <w:sz w:val="24"/>
          <w:szCs w:val="24"/>
        </w:rPr>
        <w:t xml:space="preserve">,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7A0DADA7" w14:textId="77777777" w:rsidTr="0007665F">
        <w:tc>
          <w:tcPr>
            <w:tcW w:w="8444" w:type="dxa"/>
          </w:tcPr>
          <w:p w14:paraId="7589A932" w14:textId="744A53A2"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R</m:t>
                </m:r>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R</m:t>
                                                </m:r>
                                              </m:num>
                                              <m:den>
                                                <m:r>
                                                  <w:rPr>
                                                    <w:rFonts w:ascii="Cambria Math" w:eastAsiaTheme="majorEastAsia" w:hAnsi="Cambria Math"/>
                                                    <w:sz w:val="24"/>
                                                    <w:szCs w:val="24"/>
                                                  </w:rPr>
                                                  <m:t>R</m:t>
                                                </m:r>
                                                <m:r>
                                                  <w:rPr>
                                                    <w:rFonts w:ascii="Cambria Math" w:eastAsiaTheme="majorEastAsia" w:hAnsi="Cambria Math"/>
                                                    <w:sz w:val="24"/>
                                                    <w:szCs w:val="24"/>
                                                  </w:rPr>
                                                  <m:t>-</m:t>
                                                </m:r>
                                                <m:r>
                                                  <w:rPr>
                                                    <w:rFonts w:ascii="Cambria Math" w:eastAsiaTheme="majorEastAsia" w:hAnsi="Cambria Math"/>
                                                    <w:sz w:val="24"/>
                                                    <w:szCs w:val="24"/>
                                                  </w:rPr>
                                                  <m:t>1</m:t>
                                                </m:r>
                                              </m:den>
                                            </m:f>
                                          </m:e>
                                        </m:d>
                                      </m:e>
                                    </m:func>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sup>
                            </m:sSup>
                            <m:r>
                              <w:rPr>
                                <w:rFonts w:ascii="Cambria Math" w:eastAsiaTheme="majorEastAsia" w:hAnsi="Cambria Math"/>
                                <w:sz w:val="24"/>
                                <w:szCs w:val="24"/>
                              </w:rPr>
                              <m:t>-</m:t>
                            </m:r>
                            <m:r>
                              <w:rPr>
                                <w:rFonts w:ascii="Cambria Math" w:eastAsiaTheme="majorEastAsia" w:hAnsi="Cambria Math"/>
                                <w:sz w:val="24"/>
                                <w:szCs w:val="24"/>
                              </w:rPr>
                              <m:t>1</m:t>
                            </m:r>
                          </m:e>
                        </m:d>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e>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d>
                              <m:dPr>
                                <m:begChr m:val="["/>
                                <m:endChr m:val="]"/>
                                <m:ctrlPr>
                                  <w:rPr>
                                    <w:rFonts w:ascii="Cambria Math" w:eastAsiaTheme="majorEastAsia" w:hAnsi="Cambria Math"/>
                                    <w:i/>
                                    <w:sz w:val="24"/>
                                    <w:szCs w:val="24"/>
                                  </w:rPr>
                                </m:ctrlPr>
                              </m:d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R</m:t>
                                            </m:r>
                                          </m:num>
                                          <m:den>
                                            <m:r>
                                              <w:rPr>
                                                <w:rFonts w:ascii="Cambria Math" w:eastAsiaTheme="majorEastAsia" w:hAnsi="Cambria Math"/>
                                                <w:sz w:val="24"/>
                                                <w:szCs w:val="24"/>
                                              </w:rPr>
                                              <m:t>R</m:t>
                                            </m:r>
                                            <m:r>
                                              <w:rPr>
                                                <w:rFonts w:ascii="Cambria Math" w:eastAsiaTheme="majorEastAsia" w:hAnsi="Cambria Math"/>
                                                <w:sz w:val="24"/>
                                                <w:szCs w:val="24"/>
                                              </w:rPr>
                                              <m:t>-</m:t>
                                            </m:r>
                                            <m:r>
                                              <w:rPr>
                                                <w:rFonts w:ascii="Cambria Math" w:eastAsiaTheme="majorEastAsia" w:hAnsi="Cambria Math"/>
                                                <w:sz w:val="24"/>
                                                <w:szCs w:val="24"/>
                                              </w:rPr>
                                              <m:t>1</m:t>
                                            </m:r>
                                          </m:den>
                                        </m:f>
                                      </m:e>
                                    </m:d>
                                  </m:e>
                                </m:func>
                              </m:e>
                            </m:d>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e>
                        </m:func>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 xml:space="preserve">=0 </m:t>
                        </m:r>
                      </m:e>
                    </m:eqArr>
                  </m:e>
                </m:d>
              </m:oMath>
            </m:oMathPara>
          </w:p>
        </w:tc>
        <w:tc>
          <w:tcPr>
            <w:tcW w:w="616" w:type="dxa"/>
            <w:vAlign w:val="center"/>
          </w:tcPr>
          <w:p w14:paraId="3D2CC851"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16</w:t>
            </w:r>
            <w:r w:rsidRPr="00223753">
              <w:rPr>
                <w:rFonts w:eastAsiaTheme="majorEastAsia"/>
                <w:sz w:val="24"/>
                <w:szCs w:val="24"/>
              </w:rPr>
              <w:fldChar w:fldCharType="end"/>
            </w:r>
            <w:r w:rsidRPr="00223753">
              <w:rPr>
                <w:rFonts w:eastAsiaTheme="majorEastAsia"/>
                <w:sz w:val="24"/>
                <w:szCs w:val="24"/>
              </w:rPr>
              <w:t>)</w:t>
            </w:r>
          </w:p>
        </w:tc>
      </w:tr>
    </w:tbl>
    <w:p w14:paraId="79CBE4E3"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30648432" w14:textId="77777777" w:rsidTr="0007665F">
        <w:tc>
          <w:tcPr>
            <w:tcW w:w="8444" w:type="dxa"/>
          </w:tcPr>
          <w:p w14:paraId="1E18D72C" w14:textId="4186D716"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ARI</m:t>
                    </m:r>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λ</m:t>
                                    </m:r>
                                    <m:r>
                                      <w:rPr>
                                        <w:rFonts w:ascii="Cambria Math" w:eastAsiaTheme="majorEastAsia" w:hAnsi="Cambria Math"/>
                                        <w:sz w:val="24"/>
                                        <w:szCs w:val="24"/>
                                      </w:rPr>
                                      <m:t xml:space="preserve"> </m:t>
                                    </m:r>
                                    <m:r>
                                      <w:rPr>
                                        <w:rFonts w:ascii="Cambria Math" w:eastAsiaTheme="majorEastAsia" w:hAnsi="Cambria Math"/>
                                        <w:sz w:val="24"/>
                                        <w:szCs w:val="24"/>
                                      </w:rPr>
                                      <m:t>ARI</m:t>
                                    </m:r>
                                  </m:e>
                                </m:d>
                              </m:e>
                              <m:sup>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e>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 xml:space="preserve"> </m:t>
                            </m:r>
                            <m:r>
                              <w:rPr>
                                <w:rFonts w:ascii="Cambria Math" w:eastAsiaTheme="majorEastAsia" w:hAnsi="Cambria Math"/>
                                <w:sz w:val="24"/>
                                <w:szCs w:val="24"/>
                              </w:rPr>
                              <m:t>ARI</m:t>
                            </m:r>
                            <m:r>
                              <w:rPr>
                                <w:rFonts w:ascii="Cambria Math" w:eastAsiaTheme="majorEastAsia" w:hAnsi="Cambria Math"/>
                                <w:sz w:val="24"/>
                                <w:szCs w:val="24"/>
                              </w:rPr>
                              <m:t>)</m:t>
                            </m:r>
                          </m:e>
                        </m:func>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e>
                    </m:eqArr>
                  </m:e>
                </m:d>
              </m:oMath>
            </m:oMathPara>
          </w:p>
        </w:tc>
        <w:tc>
          <w:tcPr>
            <w:tcW w:w="616" w:type="dxa"/>
            <w:vAlign w:val="center"/>
          </w:tcPr>
          <w:p w14:paraId="3A036C74"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17</w:t>
            </w:r>
            <w:r w:rsidRPr="00223753">
              <w:rPr>
                <w:rFonts w:eastAsiaTheme="majorEastAsia"/>
                <w:sz w:val="24"/>
                <w:szCs w:val="24"/>
              </w:rPr>
              <w:fldChar w:fldCharType="end"/>
            </w:r>
            <w:r w:rsidRPr="00223753">
              <w:rPr>
                <w:rFonts w:eastAsiaTheme="majorEastAsia"/>
                <w:sz w:val="24"/>
                <w:szCs w:val="24"/>
              </w:rPr>
              <w:t>)</w:t>
            </w:r>
          </w:p>
        </w:tc>
      </w:tr>
    </w:tbl>
    <w:p w14:paraId="1B3034C7"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4BE960C3" w14:textId="77777777" w:rsidTr="0007665F">
        <w:tc>
          <w:tcPr>
            <w:tcW w:w="8444" w:type="dxa"/>
          </w:tcPr>
          <w:p w14:paraId="23657C21" w14:textId="2EEFDD07"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η</m:t>
                </m:r>
                <m:r>
                  <w:rPr>
                    <w:rFonts w:ascii="Cambria Math" w:eastAsiaTheme="majorEastAsia" w:hAnsi="Cambria Math"/>
                    <w:sz w:val="24"/>
                    <w:szCs w:val="24"/>
                  </w:rPr>
                  <m:t>,</m:t>
                </m:r>
                <m:r>
                  <w:rPr>
                    <w:rFonts w:ascii="Cambria Math" w:eastAsiaTheme="majorEastAsia" w:hAnsi="Cambria Math"/>
                    <w:sz w:val="24"/>
                    <w:szCs w:val="24"/>
                  </w:rPr>
                  <m:t>R</m:t>
                </m:r>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η</m:t>
                                        </m:r>
                                      </m:den>
                                    </m:f>
                                    <m:d>
                                      <m:dPr>
                                        <m:ctrlPr>
                                          <w:rPr>
                                            <w:rFonts w:ascii="Cambria Math" w:eastAsiaTheme="majorEastAsia" w:hAnsi="Cambria Math"/>
                                            <w:i/>
                                            <w:sz w:val="24"/>
                                            <w:szCs w:val="24"/>
                                          </w:rPr>
                                        </m:ctrlPr>
                                      </m:dPr>
                                      <m:e>
                                        <m:r>
                                          <w:rPr>
                                            <w:rFonts w:ascii="Cambria Math" w:eastAsiaTheme="majorEastAsia" w:hAnsi="Cambria Math"/>
                                            <w:sz w:val="24"/>
                                            <w:szCs w:val="24"/>
                                          </w:rPr>
                                          <m:t>1-</m:t>
                                        </m:r>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R</m:t>
                                                    </m:r>
                                                  </m:den>
                                                </m:f>
                                              </m:e>
                                            </m:d>
                                          </m:e>
                                          <m:sup>
                                            <m:f>
                                              <m:fPr>
                                                <m:ctrlPr>
                                                  <w:rPr>
                                                    <w:rFonts w:ascii="Cambria Math" w:eastAsiaTheme="majorEastAsia" w:hAnsi="Cambria Math"/>
                                                    <w:i/>
                                                    <w:sz w:val="24"/>
                                                    <w:szCs w:val="24"/>
                                                  </w:rPr>
                                                </m:ctrlPr>
                                              </m:fPr>
                                              <m:num>
                                                <m:r>
                                                  <w:rPr>
                                                    <w:rFonts w:ascii="Cambria Math" w:eastAsiaTheme="majorEastAsia" w:hAnsi="Cambria Math"/>
                                                    <w:sz w:val="24"/>
                                                    <w:szCs w:val="24"/>
                                                  </w:rPr>
                                                  <m:t>η</m:t>
                                                </m:r>
                                              </m:num>
                                              <m:den>
                                                <m:r>
                                                  <w:rPr>
                                                    <w:rFonts w:ascii="Cambria Math" w:eastAsiaTheme="majorEastAsia" w:hAnsi="Cambria Math"/>
                                                    <w:sz w:val="24"/>
                                                    <w:szCs w:val="24"/>
                                                  </w:rPr>
                                                  <m:t>λ</m:t>
                                                </m:r>
                                              </m:den>
                                            </m:f>
                                            <m:r>
                                              <w:rPr>
                                                <w:rFonts w:ascii="Cambria Math" w:eastAsiaTheme="majorEastAsia" w:hAnsi="Cambria Math"/>
                                                <w:sz w:val="24"/>
                                                <w:szCs w:val="24"/>
                                              </w:rPr>
                                              <m:t xml:space="preserve"> </m:t>
                                            </m:r>
                                          </m:sup>
                                        </m:sSup>
                                      </m:e>
                                    </m:d>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 xml:space="preserve">≠0 </m:t>
                        </m:r>
                      </m:e>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d>
                              <m:dPr>
                                <m:begChr m:val="{"/>
                                <m:endChr m:val="}"/>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η</m:t>
                                    </m:r>
                                  </m:den>
                                </m:f>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1-</m:t>
                                    </m:r>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R</m:t>
                                                </m:r>
                                              </m:den>
                                            </m:f>
                                          </m:e>
                                        </m:d>
                                      </m:e>
                                      <m:sup>
                                        <m:f>
                                          <m:fPr>
                                            <m:ctrlPr>
                                              <w:rPr>
                                                <w:rFonts w:ascii="Cambria Math" w:eastAsiaTheme="majorEastAsia" w:hAnsi="Cambria Math"/>
                                                <w:i/>
                                                <w:sz w:val="24"/>
                                                <w:szCs w:val="24"/>
                                              </w:rPr>
                                            </m:ctrlPr>
                                          </m:fPr>
                                          <m:num>
                                            <m:r>
                                              <w:rPr>
                                                <w:rFonts w:ascii="Cambria Math" w:eastAsiaTheme="majorEastAsia" w:hAnsi="Cambria Math"/>
                                                <w:sz w:val="24"/>
                                                <w:szCs w:val="24"/>
                                              </w:rPr>
                                              <m:t>η</m:t>
                                            </m:r>
                                          </m:num>
                                          <m:den>
                                            <m:r>
                                              <w:rPr>
                                                <w:rFonts w:ascii="Cambria Math" w:eastAsiaTheme="majorEastAsia" w:hAnsi="Cambria Math"/>
                                                <w:sz w:val="24"/>
                                                <w:szCs w:val="24"/>
                                              </w:rPr>
                                              <m:t>λ</m:t>
                                            </m:r>
                                          </m:den>
                                        </m:f>
                                        <m:r>
                                          <w:rPr>
                                            <w:rFonts w:ascii="Cambria Math" w:eastAsiaTheme="majorEastAsia" w:hAnsi="Cambria Math"/>
                                            <w:sz w:val="24"/>
                                            <w:szCs w:val="24"/>
                                          </w:rPr>
                                          <m:t xml:space="preserve"> </m:t>
                                        </m:r>
                                      </m:sup>
                                    </m:sSup>
                                  </m:e>
                                </m:d>
                              </m:e>
                            </m:d>
                          </m:e>
                        </m:func>
                        <m:r>
                          <w:rPr>
                            <w:rFonts w:ascii="Cambria Math" w:eastAsiaTheme="majorEastAsia" w:hAnsi="Cambria Math"/>
                            <w:sz w:val="24"/>
                            <w:szCs w:val="24"/>
                          </w:rPr>
                          <m:t xml:space="preserve"> ,              </m:t>
                        </m:r>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e>
                    </m:eqArr>
                  </m:e>
                </m:d>
              </m:oMath>
            </m:oMathPara>
          </w:p>
        </w:tc>
        <w:tc>
          <w:tcPr>
            <w:tcW w:w="616" w:type="dxa"/>
            <w:vAlign w:val="center"/>
          </w:tcPr>
          <w:p w14:paraId="0757BC8F"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18</w:t>
            </w:r>
            <w:r w:rsidRPr="00223753">
              <w:rPr>
                <w:rFonts w:eastAsiaTheme="majorEastAsia"/>
                <w:sz w:val="24"/>
                <w:szCs w:val="24"/>
              </w:rPr>
              <w:fldChar w:fldCharType="end"/>
            </w:r>
            <w:r w:rsidRPr="00223753">
              <w:rPr>
                <w:rFonts w:eastAsiaTheme="majorEastAsia"/>
                <w:sz w:val="24"/>
                <w:szCs w:val="24"/>
              </w:rPr>
              <w:t>)</w:t>
            </w:r>
          </w:p>
        </w:tc>
      </w:tr>
    </w:tbl>
    <w:p w14:paraId="5331F620"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 xml:space="preserve">Under the assumption of a PSN count model, replacing </w:t>
      </w:r>
      <w:proofErr w:type="spellStart"/>
      <w:r w:rsidRPr="00223753">
        <w:rPr>
          <w:rFonts w:eastAsiaTheme="majorEastAsia"/>
          <w:sz w:val="24"/>
          <w:szCs w:val="24"/>
        </w:rPr>
        <w:t>Eqs</w:t>
      </w:r>
      <w:proofErr w:type="spellEnd"/>
      <w:r w:rsidRPr="00223753">
        <w:rPr>
          <w:rFonts w:eastAsiaTheme="majorEastAsia"/>
          <w:sz w:val="24"/>
          <w:szCs w:val="24"/>
        </w:rPr>
        <w:t xml:space="preserve">. (9), (10), and (11) into </w:t>
      </w:r>
      <w:proofErr w:type="spellStart"/>
      <w:r w:rsidRPr="00223753">
        <w:rPr>
          <w:rFonts w:eastAsiaTheme="majorEastAsia"/>
          <w:sz w:val="24"/>
          <w:szCs w:val="24"/>
        </w:rPr>
        <w:t>Eqs</w:t>
      </w:r>
      <w:proofErr w:type="spellEnd"/>
      <w:r w:rsidRPr="00223753">
        <w:rPr>
          <w:rFonts w:eastAsiaTheme="majorEastAsia"/>
          <w:sz w:val="24"/>
          <w:szCs w:val="24"/>
        </w:rPr>
        <w:t xml:space="preserve">. (16) and (17) leads to Eq. (19) and (20), respectively, where the AM-quantile is expressed in terms of the parameters of the distribution of POTs, and vice versa.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40DF5253" w14:textId="77777777" w:rsidTr="0007665F">
        <w:tc>
          <w:tcPr>
            <w:tcW w:w="8444" w:type="dxa"/>
          </w:tcPr>
          <w:p w14:paraId="3EBC08EF" w14:textId="38B3491E"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R</m:t>
                    </m:r>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λ</m:t>
                                        </m:r>
                                      </m:den>
                                    </m:f>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f>
                                          <m:fPr>
                                            <m:ctrlPr>
                                              <w:rPr>
                                                <w:rFonts w:ascii="Cambria Math" w:eastAsiaTheme="majorEastAsia" w:hAnsi="Cambria Math"/>
                                                <w:i/>
                                                <w:sz w:val="24"/>
                                                <w:szCs w:val="24"/>
                                              </w:rPr>
                                            </m:ctrlPr>
                                          </m:fPr>
                                          <m:num>
                                            <m:r>
                                              <w:rPr>
                                                <w:rFonts w:ascii="Cambria Math" w:eastAsiaTheme="majorEastAsia" w:hAnsi="Cambria Math"/>
                                                <w:sz w:val="24"/>
                                                <w:szCs w:val="24"/>
                                              </w:rPr>
                                              <m:t>R</m:t>
                                            </m:r>
                                          </m:num>
                                          <m:den>
                                            <m:r>
                                              <w:rPr>
                                                <w:rFonts w:ascii="Cambria Math" w:eastAsiaTheme="majorEastAsia" w:hAnsi="Cambria Math"/>
                                                <w:sz w:val="24"/>
                                                <w:szCs w:val="24"/>
                                              </w:rPr>
                                              <m:t>R</m:t>
                                            </m:r>
                                            <m:r>
                                              <w:rPr>
                                                <w:rFonts w:ascii="Cambria Math" w:eastAsiaTheme="majorEastAsia" w:hAnsi="Cambria Math"/>
                                                <w:sz w:val="24"/>
                                                <w:szCs w:val="24"/>
                                              </w:rPr>
                                              <m:t>-</m:t>
                                            </m:r>
                                            <m:r>
                                              <w:rPr>
                                                <w:rFonts w:ascii="Cambria Math" w:eastAsiaTheme="majorEastAsia" w:hAnsi="Cambria Math"/>
                                                <w:sz w:val="24"/>
                                                <w:szCs w:val="24"/>
                                              </w:rPr>
                                              <m:t>1</m:t>
                                            </m:r>
                                          </m:den>
                                        </m:f>
                                      </m:e>
                                    </m:func>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≠0</m:t>
                        </m:r>
                      </m:e>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d>
                              <m:dPr>
                                <m:begChr m:val="["/>
                                <m:endChr m:val="]"/>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λ</m:t>
                                    </m:r>
                                  </m:den>
                                </m:f>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m:t>
                                    </m:r>
                                    <m:r>
                                      <m:rPr>
                                        <m:sty m:val="p"/>
                                      </m:rPr>
                                      <w:rPr>
                                        <w:rFonts w:ascii="Cambria Math" w:eastAsiaTheme="majorEastAsia" w:hAnsi="Cambria Math"/>
                                        <w:sz w:val="24"/>
                                        <w:szCs w:val="24"/>
                                      </w:rPr>
                                      <m:t>n</m:t>
                                    </m:r>
                                  </m:fName>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R</m:t>
                                            </m:r>
                                          </m:num>
                                          <m:den>
                                            <m:r>
                                              <w:rPr>
                                                <w:rFonts w:ascii="Cambria Math" w:eastAsiaTheme="majorEastAsia" w:hAnsi="Cambria Math"/>
                                                <w:sz w:val="24"/>
                                                <w:szCs w:val="24"/>
                                              </w:rPr>
                                              <m:t>R</m:t>
                                            </m:r>
                                            <m:r>
                                              <w:rPr>
                                                <w:rFonts w:ascii="Cambria Math" w:eastAsiaTheme="majorEastAsia" w:hAnsi="Cambria Math"/>
                                                <w:sz w:val="24"/>
                                                <w:szCs w:val="24"/>
                                              </w:rPr>
                                              <m:t>-</m:t>
                                            </m:r>
                                            <m:r>
                                              <w:rPr>
                                                <w:rFonts w:ascii="Cambria Math" w:eastAsiaTheme="majorEastAsia" w:hAnsi="Cambria Math"/>
                                                <w:sz w:val="24"/>
                                                <w:szCs w:val="24"/>
                                              </w:rPr>
                                              <m:t>1</m:t>
                                            </m:r>
                                          </m:den>
                                        </m:f>
                                      </m:e>
                                    </m:d>
                                  </m:e>
                                </m:func>
                              </m:e>
                            </m:d>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 xml:space="preserve">=0 </m:t>
                            </m:r>
                          </m:e>
                        </m:func>
                      </m:e>
                    </m:eqArr>
                  </m:e>
                </m:d>
              </m:oMath>
            </m:oMathPara>
          </w:p>
        </w:tc>
        <w:tc>
          <w:tcPr>
            <w:tcW w:w="616" w:type="dxa"/>
            <w:vAlign w:val="center"/>
          </w:tcPr>
          <w:p w14:paraId="4EAF9476"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19</w:t>
            </w:r>
            <w:r w:rsidRPr="00223753">
              <w:rPr>
                <w:rFonts w:eastAsiaTheme="majorEastAsia"/>
                <w:sz w:val="24"/>
                <w:szCs w:val="24"/>
              </w:rPr>
              <w:fldChar w:fldCharType="end"/>
            </w:r>
            <w:r w:rsidRPr="00223753">
              <w:rPr>
                <w:rFonts w:eastAsiaTheme="majorEastAsia"/>
                <w:sz w:val="24"/>
                <w:szCs w:val="24"/>
              </w:rPr>
              <w:t>)</w:t>
            </w:r>
          </w:p>
        </w:tc>
      </w:tr>
    </w:tbl>
    <w:p w14:paraId="526623BA"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48BDDA24" w14:textId="77777777" w:rsidTr="0007665F">
        <w:tc>
          <w:tcPr>
            <w:tcW w:w="8444" w:type="dxa"/>
          </w:tcPr>
          <w:p w14:paraId="33756DCA" w14:textId="4542AB84" w:rsidR="00223753" w:rsidRPr="00223753" w:rsidRDefault="00990971" w:rsidP="00223753">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ARI</m:t>
                    </m:r>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eqArr>
                          <m:eqArrPr>
                            <m:ctrlPr>
                              <w:rPr>
                                <w:rFonts w:ascii="Cambria Math" w:eastAsiaTheme="majorEastAsia" w:hAnsi="Cambria Math"/>
                                <w:i/>
                                <w:sz w:val="24"/>
                                <w:szCs w:val="24"/>
                              </w:rPr>
                            </m:ctrlPr>
                          </m:eqArrPr>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d>
                              <m:dPr>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r>
                                      <w:rPr>
                                        <w:rFonts w:ascii="Cambria Math" w:eastAsiaTheme="majorEastAsia" w:hAnsi="Cambria Math"/>
                                        <w:sz w:val="24"/>
                                        <w:szCs w:val="24"/>
                                      </w:rPr>
                                      <m:t>ARI</m:t>
                                    </m:r>
                                  </m:e>
                                  <m:sup>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sup>
                                </m:sSup>
                                <m:r>
                                  <w:rPr>
                                    <w:rFonts w:ascii="Cambria Math" w:eastAsiaTheme="majorEastAsia" w:hAnsi="Cambria Math"/>
                                    <w:sz w:val="24"/>
                                    <w:szCs w:val="24"/>
                                  </w:rPr>
                                  <m:t>-</m:t>
                                </m:r>
                                <m:r>
                                  <w:rPr>
                                    <w:rFonts w:ascii="Cambria Math" w:eastAsiaTheme="majorEastAsia" w:hAnsi="Cambria Math"/>
                                    <w:sz w:val="24"/>
                                    <w:szCs w:val="24"/>
                                  </w:rPr>
                                  <m:t>1</m:t>
                                </m:r>
                              </m:e>
                            </m:d>
                            <m:r>
                              <w:rPr>
                                <w:rFonts w:ascii="Cambria Math" w:eastAsiaTheme="majorEastAsia" w:hAnsi="Cambria Math"/>
                                <w:sz w:val="24"/>
                                <w:szCs w:val="24"/>
                              </w:rPr>
                              <m:t xml:space="preserve"> ,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e>
                          <m:e>
                            <m:r>
                              <w:rPr>
                                <w:rFonts w:ascii="Cambria Math" w:eastAsiaTheme="majorEastAsia" w:hAnsi="Cambria Math"/>
                                <w:sz w:val="24"/>
                                <w:szCs w:val="24"/>
                              </w:rPr>
                              <m:t xml:space="preserve">                  </m:t>
                            </m:r>
                          </m:e>
                        </m:eqArr>
                      </m:e>
                      <m:e>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r>
                              <w:rPr>
                                <w:rFonts w:ascii="Cambria Math" w:eastAsiaTheme="majorEastAsia" w:hAnsi="Cambria Math"/>
                                <w:sz w:val="24"/>
                                <w:szCs w:val="24"/>
                              </w:rPr>
                              <m:t>(</m:t>
                            </m:r>
                            <m:r>
                              <w:rPr>
                                <w:rFonts w:ascii="Cambria Math" w:eastAsiaTheme="majorEastAsia" w:hAnsi="Cambria Math"/>
                                <w:sz w:val="24"/>
                                <w:szCs w:val="24"/>
                              </w:rPr>
                              <m:t>ARI</m:t>
                            </m:r>
                            <m:r>
                              <w:rPr>
                                <w:rFonts w:ascii="Cambria Math" w:eastAsiaTheme="majorEastAsia" w:hAnsi="Cambria Math"/>
                                <w:sz w:val="24"/>
                                <w:szCs w:val="24"/>
                              </w:rPr>
                              <m:t>)</m:t>
                            </m:r>
                          </m:e>
                        </m:func>
                        <m:r>
                          <w:rPr>
                            <w:rFonts w:ascii="Cambria Math" w:eastAsiaTheme="majorEastAsia" w:hAnsi="Cambria Math"/>
                            <w:sz w:val="24"/>
                            <w:szCs w:val="24"/>
                          </w:rPr>
                          <m:t xml:space="preserve">,                  </m:t>
                        </m:r>
                        <m:r>
                          <w:rPr>
                            <w:rFonts w:ascii="Cambria Math" w:eastAsiaTheme="majorEastAsia" w:hAnsi="Cambria Math"/>
                            <w:sz w:val="24"/>
                            <w:szCs w:val="24"/>
                          </w:rPr>
                          <m:t>for</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e>
                    </m:eqArr>
                  </m:e>
                </m:d>
              </m:oMath>
            </m:oMathPara>
          </w:p>
        </w:tc>
        <w:tc>
          <w:tcPr>
            <w:tcW w:w="616" w:type="dxa"/>
            <w:vAlign w:val="center"/>
          </w:tcPr>
          <w:p w14:paraId="3B01A258"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20</w:t>
            </w:r>
            <w:r w:rsidRPr="00223753">
              <w:rPr>
                <w:rFonts w:eastAsiaTheme="majorEastAsia"/>
                <w:sz w:val="24"/>
                <w:szCs w:val="24"/>
              </w:rPr>
              <w:fldChar w:fldCharType="end"/>
            </w:r>
            <w:r w:rsidRPr="00223753">
              <w:rPr>
                <w:rFonts w:eastAsiaTheme="majorEastAsia"/>
                <w:sz w:val="24"/>
                <w:szCs w:val="24"/>
              </w:rPr>
              <w:t>)</w:t>
            </w:r>
          </w:p>
        </w:tc>
      </w:tr>
    </w:tbl>
    <w:p w14:paraId="36667E8E" w14:textId="70F7D829" w:rsidR="00223753" w:rsidRPr="00223753" w:rsidRDefault="00223753" w:rsidP="00223753">
      <w:pPr>
        <w:ind w:firstLine="720"/>
        <w:jc w:val="both"/>
        <w:rPr>
          <w:rFonts w:eastAsiaTheme="majorEastAsia"/>
          <w:sz w:val="24"/>
          <w:szCs w:val="24"/>
        </w:rPr>
      </w:pPr>
      <w:proofErr w:type="spellStart"/>
      <w:r w:rsidRPr="00223753">
        <w:rPr>
          <w:rFonts w:eastAsiaTheme="majorEastAsia"/>
          <w:sz w:val="24"/>
          <w:szCs w:val="24"/>
        </w:rPr>
        <w:t>Eqs</w:t>
      </w:r>
      <w:proofErr w:type="spellEnd"/>
      <w:r w:rsidRPr="00223753">
        <w:rPr>
          <w:rFonts w:eastAsiaTheme="majorEastAsia"/>
          <w:sz w:val="24"/>
          <w:szCs w:val="24"/>
        </w:rPr>
        <w:t xml:space="preserve">. (19) and (20) can be used to obtain expressions of the quantile ratio </w:t>
      </w:r>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μ</m:t>
                </m:r>
              </m:e>
              <m:sub>
                <m:r>
                  <w:rPr>
                    <w:rFonts w:ascii="Cambria Math" w:eastAsiaTheme="majorEastAsia" w:hAnsi="Cambria Math"/>
                    <w:sz w:val="24"/>
                    <w:szCs w:val="24"/>
                  </w:rPr>
                  <m:t>g</m:t>
                </m:r>
              </m:sub>
            </m:sSub>
            <m:r>
              <w:rPr>
                <w:rFonts w:ascii="Cambria Math" w:eastAsiaTheme="majorEastAsia" w:hAnsi="Cambria Math"/>
                <w:sz w:val="24"/>
                <w:szCs w:val="24"/>
              </w:rPr>
              <m:t>,T</m:t>
            </m:r>
          </m:e>
        </m:d>
      </m:oMath>
      <w:r w:rsidRPr="00223753">
        <w:rPr>
          <w:rFonts w:eastAsiaTheme="majorEastAsia"/>
          <w:sz w:val="24"/>
          <w:szCs w:val="24"/>
        </w:rPr>
        <w:t xml:space="preserve"> and </w:t>
      </w:r>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μ</m:t>
                </m:r>
              </m:e>
              <m:sub>
                <m:r>
                  <w:rPr>
                    <w:rFonts w:ascii="Cambria Math" w:eastAsiaTheme="majorEastAsia" w:hAnsi="Cambria Math"/>
                    <w:sz w:val="24"/>
                    <w:szCs w:val="24"/>
                  </w:rPr>
                  <m:t>p</m:t>
                </m:r>
              </m:sub>
            </m:sSub>
            <m:r>
              <w:rPr>
                <w:rFonts w:ascii="Cambria Math" w:eastAsiaTheme="majorEastAsia" w:hAnsi="Cambria Math"/>
                <w:sz w:val="24"/>
                <w:szCs w:val="24"/>
              </w:rPr>
              <m:t>,λ,T</m:t>
            </m:r>
          </m:e>
        </m:d>
      </m:oMath>
      <w:r w:rsidRPr="00223753">
        <w:rPr>
          <w:rFonts w:eastAsiaTheme="majorEastAsia"/>
          <w:sz w:val="24"/>
          <w:szCs w:val="24"/>
        </w:rPr>
        <w:t xml:space="preserve"> for the </w:t>
      </w:r>
      <m:oMath>
        <m:r>
          <w:rPr>
            <w:rFonts w:ascii="Cambria Math" w:eastAsiaTheme="majorEastAsia" w:hAnsi="Cambria Math"/>
            <w:sz w:val="24"/>
            <w:szCs w:val="24"/>
          </w:rPr>
          <m:t>T</m:t>
        </m:r>
      </m:oMath>
      <w:r w:rsidRPr="00223753">
        <w:rPr>
          <w:rFonts w:eastAsiaTheme="majorEastAsia"/>
          <w:sz w:val="24"/>
          <w:szCs w:val="24"/>
        </w:rPr>
        <w:t>-year event [</w:t>
      </w:r>
      <w:proofErr w:type="spellStart"/>
      <w:r w:rsidRPr="00223753">
        <w:rPr>
          <w:rFonts w:eastAsiaTheme="majorEastAsia"/>
          <w:sz w:val="24"/>
          <w:szCs w:val="24"/>
        </w:rPr>
        <w:t>Eqs</w:t>
      </w:r>
      <w:proofErr w:type="spellEnd"/>
      <w:r w:rsidRPr="00223753">
        <w:rPr>
          <w:rFonts w:eastAsiaTheme="majorEastAsia"/>
          <w:sz w:val="24"/>
          <w:szCs w:val="24"/>
        </w:rPr>
        <w:t xml:space="preserve">. (21) and (22), respectively], as functions of the parameters of a single distribution, either the GEV or the GP, respectively. For convenience, expressions are derived for the general case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≠0</m:t>
        </m:r>
      </m:oMath>
      <w:r w:rsidRPr="00223753">
        <w:rPr>
          <w:rFonts w:eastAsiaTheme="majorEastAsia"/>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5C570D18" w14:textId="77777777" w:rsidTr="0007665F">
        <w:tc>
          <w:tcPr>
            <w:tcW w:w="8444" w:type="dxa"/>
          </w:tcPr>
          <w:p w14:paraId="1511E182" w14:textId="556BB65B" w:rsidR="00223753" w:rsidRPr="00223753" w:rsidRDefault="00990971" w:rsidP="00223753">
            <w:pPr>
              <w:ind w:firstLine="720"/>
              <w:jc w:val="both"/>
              <w:rPr>
                <w:rFonts w:eastAsiaTheme="majorEastAsia"/>
                <w:sz w:val="24"/>
                <w:szCs w:val="24"/>
              </w:rPr>
            </w:pPr>
            <m:oMathPara>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T</m:t>
                    </m:r>
                  </m:e>
                </m:d>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T</m:t>
                        </m:r>
                      </m:e>
                    </m:d>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g</m:t>
                            </m:r>
                          </m:sub>
                        </m:sSub>
                        <m:r>
                          <w:rPr>
                            <w:rFonts w:ascii="Cambria Math" w:eastAsiaTheme="majorEastAsia" w:hAnsi="Cambria Math"/>
                            <w:sz w:val="24"/>
                            <w:szCs w:val="24"/>
                          </w:rPr>
                          <m:t>,</m:t>
                        </m:r>
                        <m:r>
                          <w:rPr>
                            <w:rFonts w:ascii="Cambria Math" w:eastAsiaTheme="majorEastAsia" w:hAnsi="Cambria Math"/>
                            <w:sz w:val="24"/>
                            <w:szCs w:val="24"/>
                          </w:rPr>
                          <m:t>T</m:t>
                        </m:r>
                      </m:e>
                    </m:d>
                  </m:den>
                </m:f>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f>
                                      <m:fPr>
                                        <m:ctrlPr>
                                          <w:rPr>
                                            <w:rFonts w:ascii="Cambria Math" w:eastAsiaTheme="majorEastAsia" w:hAnsi="Cambria Math"/>
                                            <w:i/>
                                            <w:sz w:val="24"/>
                                            <w:szCs w:val="24"/>
                                          </w:rPr>
                                        </m:ctrlPr>
                                      </m:fPr>
                                      <m:num>
                                        <m:r>
                                          <w:rPr>
                                            <w:rFonts w:ascii="Cambria Math" w:eastAsiaTheme="majorEastAsia" w:hAnsi="Cambria Math"/>
                                            <w:sz w:val="24"/>
                                            <w:szCs w:val="24"/>
                                          </w:rPr>
                                          <m:t>T</m:t>
                                        </m:r>
                                      </m:num>
                                      <m:den>
                                        <m:r>
                                          <w:rPr>
                                            <w:rFonts w:ascii="Cambria Math" w:eastAsiaTheme="majorEastAsia" w:hAnsi="Cambria Math"/>
                                            <w:sz w:val="24"/>
                                            <w:szCs w:val="24"/>
                                          </w:rPr>
                                          <m:t>T</m:t>
                                        </m:r>
                                        <m:r>
                                          <w:rPr>
                                            <w:rFonts w:ascii="Cambria Math" w:eastAsiaTheme="majorEastAsia" w:hAnsi="Cambria Math"/>
                                            <w:sz w:val="24"/>
                                            <w:szCs w:val="24"/>
                                          </w:rPr>
                                          <m:t>-</m:t>
                                        </m:r>
                                        <m:r>
                                          <w:rPr>
                                            <w:rFonts w:ascii="Cambria Math" w:eastAsiaTheme="majorEastAsia" w:hAnsi="Cambria Math"/>
                                            <w:sz w:val="24"/>
                                            <w:szCs w:val="24"/>
                                          </w:rPr>
                                          <m:t>1</m:t>
                                        </m:r>
                                      </m:den>
                                    </m:f>
                                  </m:e>
                                </m:func>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sup>
                        </m:sSup>
                        <m:r>
                          <w:rPr>
                            <w:rFonts w:ascii="Cambria Math" w:eastAsiaTheme="majorEastAsia" w:hAnsi="Cambria Math"/>
                            <w:sz w:val="24"/>
                            <w:szCs w:val="24"/>
                          </w:rPr>
                          <m:t>-</m:t>
                        </m:r>
                        <m:r>
                          <w:rPr>
                            <w:rFonts w:ascii="Cambria Math" w:eastAsiaTheme="majorEastAsia" w:hAnsi="Cambria Math"/>
                            <w:sz w:val="24"/>
                            <w:szCs w:val="24"/>
                          </w:rPr>
                          <m:t>1</m:t>
                        </m:r>
                      </m:e>
                    </m:d>
                  </m:num>
                  <m:den>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g</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g</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r>
                              <w:rPr>
                                <w:rFonts w:ascii="Cambria Math" w:eastAsiaTheme="majorEastAsia" w:hAnsi="Cambria Math"/>
                                <w:sz w:val="24"/>
                                <w:szCs w:val="24"/>
                              </w:rPr>
                              <m:t>T</m:t>
                            </m:r>
                          </m:e>
                          <m:sup>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g</m:t>
                                </m:r>
                              </m:sub>
                            </m:sSub>
                          </m:sup>
                        </m:sSup>
                        <m:r>
                          <w:rPr>
                            <w:rFonts w:ascii="Cambria Math" w:eastAsiaTheme="majorEastAsia" w:hAnsi="Cambria Math"/>
                            <w:sz w:val="24"/>
                            <w:szCs w:val="24"/>
                          </w:rPr>
                          <m:t>-</m:t>
                        </m:r>
                        <m:r>
                          <w:rPr>
                            <w:rFonts w:ascii="Cambria Math" w:eastAsiaTheme="majorEastAsia" w:hAnsi="Cambria Math"/>
                            <w:sz w:val="24"/>
                            <w:szCs w:val="24"/>
                          </w:rPr>
                          <m:t>1</m:t>
                        </m:r>
                      </m:e>
                    </m:d>
                  </m:den>
                </m:f>
              </m:oMath>
            </m:oMathPara>
          </w:p>
        </w:tc>
        <w:tc>
          <w:tcPr>
            <w:tcW w:w="616" w:type="dxa"/>
            <w:vAlign w:val="center"/>
          </w:tcPr>
          <w:p w14:paraId="6A04FC7C"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21</w:t>
            </w:r>
            <w:r w:rsidRPr="00223753">
              <w:rPr>
                <w:rFonts w:eastAsiaTheme="majorEastAsia"/>
                <w:sz w:val="24"/>
                <w:szCs w:val="24"/>
              </w:rPr>
              <w:fldChar w:fldCharType="end"/>
            </w:r>
            <w:r w:rsidRPr="00223753">
              <w:rPr>
                <w:rFonts w:eastAsiaTheme="majorEastAsia"/>
                <w:sz w:val="24"/>
                <w:szCs w:val="24"/>
              </w:rPr>
              <w:t>)</w:t>
            </w:r>
          </w:p>
        </w:tc>
      </w:tr>
    </w:tbl>
    <w:p w14:paraId="129E28B7" w14:textId="77777777" w:rsidR="00223753" w:rsidRPr="00223753" w:rsidRDefault="00223753" w:rsidP="00223753">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62D4E5B0" w14:textId="77777777" w:rsidTr="0007665F">
        <w:tc>
          <w:tcPr>
            <w:tcW w:w="8444" w:type="dxa"/>
          </w:tcPr>
          <w:p w14:paraId="588CA389" w14:textId="10553D83" w:rsidR="00223753" w:rsidRPr="00223753" w:rsidRDefault="00990971" w:rsidP="00223753">
            <w:pPr>
              <w:ind w:firstLine="720"/>
              <w:jc w:val="both"/>
              <w:rPr>
                <w:rFonts w:eastAsiaTheme="majorEastAsia"/>
                <w:sz w:val="24"/>
                <w:szCs w:val="24"/>
              </w:rPr>
            </w:pPr>
            <m:oMathPara>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T</m:t>
                    </m:r>
                  </m:e>
                </m:d>
                <m:r>
                  <w:rPr>
                    <w:rFonts w:ascii="Cambria Math" w:eastAsiaTheme="majorEastAsia" w:hAnsi="Cambria Math"/>
                    <w:sz w:val="24"/>
                    <w:szCs w:val="24"/>
                  </w:rPr>
                  <m:t>=</m:t>
                </m:r>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T</m:t>
                        </m:r>
                      </m:e>
                    </m:d>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T</m:t>
                        </m:r>
                      </m:sub>
                    </m:sSub>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T</m:t>
                        </m:r>
                      </m:e>
                    </m:d>
                  </m:den>
                </m:f>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λ</m:t>
                                    </m:r>
                                  </m:den>
                                </m:f>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ln</m:t>
                                    </m:r>
                                  </m:fName>
                                  <m:e>
                                    <m:f>
                                      <m:fPr>
                                        <m:ctrlPr>
                                          <w:rPr>
                                            <w:rFonts w:ascii="Cambria Math" w:eastAsiaTheme="majorEastAsia" w:hAnsi="Cambria Math"/>
                                            <w:i/>
                                            <w:sz w:val="24"/>
                                            <w:szCs w:val="24"/>
                                          </w:rPr>
                                        </m:ctrlPr>
                                      </m:fPr>
                                      <m:num>
                                        <m:r>
                                          <w:rPr>
                                            <w:rFonts w:ascii="Cambria Math" w:eastAsiaTheme="majorEastAsia" w:hAnsi="Cambria Math"/>
                                            <w:sz w:val="24"/>
                                            <w:szCs w:val="24"/>
                                          </w:rPr>
                                          <m:t>T</m:t>
                                        </m:r>
                                      </m:num>
                                      <m:den>
                                        <m:r>
                                          <w:rPr>
                                            <w:rFonts w:ascii="Cambria Math" w:eastAsiaTheme="majorEastAsia" w:hAnsi="Cambria Math"/>
                                            <w:sz w:val="24"/>
                                            <w:szCs w:val="24"/>
                                          </w:rPr>
                                          <m:t>T</m:t>
                                        </m:r>
                                        <m:r>
                                          <w:rPr>
                                            <w:rFonts w:ascii="Cambria Math" w:eastAsiaTheme="majorEastAsia" w:hAnsi="Cambria Math"/>
                                            <w:sz w:val="24"/>
                                            <w:szCs w:val="24"/>
                                          </w:rPr>
                                          <m:t>-</m:t>
                                        </m:r>
                                        <m:r>
                                          <w:rPr>
                                            <w:rFonts w:ascii="Cambria Math" w:eastAsiaTheme="majorEastAsia" w:hAnsi="Cambria Math"/>
                                            <w:sz w:val="24"/>
                                            <w:szCs w:val="24"/>
                                          </w:rPr>
                                          <m:t>1</m:t>
                                        </m:r>
                                      </m:den>
                                    </m:f>
                                  </m:e>
                                </m:func>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num>
                  <m:den>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λT</m:t>
                                </m:r>
                              </m:e>
                            </m:d>
                          </m:e>
                          <m:sup>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den>
                </m:f>
              </m:oMath>
            </m:oMathPara>
          </w:p>
        </w:tc>
        <w:tc>
          <w:tcPr>
            <w:tcW w:w="616" w:type="dxa"/>
            <w:vAlign w:val="center"/>
          </w:tcPr>
          <w:p w14:paraId="266A9B4F"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22</w:t>
            </w:r>
            <w:r w:rsidRPr="00223753">
              <w:rPr>
                <w:rFonts w:eastAsiaTheme="majorEastAsia"/>
                <w:sz w:val="24"/>
                <w:szCs w:val="24"/>
              </w:rPr>
              <w:fldChar w:fldCharType="end"/>
            </w:r>
            <w:r w:rsidRPr="00223753">
              <w:rPr>
                <w:rFonts w:eastAsiaTheme="majorEastAsia"/>
                <w:sz w:val="24"/>
                <w:szCs w:val="24"/>
              </w:rPr>
              <w:t>)</w:t>
            </w:r>
          </w:p>
        </w:tc>
      </w:tr>
    </w:tbl>
    <w:p w14:paraId="1C7C6F6D" w14:textId="086A6C71" w:rsidR="00223753" w:rsidRPr="00223753" w:rsidRDefault="00223753" w:rsidP="00223753">
      <w:pPr>
        <w:ind w:firstLine="720"/>
        <w:jc w:val="both"/>
        <w:rPr>
          <w:rFonts w:eastAsiaTheme="majorEastAsia"/>
          <w:sz w:val="24"/>
          <w:szCs w:val="24"/>
        </w:rPr>
      </w:pPr>
      <w:proofErr w:type="spellStart"/>
      <w:r w:rsidRPr="00223753">
        <w:rPr>
          <w:rFonts w:eastAsiaTheme="majorEastAsia"/>
          <w:sz w:val="24"/>
          <w:szCs w:val="24"/>
        </w:rPr>
        <w:t>Eqs</w:t>
      </w:r>
      <w:proofErr w:type="spellEnd"/>
      <w:r w:rsidRPr="00223753">
        <w:rPr>
          <w:rFonts w:eastAsiaTheme="majorEastAsia"/>
          <w:sz w:val="24"/>
          <w:szCs w:val="24"/>
        </w:rPr>
        <w:t xml:space="preserve">. 21 and 22 are valid under the assumption of PSN count model for </w:t>
      </w:r>
      <m:oMath>
        <m:r>
          <w:rPr>
            <w:rFonts w:ascii="Cambria Math" w:eastAsiaTheme="majorEastAsia" w:hAnsi="Cambria Math"/>
            <w:sz w:val="24"/>
            <w:szCs w:val="24"/>
          </w:rPr>
          <m:t>m</m:t>
        </m:r>
      </m:oMath>
      <w:r w:rsidRPr="00223753">
        <w:rPr>
          <w:rFonts w:eastAsiaTheme="majorEastAsia"/>
          <w:sz w:val="24"/>
          <w:szCs w:val="24"/>
        </w:rPr>
        <w:t xml:space="preserve">. </w:t>
      </w:r>
    </w:p>
    <w:p w14:paraId="6CCB5DF2"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 xml:space="preserve">Alternatively, if a NEG or BIN count model is assumed, a duality-based expression of the quantile ratio can be obtained using the parameters of the K5E (Eq. 23) from the ratio of </w:t>
      </w:r>
      <w:proofErr w:type="spellStart"/>
      <w:r w:rsidRPr="00223753">
        <w:rPr>
          <w:rFonts w:eastAsiaTheme="majorEastAsia"/>
          <w:sz w:val="24"/>
          <w:szCs w:val="24"/>
        </w:rPr>
        <w:t>Eqs</w:t>
      </w:r>
      <w:proofErr w:type="spellEnd"/>
      <w:r w:rsidRPr="00223753">
        <w:rPr>
          <w:rFonts w:eastAsiaTheme="majorEastAsia"/>
          <w:sz w:val="24"/>
          <w:szCs w:val="24"/>
        </w:rPr>
        <w:t xml:space="preserve">. (18) and (17).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23753" w:rsidRPr="00223753" w14:paraId="703494E9" w14:textId="77777777" w:rsidTr="0007665F">
        <w:tc>
          <w:tcPr>
            <w:tcW w:w="8444" w:type="dxa"/>
          </w:tcPr>
          <w:p w14:paraId="50DFF357" w14:textId="526F459E" w:rsidR="00223753" w:rsidRPr="00223753" w:rsidRDefault="00990971" w:rsidP="00223753">
            <w:pPr>
              <w:ind w:firstLine="720"/>
              <w:jc w:val="both"/>
              <w:rPr>
                <w:rFonts w:eastAsiaTheme="majorEastAsia"/>
                <w:sz w:val="24"/>
                <w:szCs w:val="24"/>
              </w:rPr>
            </w:pPr>
            <m:oMathPara>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r>
                          <w:rPr>
                            <w:rFonts w:ascii="Cambria Math" w:eastAsiaTheme="majorEastAsia" w:hAnsi="Cambria Math"/>
                            <w:sz w:val="24"/>
                            <w:szCs w:val="24"/>
                          </w:rPr>
                          <m:t xml:space="preserve">, </m:t>
                        </m:r>
                        <m:r>
                          <w:rPr>
                            <w:rFonts w:ascii="Cambria Math" w:eastAsiaTheme="majorEastAsia" w:hAnsi="Cambria Math"/>
                            <w:sz w:val="24"/>
                            <w:szCs w:val="24"/>
                          </w:rPr>
                          <m:t>μ</m:t>
                        </m:r>
                      </m:e>
                      <m:sub>
                        <m:r>
                          <w:rPr>
                            <w:rFonts w:ascii="Cambria Math" w:eastAsiaTheme="majorEastAsia" w:hAnsi="Cambria Math"/>
                            <w:sz w:val="24"/>
                            <w:szCs w:val="24"/>
                          </w:rPr>
                          <m:t>p</m:t>
                        </m:r>
                      </m:sub>
                    </m:sSub>
                    <m:r>
                      <w:rPr>
                        <w:rFonts w:ascii="Cambria Math" w:eastAsiaTheme="majorEastAsia" w:hAnsi="Cambria Math"/>
                        <w:sz w:val="24"/>
                        <w:szCs w:val="24"/>
                      </w:rPr>
                      <m:t>,</m:t>
                    </m:r>
                    <m:r>
                      <w:rPr>
                        <w:rFonts w:ascii="Cambria Math" w:eastAsiaTheme="majorEastAsia" w:hAnsi="Cambria Math"/>
                        <w:sz w:val="24"/>
                        <w:szCs w:val="24"/>
                      </w:rPr>
                      <m:t>λ</m:t>
                    </m:r>
                    <m:r>
                      <w:rPr>
                        <w:rFonts w:ascii="Cambria Math" w:eastAsiaTheme="majorEastAsia" w:hAnsi="Cambria Math"/>
                        <w:sz w:val="24"/>
                        <w:szCs w:val="24"/>
                      </w:rPr>
                      <m:t>,</m:t>
                    </m:r>
                    <m:r>
                      <w:rPr>
                        <w:rFonts w:ascii="Cambria Math" w:eastAsiaTheme="majorEastAsia" w:hAnsi="Cambria Math"/>
                        <w:sz w:val="24"/>
                        <w:szCs w:val="24"/>
                      </w:rPr>
                      <m:t>η</m:t>
                    </m:r>
                    <m:r>
                      <w:rPr>
                        <w:rFonts w:ascii="Cambria Math" w:eastAsiaTheme="majorEastAsia" w:hAnsi="Cambria Math"/>
                        <w:sz w:val="24"/>
                        <w:szCs w:val="24"/>
                      </w:rPr>
                      <m:t>,</m:t>
                    </m:r>
                    <m:r>
                      <w:rPr>
                        <w:rFonts w:ascii="Cambria Math" w:eastAsiaTheme="majorEastAsia" w:hAnsi="Cambria Math"/>
                        <w:sz w:val="24"/>
                        <w:szCs w:val="24"/>
                      </w:rPr>
                      <m:t>T</m:t>
                    </m:r>
                  </m:e>
                </m:d>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η</m:t>
                                    </m:r>
                                  </m:den>
                                </m:f>
                                <m:d>
                                  <m:dPr>
                                    <m:ctrlPr>
                                      <w:rPr>
                                        <w:rFonts w:ascii="Cambria Math" w:eastAsiaTheme="majorEastAsia" w:hAnsi="Cambria Math"/>
                                        <w:i/>
                                        <w:sz w:val="24"/>
                                        <w:szCs w:val="24"/>
                                      </w:rPr>
                                    </m:ctrlPr>
                                  </m:dPr>
                                  <m:e>
                                    <m:r>
                                      <w:rPr>
                                        <w:rFonts w:ascii="Cambria Math" w:eastAsiaTheme="majorEastAsia" w:hAnsi="Cambria Math"/>
                                        <w:sz w:val="24"/>
                                        <w:szCs w:val="24"/>
                                      </w:rPr>
                                      <m:t>1-</m:t>
                                    </m:r>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r>
                                                  <w:rPr>
                                                    <w:rFonts w:ascii="Cambria Math" w:eastAsiaTheme="majorEastAsia" w:hAnsi="Cambria Math"/>
                                                    <w:sz w:val="24"/>
                                                    <w:szCs w:val="24"/>
                                                  </w:rPr>
                                                  <m:t>T</m:t>
                                                </m:r>
                                              </m:den>
                                            </m:f>
                                          </m:e>
                                        </m:d>
                                      </m:e>
                                      <m:sup>
                                        <m:f>
                                          <m:fPr>
                                            <m:ctrlPr>
                                              <w:rPr>
                                                <w:rFonts w:ascii="Cambria Math" w:eastAsiaTheme="majorEastAsia" w:hAnsi="Cambria Math"/>
                                                <w:i/>
                                                <w:sz w:val="24"/>
                                                <w:szCs w:val="24"/>
                                              </w:rPr>
                                            </m:ctrlPr>
                                          </m:fPr>
                                          <m:num>
                                            <m:r>
                                              <w:rPr>
                                                <w:rFonts w:ascii="Cambria Math" w:eastAsiaTheme="majorEastAsia" w:hAnsi="Cambria Math"/>
                                                <w:sz w:val="24"/>
                                                <w:szCs w:val="24"/>
                                              </w:rPr>
                                              <m:t>η</m:t>
                                            </m:r>
                                          </m:num>
                                          <m:den>
                                            <m:r>
                                              <w:rPr>
                                                <w:rFonts w:ascii="Cambria Math" w:eastAsiaTheme="majorEastAsia" w:hAnsi="Cambria Math"/>
                                                <w:sz w:val="24"/>
                                                <w:szCs w:val="24"/>
                                              </w:rPr>
                                              <m:t>λ</m:t>
                                            </m:r>
                                          </m:den>
                                        </m:f>
                                        <m:r>
                                          <w:rPr>
                                            <w:rFonts w:ascii="Cambria Math" w:eastAsiaTheme="majorEastAsia" w:hAnsi="Cambria Math"/>
                                            <w:sz w:val="24"/>
                                            <w:szCs w:val="24"/>
                                          </w:rPr>
                                          <m:t xml:space="preserve"> </m:t>
                                        </m:r>
                                      </m:sup>
                                    </m:sSup>
                                  </m:e>
                                </m:d>
                              </m:e>
                            </m:d>
                          </m:e>
                          <m:sup>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num>
                  <m:den>
                    <m:r>
                      <w:rPr>
                        <w:rFonts w:ascii="Cambria Math" w:eastAsiaTheme="majorEastAsia" w:hAnsi="Cambria Math"/>
                        <w:sz w:val="24"/>
                        <w:szCs w:val="24"/>
                      </w:rPr>
                      <m:t>1+</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den>
                    </m:f>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σ</m:t>
                            </m:r>
                          </m:e>
                          <m:sub>
                            <m:r>
                              <w:rPr>
                                <w:rFonts w:ascii="Cambria Math" w:eastAsiaTheme="majorEastAsia" w:hAnsi="Cambria Math"/>
                                <w:sz w:val="24"/>
                                <w:szCs w:val="24"/>
                              </w:rPr>
                              <m:t>p</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μ</m:t>
                            </m:r>
                          </m:e>
                          <m:sub>
                            <m:r>
                              <w:rPr>
                                <w:rFonts w:ascii="Cambria Math" w:eastAsiaTheme="majorEastAsia" w:hAnsi="Cambria Math"/>
                                <w:sz w:val="24"/>
                                <w:szCs w:val="24"/>
                              </w:rPr>
                              <m:t>p</m:t>
                            </m:r>
                          </m:sub>
                        </m:sSub>
                      </m:den>
                    </m:f>
                    <m:d>
                      <m:dPr>
                        <m:begChr m:val="["/>
                        <m:endChr m:val="]"/>
                        <m:ctrlPr>
                          <w:rPr>
                            <w:rFonts w:ascii="Cambria Math" w:eastAsiaTheme="majorEastAsia" w:hAnsi="Cambria Math"/>
                            <w:i/>
                            <w:sz w:val="24"/>
                            <w:szCs w:val="24"/>
                          </w:rPr>
                        </m:ctrlPr>
                      </m:dPr>
                      <m:e>
                        <m:sSup>
                          <m:sSupPr>
                            <m:ctrlPr>
                              <w:rPr>
                                <w:rFonts w:ascii="Cambria Math" w:eastAsiaTheme="majorEastAsia" w:hAnsi="Cambria Math"/>
                                <w:i/>
                                <w:sz w:val="24"/>
                                <w:szCs w:val="24"/>
                              </w:rPr>
                            </m:ctrlPr>
                          </m:sSupPr>
                          <m:e>
                            <m:d>
                              <m:dPr>
                                <m:ctrlPr>
                                  <w:rPr>
                                    <w:rFonts w:ascii="Cambria Math" w:eastAsiaTheme="majorEastAsia" w:hAnsi="Cambria Math"/>
                                    <w:i/>
                                    <w:sz w:val="24"/>
                                    <w:szCs w:val="24"/>
                                  </w:rPr>
                                </m:ctrlPr>
                              </m:dPr>
                              <m:e>
                                <m:r>
                                  <w:rPr>
                                    <w:rFonts w:ascii="Cambria Math" w:eastAsiaTheme="majorEastAsia" w:hAnsi="Cambria Math"/>
                                    <w:sz w:val="24"/>
                                    <w:szCs w:val="24"/>
                                  </w:rPr>
                                  <m:t>λT</m:t>
                                </m:r>
                              </m:e>
                            </m:d>
                          </m:e>
                          <m:sup>
                            <m:sSub>
                              <m:sSubPr>
                                <m:ctrlPr>
                                  <w:rPr>
                                    <w:rFonts w:ascii="Cambria Math" w:eastAsiaTheme="majorEastAsia" w:hAnsi="Cambria Math"/>
                                    <w:i/>
                                    <w:sz w:val="24"/>
                                    <w:szCs w:val="24"/>
                                  </w:rPr>
                                </m:ctrlPr>
                              </m:sSubPr>
                              <m:e>
                                <m:r>
                                  <w:rPr>
                                    <w:rFonts w:ascii="Cambria Math" w:eastAsiaTheme="majorEastAsia" w:hAnsi="Cambria Math"/>
                                    <w:sz w:val="24"/>
                                    <w:szCs w:val="24"/>
                                  </w:rPr>
                                  <m:t>ξ</m:t>
                                </m:r>
                              </m:e>
                              <m:sub>
                                <m:r>
                                  <w:rPr>
                                    <w:rFonts w:ascii="Cambria Math" w:eastAsiaTheme="majorEastAsia" w:hAnsi="Cambria Math"/>
                                    <w:sz w:val="24"/>
                                    <w:szCs w:val="24"/>
                                  </w:rPr>
                                  <m:t>p</m:t>
                                </m:r>
                              </m:sub>
                            </m:sSub>
                          </m:sup>
                        </m:sSup>
                        <m:r>
                          <w:rPr>
                            <w:rFonts w:ascii="Cambria Math" w:eastAsiaTheme="majorEastAsia" w:hAnsi="Cambria Math"/>
                            <w:sz w:val="24"/>
                            <w:szCs w:val="24"/>
                          </w:rPr>
                          <m:t>-</m:t>
                        </m:r>
                        <m:r>
                          <w:rPr>
                            <w:rFonts w:ascii="Cambria Math" w:eastAsiaTheme="majorEastAsia" w:hAnsi="Cambria Math"/>
                            <w:sz w:val="24"/>
                            <w:szCs w:val="24"/>
                          </w:rPr>
                          <m:t>1</m:t>
                        </m:r>
                      </m:e>
                    </m:d>
                  </m:den>
                </m:f>
              </m:oMath>
            </m:oMathPara>
          </w:p>
        </w:tc>
        <w:tc>
          <w:tcPr>
            <w:tcW w:w="616" w:type="dxa"/>
            <w:vAlign w:val="center"/>
          </w:tcPr>
          <w:p w14:paraId="3A873622" w14:textId="77777777" w:rsidR="00223753" w:rsidRPr="00223753" w:rsidRDefault="00223753" w:rsidP="00223753">
            <w:pPr>
              <w:ind w:firstLine="720"/>
              <w:jc w:val="both"/>
              <w:rPr>
                <w:rFonts w:eastAsiaTheme="majorEastAsia"/>
                <w:sz w:val="24"/>
                <w:szCs w:val="24"/>
              </w:rPr>
            </w:pPr>
            <w:r w:rsidRPr="00223753">
              <w:rPr>
                <w:rFonts w:eastAsiaTheme="majorEastAsia"/>
                <w:sz w:val="24"/>
                <w:szCs w:val="24"/>
              </w:rPr>
              <w:t>(</w:t>
            </w:r>
            <w:r w:rsidRPr="00223753">
              <w:rPr>
                <w:rFonts w:eastAsiaTheme="majorEastAsia"/>
                <w:sz w:val="24"/>
                <w:szCs w:val="24"/>
              </w:rPr>
              <w:fldChar w:fldCharType="begin"/>
            </w:r>
            <w:r w:rsidRPr="00223753">
              <w:rPr>
                <w:rFonts w:eastAsiaTheme="majorEastAsia"/>
                <w:sz w:val="24"/>
                <w:szCs w:val="24"/>
              </w:rPr>
              <w:instrText xml:space="preserve"> SEQ Equazione \* ARABIC </w:instrText>
            </w:r>
            <w:r w:rsidRPr="00223753">
              <w:rPr>
                <w:rFonts w:eastAsiaTheme="majorEastAsia"/>
                <w:sz w:val="24"/>
                <w:szCs w:val="24"/>
              </w:rPr>
              <w:fldChar w:fldCharType="separate"/>
            </w:r>
            <w:r w:rsidRPr="00223753">
              <w:rPr>
                <w:rFonts w:eastAsiaTheme="majorEastAsia"/>
                <w:sz w:val="24"/>
                <w:szCs w:val="24"/>
              </w:rPr>
              <w:t>23</w:t>
            </w:r>
            <w:r w:rsidRPr="00223753">
              <w:rPr>
                <w:rFonts w:eastAsiaTheme="majorEastAsia"/>
                <w:sz w:val="24"/>
                <w:szCs w:val="24"/>
              </w:rPr>
              <w:fldChar w:fldCharType="end"/>
            </w:r>
            <w:r w:rsidRPr="00223753">
              <w:rPr>
                <w:rFonts w:eastAsiaTheme="majorEastAsia"/>
                <w:sz w:val="24"/>
                <w:szCs w:val="24"/>
              </w:rPr>
              <w:t>)</w:t>
            </w:r>
          </w:p>
        </w:tc>
      </w:tr>
    </w:tbl>
    <w:p w14:paraId="2C419154" w14:textId="399F1FE6" w:rsidR="00223753" w:rsidRDefault="00223753" w:rsidP="00223753">
      <w:pPr>
        <w:ind w:firstLine="720"/>
        <w:jc w:val="both"/>
        <w:rPr>
          <w:rFonts w:eastAsiaTheme="majorEastAsia"/>
          <w:sz w:val="24"/>
          <w:szCs w:val="24"/>
        </w:rPr>
      </w:pPr>
      <w:r w:rsidRPr="00223753">
        <w:rPr>
          <w:rFonts w:eastAsiaTheme="majorEastAsia"/>
          <w:sz w:val="24"/>
          <w:szCs w:val="24"/>
        </w:rPr>
        <w:t xml:space="preserve">In either case, the duality-based underestimation </w:t>
      </w:r>
      <m:oMath>
        <m:acc>
          <m:accPr>
            <m:ctrlPr>
              <w:rPr>
                <w:rFonts w:ascii="Cambria Math" w:eastAsiaTheme="majorEastAsia" w:hAnsi="Cambria Math"/>
                <w:i/>
                <w:sz w:val="24"/>
                <w:szCs w:val="24"/>
              </w:rPr>
            </m:ctrlPr>
          </m:accPr>
          <m:e>
            <m:r>
              <w:rPr>
                <w:rFonts w:ascii="Cambria Math" w:eastAsiaTheme="majorEastAsia" w:hAnsi="Cambria Math"/>
                <w:sz w:val="24"/>
                <w:szCs w:val="24"/>
              </w:rPr>
              <m:t>u</m:t>
            </m:r>
          </m:e>
        </m:acc>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223753">
        <w:rPr>
          <w:rFonts w:eastAsiaTheme="majorEastAsia"/>
          <w:sz w:val="24"/>
          <w:szCs w:val="24"/>
        </w:rPr>
        <w:t xml:space="preserve"> is obtained from the corresponding duality-based quantile ratio </w:t>
      </w:r>
      <m:oMath>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r>
              <w:rPr>
                <w:rFonts w:ascii="Cambria Math" w:eastAsiaTheme="majorEastAsia" w:hAnsi="Cambria Math"/>
                <w:sz w:val="24"/>
                <w:szCs w:val="24"/>
              </w:rPr>
              <m:t>T</m:t>
            </m:r>
          </m:e>
        </m:d>
      </m:oMath>
      <w:r w:rsidRPr="00223753">
        <w:rPr>
          <w:rFonts w:eastAsiaTheme="majorEastAsia"/>
          <w:sz w:val="24"/>
          <w:szCs w:val="24"/>
        </w:rPr>
        <w:t xml:space="preserve"> as </w:t>
      </w:r>
      <m:oMath>
        <m:acc>
          <m:accPr>
            <m:ctrlPr>
              <w:rPr>
                <w:rFonts w:ascii="Cambria Math" w:eastAsiaTheme="majorEastAsia" w:hAnsi="Cambria Math"/>
                <w:i/>
                <w:sz w:val="24"/>
                <w:szCs w:val="24"/>
              </w:rPr>
            </m:ctrlPr>
          </m:accPr>
          <m:e>
            <m:r>
              <w:rPr>
                <w:rFonts w:ascii="Cambria Math" w:eastAsiaTheme="majorEastAsia" w:hAnsi="Cambria Math"/>
                <w:sz w:val="24"/>
                <w:szCs w:val="24"/>
              </w:rPr>
              <m:t>u</m:t>
            </m:r>
          </m:e>
        </m:acc>
        <m:d>
          <m:dPr>
            <m:ctrlPr>
              <w:rPr>
                <w:rFonts w:ascii="Cambria Math" w:eastAsiaTheme="majorEastAsia" w:hAnsi="Cambria Math"/>
                <w:i/>
                <w:sz w:val="24"/>
                <w:szCs w:val="24"/>
              </w:rPr>
            </m:ctrlPr>
          </m:dPr>
          <m:e>
            <m:r>
              <w:rPr>
                <w:rFonts w:ascii="Cambria Math" w:eastAsiaTheme="majorEastAsia" w:hAnsi="Cambria Math"/>
                <w:sz w:val="24"/>
                <w:szCs w:val="24"/>
              </w:rPr>
              <m:t>T</m:t>
            </m:r>
          </m:e>
        </m:d>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r>
              <w:rPr>
                <w:rFonts w:ascii="Cambria Math" w:eastAsiaTheme="majorEastAsia" w:hAnsi="Cambria Math"/>
                <w:sz w:val="24"/>
                <w:szCs w:val="24"/>
              </w:rPr>
              <m:t>1-</m:t>
            </m:r>
            <m:acc>
              <m:accPr>
                <m:ctrlPr>
                  <w:rPr>
                    <w:rFonts w:ascii="Cambria Math" w:eastAsiaTheme="majorEastAsia" w:hAnsi="Cambria Math"/>
                    <w:i/>
                    <w:sz w:val="24"/>
                    <w:szCs w:val="24"/>
                  </w:rPr>
                </m:ctrlPr>
              </m:accPr>
              <m:e>
                <m:r>
                  <w:rPr>
                    <w:rFonts w:ascii="Cambria Math" w:eastAsiaTheme="majorEastAsia" w:hAnsi="Cambria Math"/>
                    <w:sz w:val="24"/>
                    <w:szCs w:val="24"/>
                  </w:rPr>
                  <m:t>r</m:t>
                </m:r>
              </m:e>
            </m:acc>
            <m:d>
              <m:dPr>
                <m:ctrlPr>
                  <w:rPr>
                    <w:rFonts w:ascii="Cambria Math" w:eastAsiaTheme="majorEastAsia" w:hAnsi="Cambria Math"/>
                    <w:i/>
                    <w:sz w:val="24"/>
                    <w:szCs w:val="24"/>
                  </w:rPr>
                </m:ctrlPr>
              </m:dPr>
              <m:e>
                <m:r>
                  <w:rPr>
                    <w:rFonts w:ascii="Cambria Math" w:eastAsiaTheme="majorEastAsia" w:hAnsi="Cambria Math"/>
                    <w:sz w:val="24"/>
                    <w:szCs w:val="24"/>
                  </w:rPr>
                  <m:t>T</m:t>
                </m:r>
              </m:e>
            </m:d>
          </m:e>
        </m:d>
        <m:r>
          <w:rPr>
            <w:rFonts w:ascii="Cambria Math" w:eastAsiaTheme="majorEastAsia" w:hAnsi="Cambria Math"/>
            <w:sz w:val="24"/>
            <w:szCs w:val="24"/>
          </w:rPr>
          <m:t>×100%</m:t>
        </m:r>
      </m:oMath>
      <w:r w:rsidRPr="00223753">
        <w:rPr>
          <w:rFonts w:eastAsiaTheme="majorEastAsia"/>
          <w:sz w:val="24"/>
          <w:szCs w:val="24"/>
        </w:rPr>
        <w:t xml:space="preserve">. </w:t>
      </w:r>
    </w:p>
    <w:p w14:paraId="39DCA9CE" w14:textId="25082FF6" w:rsidR="00C90A09" w:rsidRPr="00EF003B" w:rsidRDefault="00C90A09" w:rsidP="00C90A09">
      <w:pPr>
        <w:pStyle w:val="Heading-Secondary"/>
        <w:rPr>
          <w:b/>
          <w:bCs w:val="0"/>
        </w:rPr>
      </w:pPr>
      <w:r w:rsidRPr="00EF003B">
        <w:rPr>
          <w:b/>
          <w:bCs w:val="0"/>
        </w:rPr>
        <w:t>2.</w:t>
      </w:r>
      <w:r>
        <w:rPr>
          <w:b/>
          <w:bCs w:val="0"/>
        </w:rPr>
        <w:t>3</w:t>
      </w:r>
      <w:r w:rsidRPr="00EF003B">
        <w:rPr>
          <w:b/>
          <w:bCs w:val="0"/>
        </w:rPr>
        <w:t xml:space="preserve"> </w:t>
      </w:r>
      <w:r>
        <w:rPr>
          <w:b/>
          <w:bCs w:val="0"/>
        </w:rPr>
        <w:t xml:space="preserve">Annual maxima and peaks-over-threshold </w:t>
      </w:r>
      <w:r w:rsidR="00864F9A">
        <w:rPr>
          <w:b/>
          <w:bCs w:val="0"/>
        </w:rPr>
        <w:t>analyses</w:t>
      </w:r>
    </w:p>
    <w:p w14:paraId="3223A422" w14:textId="292F041A" w:rsidR="004E04E8" w:rsidRPr="004E04E8" w:rsidRDefault="004E04E8" w:rsidP="004E04E8">
      <w:pPr>
        <w:ind w:firstLine="720"/>
        <w:jc w:val="both"/>
        <w:rPr>
          <w:rFonts w:eastAsiaTheme="majorEastAsia"/>
          <w:sz w:val="24"/>
          <w:szCs w:val="24"/>
        </w:rPr>
      </w:pPr>
      <w:r w:rsidRPr="004E04E8">
        <w:rPr>
          <w:rFonts w:eastAsiaTheme="majorEastAsia"/>
          <w:sz w:val="24"/>
          <w:szCs w:val="24"/>
        </w:rPr>
        <w:t xml:space="preserve">We use L-moments (LM-method, Hosking, 1990) for fitting GP on the POT series and GEV on the AM series, and </w:t>
      </w:r>
      <w:proofErr w:type="spellStart"/>
      <w:r w:rsidRPr="004E04E8">
        <w:rPr>
          <w:rFonts w:eastAsiaTheme="majorEastAsia"/>
          <w:sz w:val="24"/>
          <w:szCs w:val="24"/>
        </w:rPr>
        <w:t>Eqs</w:t>
      </w:r>
      <w:proofErr w:type="spellEnd"/>
      <w:r w:rsidRPr="004E04E8">
        <w:rPr>
          <w:rFonts w:eastAsiaTheme="majorEastAsia"/>
          <w:sz w:val="24"/>
          <w:szCs w:val="24"/>
        </w:rPr>
        <w:t xml:space="preserve">. </w:t>
      </w:r>
      <w:r w:rsidR="004122CA">
        <w:rPr>
          <w:rFonts w:eastAsiaTheme="majorEastAsia"/>
          <w:sz w:val="24"/>
          <w:szCs w:val="24"/>
        </w:rPr>
        <w:t>(</w:t>
      </w:r>
      <w:r w:rsidRPr="004E04E8">
        <w:rPr>
          <w:rFonts w:eastAsiaTheme="majorEastAsia"/>
          <w:sz w:val="24"/>
          <w:szCs w:val="24"/>
        </w:rPr>
        <w:t>13</w:t>
      </w:r>
      <w:r w:rsidR="004122CA">
        <w:rPr>
          <w:rFonts w:eastAsiaTheme="majorEastAsia"/>
          <w:sz w:val="24"/>
          <w:szCs w:val="24"/>
        </w:rPr>
        <w:t>)</w:t>
      </w:r>
      <w:r w:rsidRPr="004E04E8">
        <w:rPr>
          <w:rFonts w:eastAsiaTheme="majorEastAsia"/>
          <w:sz w:val="24"/>
          <w:szCs w:val="24"/>
        </w:rPr>
        <w:t xml:space="preserve">, </w:t>
      </w:r>
      <w:r w:rsidR="004122CA">
        <w:rPr>
          <w:rFonts w:eastAsiaTheme="majorEastAsia"/>
          <w:sz w:val="24"/>
          <w:szCs w:val="24"/>
        </w:rPr>
        <w:t>(</w:t>
      </w:r>
      <w:r w:rsidRPr="004E04E8">
        <w:rPr>
          <w:rFonts w:eastAsiaTheme="majorEastAsia"/>
          <w:sz w:val="24"/>
          <w:szCs w:val="24"/>
        </w:rPr>
        <w:t>14</w:t>
      </w:r>
      <w:r w:rsidR="004122CA">
        <w:rPr>
          <w:rFonts w:eastAsiaTheme="majorEastAsia"/>
          <w:sz w:val="24"/>
          <w:szCs w:val="24"/>
        </w:rPr>
        <w:t>)</w:t>
      </w:r>
      <w:r w:rsidRPr="004E04E8">
        <w:rPr>
          <w:rFonts w:eastAsiaTheme="majorEastAsia"/>
          <w:sz w:val="24"/>
          <w:szCs w:val="24"/>
        </w:rPr>
        <w:t xml:space="preserve">, and </w:t>
      </w:r>
      <w:r w:rsidR="004122CA">
        <w:rPr>
          <w:rFonts w:eastAsiaTheme="majorEastAsia"/>
          <w:sz w:val="24"/>
          <w:szCs w:val="24"/>
        </w:rPr>
        <w:t>(</w:t>
      </w:r>
      <w:r w:rsidRPr="004E04E8">
        <w:rPr>
          <w:rFonts w:eastAsiaTheme="majorEastAsia"/>
          <w:sz w:val="24"/>
          <w:szCs w:val="24"/>
        </w:rPr>
        <w:t>15</w:t>
      </w:r>
      <w:r w:rsidR="004122CA">
        <w:rPr>
          <w:rFonts w:eastAsiaTheme="majorEastAsia"/>
          <w:sz w:val="24"/>
          <w:szCs w:val="24"/>
        </w:rPr>
        <w:t>)</w:t>
      </w:r>
      <w:r w:rsidRPr="004E04E8">
        <w:rPr>
          <w:rFonts w:eastAsiaTheme="majorEastAsia"/>
          <w:sz w:val="24"/>
          <w:szCs w:val="24"/>
        </w:rPr>
        <w:t xml:space="preserve"> to derive K5E parameters from the duality with the GP. </w:t>
      </w:r>
      <m:oMath>
        <m:r>
          <w:rPr>
            <w:rFonts w:ascii="Cambria Math" w:eastAsiaTheme="majorEastAsia" w:hAnsi="Cambria Math"/>
            <w:sz w:val="24"/>
            <w:szCs w:val="24"/>
          </w:rPr>
          <m:t>λ</m:t>
        </m:r>
      </m:oMath>
      <w:r w:rsidRPr="004E04E8">
        <w:rPr>
          <w:rFonts w:eastAsiaTheme="majorEastAsia"/>
          <w:sz w:val="24"/>
          <w:szCs w:val="24"/>
        </w:rPr>
        <w:t xml:space="preserve"> and </w:t>
      </w:r>
      <m:oMath>
        <m:r>
          <w:rPr>
            <w:rFonts w:ascii="Cambria Math" w:eastAsiaTheme="majorEastAsia" w:hAnsi="Cambria Math"/>
            <w:sz w:val="24"/>
            <w:szCs w:val="24"/>
          </w:rPr>
          <m:t>V</m:t>
        </m:r>
      </m:oMath>
      <w:r w:rsidRPr="004E04E8">
        <w:rPr>
          <w:rFonts w:eastAsiaTheme="majorEastAsia"/>
          <w:sz w:val="24"/>
          <w:szCs w:val="24"/>
        </w:rPr>
        <w:t xml:space="preserve"> are equaled to the sample mean and variance of </w:t>
      </w:r>
      <m:oMath>
        <m:r>
          <w:rPr>
            <w:rFonts w:ascii="Cambria Math" w:eastAsiaTheme="majorEastAsia" w:hAnsi="Cambria Math"/>
            <w:sz w:val="24"/>
            <w:szCs w:val="24"/>
          </w:rPr>
          <m:t>m</m:t>
        </m:r>
      </m:oMath>
      <w:r w:rsidRPr="004E04E8">
        <w:rPr>
          <w:rFonts w:eastAsiaTheme="majorEastAsia"/>
          <w:sz w:val="24"/>
          <w:szCs w:val="24"/>
        </w:rPr>
        <w:t xml:space="preserve"> extracted from the POT series, respectively. The fitting of the GEV and GP on the AM and POT series, respectively, is assessed through the Kolmogorov-Smirnov goodness-of-fit (GOF) test (</w:t>
      </w:r>
      <w:proofErr w:type="spellStart"/>
      <w:r w:rsidRPr="004E04E8">
        <w:rPr>
          <w:rFonts w:eastAsiaTheme="majorEastAsia"/>
          <w:sz w:val="24"/>
          <w:szCs w:val="24"/>
        </w:rPr>
        <w:t>Kottegoda</w:t>
      </w:r>
      <w:proofErr w:type="spellEnd"/>
      <w:r w:rsidRPr="004E04E8">
        <w:rPr>
          <w:rFonts w:eastAsiaTheme="majorEastAsia"/>
          <w:sz w:val="24"/>
          <w:szCs w:val="24"/>
        </w:rPr>
        <w:t xml:space="preserve"> &amp; Rosso, 1997).</w:t>
      </w:r>
    </w:p>
    <w:p w14:paraId="1C5C7C14" w14:textId="77777777" w:rsidR="004E04E8" w:rsidRPr="004E04E8" w:rsidRDefault="004E04E8" w:rsidP="004E04E8">
      <w:pPr>
        <w:ind w:firstLine="720"/>
        <w:jc w:val="both"/>
        <w:rPr>
          <w:rFonts w:eastAsiaTheme="majorEastAsia"/>
          <w:sz w:val="24"/>
          <w:szCs w:val="24"/>
        </w:rPr>
      </w:pPr>
      <w:r w:rsidRPr="004E04E8">
        <w:rPr>
          <w:rFonts w:eastAsiaTheme="majorEastAsia"/>
          <w:sz w:val="24"/>
          <w:szCs w:val="24"/>
        </w:rPr>
        <w:t xml:space="preserve">Independent peaks are identified considering a conservative combination of two popular independence criteria (both reported in Pan et al., 2022): one proposed in Bulletin 17 (U.S. Water Resources Council, 1976) and the other recommended by Cunnane (1979) and in Volume 3 of the UK Flood Estimation Handbook (Robson &amp; Reed, 1999). </w:t>
      </w:r>
    </w:p>
    <w:p w14:paraId="2310C8EF" w14:textId="77777777" w:rsidR="004E04E8" w:rsidRDefault="004E04E8" w:rsidP="004E04E8">
      <w:pPr>
        <w:ind w:firstLine="720"/>
        <w:jc w:val="both"/>
        <w:rPr>
          <w:rFonts w:eastAsiaTheme="majorEastAsia"/>
          <w:sz w:val="24"/>
          <w:szCs w:val="24"/>
        </w:rPr>
      </w:pPr>
      <w:r w:rsidRPr="004E04E8">
        <w:rPr>
          <w:rFonts w:eastAsiaTheme="majorEastAsia"/>
          <w:sz w:val="24"/>
          <w:szCs w:val="24"/>
        </w:rPr>
        <w:t xml:space="preserve">Regarding threshold selection, we adopted the </w:t>
      </w:r>
      <w:proofErr w:type="spellStart"/>
      <w:r w:rsidRPr="004E04E8">
        <w:rPr>
          <w:rFonts w:eastAsiaTheme="majorEastAsia"/>
          <w:sz w:val="24"/>
          <w:szCs w:val="24"/>
        </w:rPr>
        <w:t>Mahalanobis</w:t>
      </w:r>
      <w:proofErr w:type="spellEnd"/>
      <w:r w:rsidRPr="004E04E8">
        <w:rPr>
          <w:rFonts w:eastAsiaTheme="majorEastAsia"/>
          <w:sz w:val="24"/>
          <w:szCs w:val="24"/>
        </w:rPr>
        <w:t xml:space="preserve"> distance (MD)-based method by Kiran &amp; Srinivas (2021), since it has been shown to outperform many other recent automated threshold-selection criteria in the literature (Kiran &amp; Srinivas, 2021). To test the sensitivity of our results, we also considered the method by </w:t>
      </w:r>
      <w:proofErr w:type="spellStart"/>
      <w:r w:rsidRPr="004E04E8">
        <w:rPr>
          <w:rFonts w:eastAsiaTheme="majorEastAsia"/>
          <w:sz w:val="24"/>
          <w:szCs w:val="24"/>
        </w:rPr>
        <w:t>Solari</w:t>
      </w:r>
      <w:proofErr w:type="spellEnd"/>
      <w:r w:rsidRPr="004E04E8">
        <w:rPr>
          <w:rFonts w:eastAsiaTheme="majorEastAsia"/>
          <w:sz w:val="24"/>
          <w:szCs w:val="24"/>
        </w:rPr>
        <w:t xml:space="preserve"> et al. (2017), which uses a GOF test to evaluate the various samples of exceedances obtained with the moving threshold, instead of L-moments. </w:t>
      </w:r>
    </w:p>
    <w:p w14:paraId="221BEE8A" w14:textId="17D509BF" w:rsidR="00806AB8" w:rsidRPr="00EF003B" w:rsidRDefault="00806AB8" w:rsidP="00806AB8">
      <w:pPr>
        <w:pStyle w:val="Heading-Secondary"/>
        <w:rPr>
          <w:b/>
          <w:bCs w:val="0"/>
        </w:rPr>
      </w:pPr>
      <w:r w:rsidRPr="00EF003B">
        <w:rPr>
          <w:b/>
          <w:bCs w:val="0"/>
        </w:rPr>
        <w:lastRenderedPageBreak/>
        <w:t>2.</w:t>
      </w:r>
      <w:r>
        <w:rPr>
          <w:b/>
          <w:bCs w:val="0"/>
        </w:rPr>
        <w:t>4</w:t>
      </w:r>
      <w:r w:rsidRPr="00EF003B">
        <w:rPr>
          <w:b/>
          <w:bCs w:val="0"/>
        </w:rPr>
        <w:t xml:space="preserve"> </w:t>
      </w:r>
      <w:r>
        <w:rPr>
          <w:b/>
          <w:bCs w:val="0"/>
        </w:rPr>
        <w:t>Feature selection for ident</w:t>
      </w:r>
      <w:r w:rsidR="004F60FA">
        <w:rPr>
          <w:b/>
          <w:bCs w:val="0"/>
        </w:rPr>
        <w:t xml:space="preserve">ifying optimal </w:t>
      </w:r>
      <w:proofErr w:type="gramStart"/>
      <w:r w:rsidR="004F60FA">
        <w:rPr>
          <w:b/>
          <w:bCs w:val="0"/>
        </w:rPr>
        <w:t>predictors</w:t>
      </w:r>
      <w:proofErr w:type="gramEnd"/>
    </w:p>
    <w:p w14:paraId="4A3DF376" w14:textId="77777777" w:rsidR="00EF5195" w:rsidRPr="00EF5195" w:rsidRDefault="00EF5195" w:rsidP="00EF5195">
      <w:pPr>
        <w:ind w:firstLine="720"/>
        <w:jc w:val="both"/>
        <w:rPr>
          <w:rFonts w:eastAsiaTheme="majorEastAsia"/>
          <w:sz w:val="24"/>
          <w:szCs w:val="24"/>
        </w:rPr>
      </w:pPr>
      <w:r w:rsidRPr="00EF5195">
        <w:rPr>
          <w:rFonts w:eastAsiaTheme="majorEastAsia"/>
          <w:sz w:val="24"/>
          <w:szCs w:val="24"/>
        </w:rPr>
        <w:t>A wrapper method for optimal feature selection (Babatunde et al., 2014; Huang et al., 2007) is used to characterize watersheds with different levels of FF underestimation, as well as those basins where the duality (Eq. 21) is not valid. It couples an optimization algorithm with a learning machine, where the latter is trained to map input into output variables while the former determines the optimal predictors among a wide spectrum of basin attributes, based on the performance of the learning machine (Huang et al., 2007; Babatunde et al., 2014). In this work, these attributes are either mapped into distributional characteristics that affect FF underestimation or are used to classify catchments where Eq. (21) is not valid.</w:t>
      </w:r>
    </w:p>
    <w:p w14:paraId="45B1C225" w14:textId="77777777" w:rsidR="00EF5195" w:rsidRPr="00EF5195" w:rsidRDefault="00EF5195" w:rsidP="00EF5195">
      <w:pPr>
        <w:ind w:firstLine="720"/>
        <w:jc w:val="both"/>
        <w:rPr>
          <w:rFonts w:eastAsiaTheme="majorEastAsia"/>
          <w:sz w:val="24"/>
          <w:szCs w:val="24"/>
        </w:rPr>
      </w:pPr>
      <w:r w:rsidRPr="00EF5195">
        <w:rPr>
          <w:rFonts w:eastAsiaTheme="majorEastAsia"/>
          <w:sz w:val="24"/>
          <w:szCs w:val="24"/>
        </w:rPr>
        <w:t>The Non-Dominated Sorting Genetic Algorithm II (NSGA-II; Deb et al., 2002) is used as an optimizer, considering three conflicting objectives on the predictive power and the number of optimal features (see Table 1). The property of genetic algorithms (GAs) of dealing with a multitude of candidate solutions (“population”) spread over the solution space (Simpson et al., 1994), makes NSGA-II particularly effective in avoiding local optima, quite typical in feature- selection problems (Huang et al., 2007), and suitable for identifying synergies among groups of two or more explanatory variables which could be irrelevant individually, but may display high explanatory power when combined with others (Taormina &amp; Chou, 2015).</w:t>
      </w:r>
    </w:p>
    <w:p w14:paraId="4F71DBD5" w14:textId="77777777" w:rsidR="00EF5195" w:rsidRPr="00EF5195" w:rsidRDefault="00EF5195" w:rsidP="00EF5195">
      <w:pPr>
        <w:ind w:firstLine="720"/>
        <w:jc w:val="both"/>
        <w:rPr>
          <w:rFonts w:eastAsiaTheme="majorEastAsia"/>
          <w:sz w:val="24"/>
          <w:szCs w:val="24"/>
        </w:rPr>
      </w:pPr>
      <w:r w:rsidRPr="00EF5195">
        <w:rPr>
          <w:rFonts w:eastAsiaTheme="majorEastAsia"/>
          <w:sz w:val="24"/>
          <w:szCs w:val="24"/>
        </w:rPr>
        <w:t xml:space="preserve">We deploy an ensemble of 12 multi-layer perceptrons (MLPs; </w:t>
      </w:r>
      <w:proofErr w:type="spellStart"/>
      <w:r w:rsidRPr="00EF5195">
        <w:rPr>
          <w:rFonts w:eastAsiaTheme="majorEastAsia"/>
          <w:sz w:val="24"/>
          <w:szCs w:val="24"/>
        </w:rPr>
        <w:t>Hornik</w:t>
      </w:r>
      <w:proofErr w:type="spellEnd"/>
      <w:r w:rsidRPr="00EF5195">
        <w:rPr>
          <w:rFonts w:eastAsiaTheme="majorEastAsia"/>
          <w:sz w:val="24"/>
          <w:szCs w:val="24"/>
        </w:rPr>
        <w:t xml:space="preserve"> et al., 1989), trained independently from each other, as the learning machine. Ensemble predictions average out any bias from the single training instances (Aggarwal et al., 2018), hence an unbiased assessment of each set of candidate input variables is obtained. The evaluation is based on the average performance on test basins in a five-fold validation framework (i.e., five iterative splits of the full dataset into training and test sets, with 80%-20% proportion, respectively). </w:t>
      </w:r>
    </w:p>
    <w:p w14:paraId="5E0B64C7" w14:textId="77777777" w:rsidR="00EF5195" w:rsidRPr="00EF5195" w:rsidRDefault="00EF5195" w:rsidP="00EF5195">
      <w:pPr>
        <w:ind w:firstLine="720"/>
        <w:jc w:val="both"/>
        <w:rPr>
          <w:rFonts w:eastAsiaTheme="majorEastAsia"/>
          <w:sz w:val="24"/>
          <w:szCs w:val="24"/>
        </w:rPr>
      </w:pPr>
      <w:r w:rsidRPr="00EF5195">
        <w:rPr>
          <w:rFonts w:eastAsiaTheme="majorEastAsia"/>
          <w:sz w:val="24"/>
          <w:szCs w:val="24"/>
        </w:rPr>
        <w:t xml:space="preserve">Table 1 summarizes the tuning parameters of the optimization routine and the training/assessment of the learning machine in the two cases of 1) training a regressor model to map basin attributes into distributional characteristics that affect FF underestimation, and 2) training a binary classifier to identify watersheds where the duality-derived expression of the quantile ratio (Eq. 21) is not valid. Note that the output of a MLP classifier can be interpreted as the predicted probability of a positive case (i.e., basin where Eq. 21 is not valid). </w:t>
      </w:r>
    </w:p>
    <w:p w14:paraId="7625FD6E" w14:textId="00B6BF70" w:rsidR="00EF5195" w:rsidRPr="00EF5195" w:rsidRDefault="00EF5195" w:rsidP="00EF5195">
      <w:pPr>
        <w:ind w:firstLine="720"/>
        <w:jc w:val="both"/>
        <w:rPr>
          <w:rFonts w:eastAsiaTheme="majorEastAsia"/>
          <w:sz w:val="24"/>
          <w:szCs w:val="24"/>
        </w:rPr>
      </w:pPr>
      <w:r w:rsidRPr="00EF5195">
        <w:rPr>
          <w:rFonts w:eastAsiaTheme="majorEastAsia"/>
          <w:sz w:val="24"/>
          <w:szCs w:val="24"/>
        </w:rPr>
        <w:t xml:space="preserve"> For both optimization routines, the number of features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oMath>
      <w:r w:rsidRPr="00EF5195">
        <w:rPr>
          <w:rFonts w:eastAsiaTheme="majorEastAsia"/>
          <w:sz w:val="24"/>
          <w:szCs w:val="24"/>
        </w:rPr>
        <w:t xml:space="preserve"> is minimized while maximizing the performance of the learning machine, as measured by the other two objectives. Therefore, the optimal Pareto fronts (Figures 6a and 8a) contain multiple trade-off solutions (see, e.g., Dell’Aira et al., 2021) with different performances and numbers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oMath>
      <w:r w:rsidRPr="00EF5195">
        <w:rPr>
          <w:rFonts w:eastAsiaTheme="majorEastAsia"/>
          <w:sz w:val="24"/>
          <w:szCs w:val="24"/>
        </w:rPr>
        <w:t xml:space="preserve"> of optimal features, each corresponding to different subsets of basin attributes. These are broken down into a heatmap (Figures 6b and 8b), with basin attributes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r>
          <w:rPr>
            <w:rFonts w:ascii="Cambria Math" w:eastAsiaTheme="majorEastAsia" w:hAnsi="Cambria Math"/>
            <w:sz w:val="24"/>
            <w:szCs w:val="24"/>
          </w:rPr>
          <m:t xml:space="preserve"> </m:t>
        </m:r>
      </m:oMath>
      <w:r w:rsidRPr="00EF5195">
        <w:rPr>
          <w:rFonts w:eastAsiaTheme="majorEastAsia"/>
          <w:sz w:val="24"/>
          <w:szCs w:val="24"/>
        </w:rPr>
        <w:t xml:space="preserve">on the two axes, and the color gradient displaying the relative frequency at which each attribute is considered in alternative optimal solutions with same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oMath>
      <w:r w:rsidRPr="00EF5195">
        <w:rPr>
          <w:rFonts w:eastAsiaTheme="majorEastAsia"/>
          <w:sz w:val="24"/>
          <w:szCs w:val="24"/>
        </w:rPr>
        <w:t xml:space="preserve">.  Key basin attributes are those that are used more frequently in alternative optimal solutions with same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oMath>
      <w:r w:rsidRPr="00EF5195">
        <w:rPr>
          <w:rFonts w:eastAsiaTheme="majorEastAsia"/>
          <w:sz w:val="24"/>
          <w:szCs w:val="24"/>
        </w:rPr>
        <w:t xml:space="preserve">, as well as those used in the most parsimonious solutions (i.e., with the smallest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f</m:t>
            </m:r>
          </m:sub>
        </m:sSub>
      </m:oMath>
      <w:r w:rsidRPr="00EF5195">
        <w:rPr>
          <w:rFonts w:eastAsiaTheme="majorEastAsia"/>
          <w:sz w:val="24"/>
          <w:szCs w:val="24"/>
        </w:rPr>
        <w:t xml:space="preserve"> values).</w:t>
      </w:r>
    </w:p>
    <w:p w14:paraId="2A786EAE" w14:textId="77777777" w:rsidR="00EF5195" w:rsidRDefault="00EF5195" w:rsidP="00EF5195">
      <w:pPr>
        <w:ind w:firstLine="720"/>
        <w:jc w:val="both"/>
        <w:rPr>
          <w:rFonts w:eastAsiaTheme="majorEastAsia"/>
          <w:sz w:val="24"/>
          <w:szCs w:val="24"/>
        </w:rPr>
      </w:pPr>
      <w:r w:rsidRPr="00EF5195">
        <w:rPr>
          <w:rFonts w:eastAsiaTheme="majorEastAsia"/>
          <w:sz w:val="24"/>
          <w:szCs w:val="24"/>
        </w:rPr>
        <w:t>The way key basin attributes affect the target variable is studied using bivariate partial-dependence plots (PDPs; Figures 7 and 9), which show the marginal effect of a pair of predictors on the output of the learning machine, averaging out the effects of all the other input features (</w:t>
      </w:r>
      <w:proofErr w:type="spellStart"/>
      <w:r w:rsidRPr="00EF5195">
        <w:rPr>
          <w:rFonts w:eastAsiaTheme="majorEastAsia"/>
          <w:sz w:val="24"/>
          <w:szCs w:val="24"/>
        </w:rPr>
        <w:t>Auret</w:t>
      </w:r>
      <w:proofErr w:type="spellEnd"/>
      <w:r w:rsidRPr="00EF5195">
        <w:rPr>
          <w:rFonts w:eastAsiaTheme="majorEastAsia"/>
          <w:sz w:val="24"/>
          <w:szCs w:val="24"/>
        </w:rPr>
        <w:t xml:space="preserve"> &amp; Aldrich, 2012).</w:t>
      </w:r>
    </w:p>
    <w:p w14:paraId="630FC51D" w14:textId="77777777" w:rsidR="001F78D1" w:rsidRDefault="001F78D1" w:rsidP="00EF5195">
      <w:pPr>
        <w:ind w:firstLine="720"/>
        <w:jc w:val="both"/>
        <w:rPr>
          <w:rFonts w:eastAsiaTheme="majorEastAsia"/>
          <w:sz w:val="24"/>
          <w:szCs w:val="24"/>
        </w:rPr>
      </w:pPr>
    </w:p>
    <w:p w14:paraId="5459D055" w14:textId="77777777" w:rsidR="001F78D1" w:rsidRDefault="001F78D1" w:rsidP="00FD2BEE">
      <w:pPr>
        <w:rPr>
          <w:bCs/>
          <w:iCs/>
          <w:sz w:val="24"/>
          <w:szCs w:val="32"/>
        </w:rPr>
      </w:pPr>
      <w:r w:rsidRPr="00FD2BEE">
        <w:rPr>
          <w:b/>
          <w:iCs/>
          <w:sz w:val="24"/>
          <w:szCs w:val="32"/>
        </w:rPr>
        <w:lastRenderedPageBreak/>
        <w:t>Table 1.</w:t>
      </w:r>
      <w:r w:rsidRPr="00FD2BEE">
        <w:rPr>
          <w:iCs/>
          <w:sz w:val="24"/>
          <w:szCs w:val="32"/>
        </w:rPr>
        <w:t xml:space="preserve"> </w:t>
      </w:r>
      <w:r w:rsidRPr="00FD2BEE">
        <w:rPr>
          <w:bCs/>
          <w:iCs/>
          <w:sz w:val="24"/>
          <w:szCs w:val="32"/>
        </w:rPr>
        <w:t>Parameter tuning of the optimization routine and learning machine training coupled in the wrapper method for feature selection. Depending on the target variable, regression or classification models are trained on candidate optimal features.</w:t>
      </w:r>
    </w:p>
    <w:p w14:paraId="3DC45AA5" w14:textId="77777777" w:rsidR="00A5370B" w:rsidRPr="00FD2BEE" w:rsidRDefault="00A5370B" w:rsidP="00FD2BEE">
      <w:pPr>
        <w:rPr>
          <w:iCs/>
          <w:sz w:val="24"/>
          <w:szCs w:val="32"/>
        </w:rPr>
      </w:pPr>
    </w:p>
    <w:p w14:paraId="149A3C3A" w14:textId="77777777" w:rsidR="001F78D1" w:rsidRPr="00E048E4" w:rsidRDefault="001F78D1" w:rsidP="001F78D1">
      <w:pPr>
        <w:jc w:val="center"/>
        <w:rPr>
          <w:sz w:val="6"/>
        </w:rPr>
      </w:pPr>
    </w:p>
    <w:tbl>
      <w:tblPr>
        <w:tblW w:w="41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2"/>
        <w:gridCol w:w="1790"/>
        <w:gridCol w:w="1204"/>
        <w:gridCol w:w="2279"/>
        <w:gridCol w:w="1999"/>
      </w:tblGrid>
      <w:tr w:rsidR="001F78D1" w:rsidRPr="005B1CED" w14:paraId="0866D57E" w14:textId="77777777" w:rsidTr="0007665F">
        <w:trPr>
          <w:trHeight w:val="855"/>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C052D65"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6DAB81F6" w14:textId="77777777" w:rsidR="001F78D1" w:rsidRPr="008319BE" w:rsidRDefault="001F78D1" w:rsidP="0007665F">
            <w:pPr>
              <w:rPr>
                <w:b/>
                <w:bCs/>
                <w:color w:val="000000"/>
                <w:sz w:val="22"/>
                <w:szCs w:val="18"/>
              </w:rPr>
            </w:pPr>
            <w:r w:rsidRPr="008319BE">
              <w:rPr>
                <w:b/>
                <w:bCs/>
                <w:color w:val="000000"/>
                <w:sz w:val="22"/>
                <w:szCs w:val="18"/>
              </w:rPr>
              <w:t>Model/Algorithm /Hyperparameter</w:t>
            </w:r>
          </w:p>
        </w:tc>
        <w:tc>
          <w:tcPr>
            <w:tcW w:w="723" w:type="pct"/>
            <w:tcBorders>
              <w:top w:val="single" w:sz="4" w:space="0" w:color="auto"/>
              <w:left w:val="single" w:sz="4" w:space="0" w:color="auto"/>
              <w:bottom w:val="single" w:sz="4" w:space="0" w:color="auto"/>
              <w:right w:val="single" w:sz="4" w:space="0" w:color="auto"/>
            </w:tcBorders>
            <w:vAlign w:val="center"/>
            <w:hideMark/>
          </w:tcPr>
          <w:p w14:paraId="67A5A763" w14:textId="77777777" w:rsidR="001F78D1" w:rsidRDefault="001F78D1" w:rsidP="0007665F">
            <w:pPr>
              <w:jc w:val="center"/>
              <w:rPr>
                <w:b/>
                <w:bCs/>
                <w:color w:val="000000"/>
                <w:sz w:val="22"/>
                <w:szCs w:val="18"/>
              </w:rPr>
            </w:pPr>
            <w:r w:rsidRPr="008319BE">
              <w:rPr>
                <w:b/>
                <w:bCs/>
                <w:color w:val="000000"/>
                <w:sz w:val="22"/>
                <w:szCs w:val="18"/>
              </w:rPr>
              <w:t>Regressor</w:t>
            </w:r>
          </w:p>
          <w:p w14:paraId="591365E4" w14:textId="77777777" w:rsidR="001F78D1" w:rsidRPr="008319BE" w:rsidRDefault="001F78D1" w:rsidP="0007665F">
            <w:pPr>
              <w:jc w:val="center"/>
              <w:rPr>
                <w:b/>
                <w:bCs/>
                <w:color w:val="000000"/>
                <w:sz w:val="22"/>
                <w:szCs w:val="18"/>
              </w:rPr>
            </w:pPr>
            <w:r>
              <w:rPr>
                <w:b/>
                <w:bCs/>
                <w:color w:val="000000"/>
                <w:sz w:val="22"/>
                <w:szCs w:val="18"/>
              </w:rPr>
              <w:t>(sigma/mu)</w:t>
            </w:r>
            <w:r w:rsidRPr="008319BE">
              <w:rPr>
                <w:b/>
                <w:bCs/>
                <w:color w:val="000000"/>
                <w:sz w:val="22"/>
                <w:szCs w:val="18"/>
              </w:rPr>
              <w:t xml:space="preserve"> </w:t>
            </w:r>
          </w:p>
        </w:tc>
        <w:tc>
          <w:tcPr>
            <w:tcW w:w="1245" w:type="pct"/>
            <w:tcBorders>
              <w:top w:val="single" w:sz="4" w:space="0" w:color="auto"/>
              <w:left w:val="single" w:sz="4" w:space="0" w:color="auto"/>
              <w:bottom w:val="single" w:sz="4" w:space="0" w:color="auto"/>
              <w:right w:val="single" w:sz="4" w:space="0" w:color="auto"/>
            </w:tcBorders>
            <w:vAlign w:val="center"/>
            <w:hideMark/>
          </w:tcPr>
          <w:p w14:paraId="5838CF5E" w14:textId="77777777" w:rsidR="001F78D1" w:rsidRDefault="001F78D1" w:rsidP="0007665F">
            <w:pPr>
              <w:jc w:val="center"/>
              <w:rPr>
                <w:b/>
                <w:bCs/>
                <w:color w:val="000000"/>
                <w:sz w:val="22"/>
                <w:szCs w:val="18"/>
              </w:rPr>
            </w:pPr>
            <w:r w:rsidRPr="008319BE">
              <w:rPr>
                <w:b/>
                <w:bCs/>
                <w:color w:val="000000"/>
                <w:sz w:val="22"/>
                <w:szCs w:val="18"/>
              </w:rPr>
              <w:t xml:space="preserve">Classifier </w:t>
            </w:r>
          </w:p>
          <w:p w14:paraId="16782670" w14:textId="77777777" w:rsidR="001F78D1" w:rsidRPr="008319BE" w:rsidRDefault="001F78D1" w:rsidP="0007665F">
            <w:pPr>
              <w:jc w:val="center"/>
              <w:rPr>
                <w:b/>
                <w:bCs/>
                <w:color w:val="000000"/>
                <w:sz w:val="22"/>
                <w:szCs w:val="18"/>
              </w:rPr>
            </w:pPr>
            <w:r>
              <w:rPr>
                <w:b/>
                <w:bCs/>
                <w:color w:val="000000"/>
                <w:sz w:val="22"/>
                <w:szCs w:val="18"/>
              </w:rPr>
              <w:t>(</w:t>
            </w:r>
            <w:proofErr w:type="gramStart"/>
            <w:r>
              <w:rPr>
                <w:b/>
                <w:bCs/>
                <w:color w:val="000000"/>
                <w:sz w:val="22"/>
                <w:szCs w:val="18"/>
              </w:rPr>
              <w:t>anomaly</w:t>
            </w:r>
            <w:proofErr w:type="gramEnd"/>
            <w:r>
              <w:rPr>
                <w:b/>
                <w:bCs/>
                <w:color w:val="000000"/>
                <w:sz w:val="22"/>
                <w:szCs w:val="18"/>
              </w:rPr>
              <w:t xml:space="preserve"> detection)</w:t>
            </w:r>
          </w:p>
        </w:tc>
        <w:tc>
          <w:tcPr>
            <w:tcW w:w="1452" w:type="pct"/>
            <w:tcBorders>
              <w:top w:val="single" w:sz="4" w:space="0" w:color="auto"/>
              <w:left w:val="single" w:sz="4" w:space="0" w:color="auto"/>
              <w:bottom w:val="single" w:sz="4" w:space="0" w:color="auto"/>
              <w:right w:val="single" w:sz="4" w:space="0" w:color="auto"/>
            </w:tcBorders>
            <w:vAlign w:val="center"/>
          </w:tcPr>
          <w:p w14:paraId="1A674FA3" w14:textId="77777777" w:rsidR="001F78D1" w:rsidRPr="008319BE" w:rsidRDefault="001F78D1" w:rsidP="0007665F">
            <w:pPr>
              <w:jc w:val="center"/>
              <w:rPr>
                <w:b/>
                <w:bCs/>
                <w:color w:val="000000"/>
                <w:sz w:val="22"/>
                <w:szCs w:val="18"/>
              </w:rPr>
            </w:pPr>
            <w:r w:rsidRPr="008319BE">
              <w:rPr>
                <w:b/>
                <w:bCs/>
                <w:color w:val="000000"/>
                <w:sz w:val="22"/>
                <w:szCs w:val="18"/>
              </w:rPr>
              <w:t>Notes/References</w:t>
            </w:r>
          </w:p>
        </w:tc>
      </w:tr>
      <w:tr w:rsidR="001F78D1" w:rsidRPr="009C364F" w14:paraId="1E10D871" w14:textId="77777777" w:rsidTr="0007665F">
        <w:trPr>
          <w:trHeight w:val="300"/>
          <w:jc w:val="center"/>
        </w:trPr>
        <w:tc>
          <w:tcPr>
            <w:tcW w:w="383" w:type="pct"/>
            <w:vMerge w:val="restart"/>
            <w:tcBorders>
              <w:top w:val="single" w:sz="4" w:space="0" w:color="auto"/>
              <w:left w:val="single" w:sz="4" w:space="0" w:color="auto"/>
              <w:right w:val="single" w:sz="4" w:space="0" w:color="auto"/>
            </w:tcBorders>
            <w:noWrap/>
            <w:textDirection w:val="btLr"/>
            <w:vAlign w:val="bottom"/>
          </w:tcPr>
          <w:p w14:paraId="6C18FBDE" w14:textId="77777777" w:rsidR="001F78D1" w:rsidRDefault="001F78D1" w:rsidP="0007665F">
            <w:pPr>
              <w:ind w:left="113" w:right="113"/>
              <w:jc w:val="center"/>
              <w:rPr>
                <w:b/>
                <w:bCs/>
                <w:color w:val="000000"/>
              </w:rPr>
            </w:pPr>
            <w:r>
              <w:rPr>
                <w:b/>
                <w:bCs/>
                <w:color w:val="000000"/>
              </w:rPr>
              <w:t>Feature Optimization</w:t>
            </w:r>
          </w:p>
        </w:tc>
        <w:tc>
          <w:tcPr>
            <w:tcW w:w="1197" w:type="pct"/>
            <w:tcBorders>
              <w:top w:val="single" w:sz="4" w:space="0" w:color="auto"/>
              <w:left w:val="single" w:sz="4" w:space="0" w:color="auto"/>
              <w:bottom w:val="single" w:sz="4" w:space="0" w:color="auto"/>
              <w:right w:val="single" w:sz="4" w:space="0" w:color="auto"/>
            </w:tcBorders>
            <w:vAlign w:val="center"/>
          </w:tcPr>
          <w:p w14:paraId="15835D3A" w14:textId="77777777" w:rsidR="001F78D1" w:rsidRPr="0063451E" w:rsidRDefault="001F78D1" w:rsidP="0007665F">
            <w:pPr>
              <w:rPr>
                <w:color w:val="000000"/>
                <w:szCs w:val="16"/>
              </w:rPr>
            </w:pPr>
            <w:r w:rsidRPr="0063451E">
              <w:rPr>
                <w:color w:val="000000"/>
                <w:szCs w:val="16"/>
              </w:rPr>
              <w:t>Optimization algorithm</w:t>
            </w:r>
          </w:p>
        </w:tc>
        <w:tc>
          <w:tcPr>
            <w:tcW w:w="723" w:type="pct"/>
            <w:tcBorders>
              <w:top w:val="single" w:sz="4" w:space="0" w:color="auto"/>
              <w:left w:val="single" w:sz="4" w:space="0" w:color="auto"/>
              <w:bottom w:val="single" w:sz="4" w:space="0" w:color="auto"/>
              <w:right w:val="single" w:sz="4" w:space="0" w:color="auto"/>
            </w:tcBorders>
            <w:noWrap/>
            <w:vAlign w:val="center"/>
          </w:tcPr>
          <w:p w14:paraId="6B9C2AFF" w14:textId="77777777" w:rsidR="001F78D1" w:rsidRPr="009D28C0" w:rsidRDefault="001F78D1" w:rsidP="0007665F">
            <w:pPr>
              <w:jc w:val="center"/>
              <w:rPr>
                <w:color w:val="000000"/>
                <w:szCs w:val="16"/>
              </w:rPr>
            </w:pPr>
            <w:r w:rsidRPr="009D28C0">
              <w:rPr>
                <w:color w:val="000000"/>
                <w:szCs w:val="16"/>
              </w:rPr>
              <w:t>NSGA-II</w:t>
            </w:r>
          </w:p>
        </w:tc>
        <w:tc>
          <w:tcPr>
            <w:tcW w:w="1245" w:type="pct"/>
            <w:tcBorders>
              <w:top w:val="single" w:sz="4" w:space="0" w:color="auto"/>
              <w:left w:val="single" w:sz="4" w:space="0" w:color="auto"/>
              <w:bottom w:val="single" w:sz="4" w:space="0" w:color="auto"/>
              <w:right w:val="single" w:sz="4" w:space="0" w:color="auto"/>
            </w:tcBorders>
            <w:noWrap/>
            <w:vAlign w:val="center"/>
          </w:tcPr>
          <w:p w14:paraId="612A69ED" w14:textId="77777777" w:rsidR="001F78D1" w:rsidRPr="009D28C0" w:rsidRDefault="001F78D1" w:rsidP="0007665F">
            <w:pPr>
              <w:jc w:val="center"/>
              <w:rPr>
                <w:color w:val="000000"/>
                <w:szCs w:val="16"/>
              </w:rPr>
            </w:pPr>
            <w:r w:rsidRPr="009D28C0">
              <w:rPr>
                <w:color w:val="000000"/>
                <w:szCs w:val="16"/>
              </w:rPr>
              <w:t>NSGA-II</w:t>
            </w:r>
          </w:p>
        </w:tc>
        <w:tc>
          <w:tcPr>
            <w:tcW w:w="1452" w:type="pct"/>
            <w:tcBorders>
              <w:top w:val="single" w:sz="4" w:space="0" w:color="auto"/>
              <w:left w:val="single" w:sz="4" w:space="0" w:color="auto"/>
              <w:bottom w:val="single" w:sz="4" w:space="0" w:color="auto"/>
              <w:right w:val="single" w:sz="4" w:space="0" w:color="auto"/>
            </w:tcBorders>
          </w:tcPr>
          <w:p w14:paraId="332E9B84" w14:textId="77777777" w:rsidR="001F78D1" w:rsidRPr="008319BE" w:rsidRDefault="001F78D1" w:rsidP="0007665F">
            <w:pPr>
              <w:rPr>
                <w:color w:val="000000"/>
                <w:sz w:val="16"/>
                <w:szCs w:val="12"/>
              </w:rPr>
            </w:pPr>
            <w:r>
              <w:rPr>
                <w:color w:val="000000"/>
                <w:sz w:val="16"/>
                <w:szCs w:val="12"/>
              </w:rPr>
              <w:t>(</w:t>
            </w:r>
            <w:r w:rsidRPr="008319BE">
              <w:rPr>
                <w:color w:val="000000"/>
                <w:sz w:val="16"/>
                <w:szCs w:val="12"/>
              </w:rPr>
              <w:t>Deb et al. 2002</w:t>
            </w:r>
            <w:r>
              <w:rPr>
                <w:color w:val="000000"/>
                <w:sz w:val="16"/>
                <w:szCs w:val="12"/>
              </w:rPr>
              <w:t>)</w:t>
            </w:r>
          </w:p>
        </w:tc>
      </w:tr>
      <w:tr w:rsidR="001F78D1" w:rsidRPr="00C943F9" w14:paraId="7B44499C" w14:textId="77777777" w:rsidTr="0007665F">
        <w:trPr>
          <w:trHeight w:val="300"/>
          <w:jc w:val="center"/>
        </w:trPr>
        <w:tc>
          <w:tcPr>
            <w:tcW w:w="383" w:type="pct"/>
            <w:vMerge/>
            <w:tcBorders>
              <w:left w:val="single" w:sz="4" w:space="0" w:color="auto"/>
              <w:right w:val="single" w:sz="4" w:space="0" w:color="auto"/>
            </w:tcBorders>
            <w:noWrap/>
            <w:textDirection w:val="btLr"/>
            <w:vAlign w:val="bottom"/>
          </w:tcPr>
          <w:p w14:paraId="074C3774" w14:textId="77777777" w:rsidR="001F78D1" w:rsidRPr="00E048E4" w:rsidRDefault="001F78D1" w:rsidP="0007665F">
            <w:pPr>
              <w:ind w:left="113" w:right="113"/>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11F80CCC" w14:textId="77777777" w:rsidR="001F78D1" w:rsidRPr="0063451E" w:rsidRDefault="001F78D1" w:rsidP="0007665F">
            <w:pPr>
              <w:rPr>
                <w:color w:val="000000"/>
                <w:szCs w:val="16"/>
              </w:rPr>
            </w:pPr>
            <w:r w:rsidRPr="0063451E">
              <w:rPr>
                <w:color w:val="000000"/>
                <w:szCs w:val="16"/>
              </w:rPr>
              <w:t xml:space="preserve">Population size </w:t>
            </w:r>
            <m:oMath>
              <m:sSub>
                <m:sSubPr>
                  <m:ctrlPr>
                    <w:rPr>
                      <w:rFonts w:ascii="Cambria Math" w:hAnsi="Cambria Math"/>
                      <w:i/>
                      <w:color w:val="000000"/>
                      <w:szCs w:val="16"/>
                    </w:rPr>
                  </m:ctrlPr>
                </m:sSubPr>
                <m:e>
                  <m:r>
                    <w:rPr>
                      <w:rFonts w:ascii="Cambria Math" w:hAnsi="Cambria Math"/>
                      <w:color w:val="000000"/>
                      <w:szCs w:val="16"/>
                    </w:rPr>
                    <m:t>N</m:t>
                  </m:r>
                </m:e>
                <m:sub>
                  <m:r>
                    <w:rPr>
                      <w:rFonts w:ascii="Cambria Math" w:hAnsi="Cambria Math"/>
                      <w:color w:val="000000"/>
                      <w:szCs w:val="16"/>
                    </w:rPr>
                    <m:t>pop</m:t>
                  </m:r>
                </m:sub>
              </m:sSub>
            </m:oMath>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740FB5AA" w14:textId="77777777" w:rsidR="001F78D1" w:rsidRPr="009D28C0" w:rsidRDefault="001F78D1" w:rsidP="0007665F">
            <w:pPr>
              <w:jc w:val="center"/>
              <w:rPr>
                <w:color w:val="000000"/>
                <w:szCs w:val="16"/>
              </w:rPr>
            </w:pPr>
            <w:r w:rsidRPr="009D28C0">
              <w:rPr>
                <w:color w:val="000000"/>
                <w:szCs w:val="16"/>
              </w:rPr>
              <w:t>1000</w:t>
            </w:r>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19B92682" w14:textId="77777777" w:rsidR="001F78D1" w:rsidRPr="009D28C0" w:rsidRDefault="001F78D1" w:rsidP="0007665F">
            <w:pPr>
              <w:jc w:val="center"/>
              <w:rPr>
                <w:color w:val="000000"/>
                <w:szCs w:val="16"/>
              </w:rPr>
            </w:pPr>
            <w:r w:rsidRPr="009D28C0">
              <w:rPr>
                <w:color w:val="000000"/>
                <w:szCs w:val="16"/>
              </w:rPr>
              <w:t>1000</w:t>
            </w:r>
          </w:p>
        </w:tc>
        <w:tc>
          <w:tcPr>
            <w:tcW w:w="1452" w:type="pct"/>
            <w:tcBorders>
              <w:top w:val="single" w:sz="4" w:space="0" w:color="auto"/>
              <w:left w:val="single" w:sz="4" w:space="0" w:color="auto"/>
              <w:bottom w:val="single" w:sz="4" w:space="0" w:color="auto"/>
              <w:right w:val="single" w:sz="4" w:space="0" w:color="auto"/>
            </w:tcBorders>
          </w:tcPr>
          <w:p w14:paraId="6F07047E" w14:textId="77777777" w:rsidR="001F78D1" w:rsidRPr="008319BE" w:rsidRDefault="001F78D1" w:rsidP="0007665F">
            <w:pPr>
              <w:rPr>
                <w:color w:val="000000"/>
                <w:sz w:val="16"/>
                <w:szCs w:val="12"/>
              </w:rPr>
            </w:pPr>
            <w:r w:rsidRPr="008319BE">
              <w:rPr>
                <w:color w:val="000000"/>
                <w:sz w:val="16"/>
                <w:szCs w:val="12"/>
              </w:rPr>
              <w:t>Survival of the fittest individuals to keep population size constant.</w:t>
            </w:r>
          </w:p>
        </w:tc>
      </w:tr>
      <w:tr w:rsidR="001F78D1" w:rsidRPr="00C943F9" w14:paraId="614CF13A" w14:textId="77777777" w:rsidTr="0007665F">
        <w:trPr>
          <w:trHeight w:val="300"/>
          <w:jc w:val="center"/>
        </w:trPr>
        <w:tc>
          <w:tcPr>
            <w:tcW w:w="383" w:type="pct"/>
            <w:vMerge/>
            <w:tcBorders>
              <w:left w:val="single" w:sz="4" w:space="0" w:color="auto"/>
              <w:right w:val="single" w:sz="4" w:space="0" w:color="auto"/>
            </w:tcBorders>
            <w:noWrap/>
            <w:vAlign w:val="bottom"/>
          </w:tcPr>
          <w:p w14:paraId="05C8DEFC"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061F2006" w14:textId="77777777" w:rsidR="001F78D1" w:rsidRPr="0063451E" w:rsidRDefault="001F78D1" w:rsidP="0007665F">
            <w:pPr>
              <w:rPr>
                <w:color w:val="000000"/>
                <w:szCs w:val="16"/>
              </w:rPr>
            </w:pPr>
            <w:r w:rsidRPr="0063451E">
              <w:rPr>
                <w:color w:val="000000"/>
                <w:szCs w:val="16"/>
              </w:rPr>
              <w:t xml:space="preserve">Number of generations </w:t>
            </w:r>
            <m:oMath>
              <m:sSub>
                <m:sSubPr>
                  <m:ctrlPr>
                    <w:rPr>
                      <w:rFonts w:ascii="Cambria Math" w:hAnsi="Cambria Math"/>
                      <w:i/>
                      <w:color w:val="000000"/>
                      <w:szCs w:val="16"/>
                    </w:rPr>
                  </m:ctrlPr>
                </m:sSubPr>
                <m:e>
                  <m:r>
                    <w:rPr>
                      <w:rFonts w:ascii="Cambria Math" w:hAnsi="Cambria Math"/>
                      <w:color w:val="000000"/>
                      <w:szCs w:val="16"/>
                    </w:rPr>
                    <m:t>N</m:t>
                  </m:r>
                </m:e>
                <m:sub>
                  <m:r>
                    <w:rPr>
                      <w:rFonts w:ascii="Cambria Math" w:hAnsi="Cambria Math"/>
                      <w:color w:val="000000"/>
                      <w:szCs w:val="16"/>
                    </w:rPr>
                    <m:t>gen</m:t>
                  </m:r>
                </m:sub>
              </m:sSub>
            </m:oMath>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731C3BAD" w14:textId="77777777" w:rsidR="001F78D1" w:rsidRPr="009D28C0" w:rsidRDefault="001F78D1" w:rsidP="0007665F">
            <w:pPr>
              <w:jc w:val="center"/>
              <w:rPr>
                <w:color w:val="000000"/>
                <w:szCs w:val="16"/>
              </w:rPr>
            </w:pPr>
            <m:oMathPara>
              <m:oMath>
                <m:r>
                  <w:rPr>
                    <w:rFonts w:ascii="Cambria Math" w:hAnsi="Cambria Math"/>
                    <w:color w:val="000000"/>
                    <w:szCs w:val="16"/>
                  </w:rPr>
                  <m:t>≥200</m:t>
                </m:r>
              </m:oMath>
            </m:oMathPara>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1D2A5037" w14:textId="77777777" w:rsidR="001F78D1" w:rsidRPr="009D28C0" w:rsidRDefault="001F78D1" w:rsidP="0007665F">
            <w:pPr>
              <w:jc w:val="center"/>
              <w:rPr>
                <w:color w:val="000000"/>
                <w:szCs w:val="16"/>
              </w:rPr>
            </w:pPr>
            <m:oMathPara>
              <m:oMath>
                <m:r>
                  <w:rPr>
                    <w:rFonts w:ascii="Cambria Math" w:hAnsi="Cambria Math"/>
                    <w:color w:val="000000"/>
                    <w:szCs w:val="16"/>
                  </w:rPr>
                  <m:t>≥200</m:t>
                </m:r>
              </m:oMath>
            </m:oMathPara>
          </w:p>
        </w:tc>
        <w:tc>
          <w:tcPr>
            <w:tcW w:w="1452" w:type="pct"/>
            <w:tcBorders>
              <w:top w:val="single" w:sz="4" w:space="0" w:color="auto"/>
              <w:left w:val="single" w:sz="4" w:space="0" w:color="auto"/>
              <w:bottom w:val="single" w:sz="4" w:space="0" w:color="auto"/>
              <w:right w:val="single" w:sz="4" w:space="0" w:color="auto"/>
            </w:tcBorders>
          </w:tcPr>
          <w:p w14:paraId="7B5404E6" w14:textId="77777777" w:rsidR="001F78D1" w:rsidRPr="008319BE" w:rsidRDefault="001F78D1" w:rsidP="0007665F">
            <w:pPr>
              <w:rPr>
                <w:color w:val="000000"/>
                <w:sz w:val="16"/>
                <w:szCs w:val="12"/>
              </w:rPr>
            </w:pPr>
            <w:r w:rsidRPr="008319BE">
              <w:rPr>
                <w:color w:val="000000"/>
                <w:sz w:val="16"/>
                <w:szCs w:val="12"/>
              </w:rPr>
              <w:t>Stop after 20 generations with no significant changes in the optimal population (but not before 200).</w:t>
            </w:r>
          </w:p>
        </w:tc>
      </w:tr>
      <w:tr w:rsidR="001F78D1" w:rsidRPr="00C943F9" w14:paraId="5898798A" w14:textId="77777777" w:rsidTr="0007665F">
        <w:trPr>
          <w:trHeight w:val="300"/>
          <w:jc w:val="center"/>
        </w:trPr>
        <w:tc>
          <w:tcPr>
            <w:tcW w:w="383" w:type="pct"/>
            <w:vMerge/>
            <w:tcBorders>
              <w:left w:val="single" w:sz="4" w:space="0" w:color="auto"/>
              <w:right w:val="single" w:sz="4" w:space="0" w:color="auto"/>
            </w:tcBorders>
            <w:noWrap/>
            <w:vAlign w:val="bottom"/>
          </w:tcPr>
          <w:p w14:paraId="5FCF19B5"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271A1437" w14:textId="77777777" w:rsidR="001F78D1" w:rsidRPr="0063451E" w:rsidRDefault="001F78D1" w:rsidP="0007665F">
            <w:pPr>
              <w:rPr>
                <w:color w:val="000000"/>
                <w:szCs w:val="16"/>
              </w:rPr>
            </w:pPr>
            <w:r w:rsidRPr="0063451E">
              <w:rPr>
                <w:color w:val="000000"/>
                <w:szCs w:val="16"/>
              </w:rPr>
              <w:t>Crossover – mutation probabilities</w:t>
            </w:r>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2E864531" w14:textId="77777777" w:rsidR="001F78D1" w:rsidRPr="009D28C0" w:rsidRDefault="001F78D1" w:rsidP="0007665F">
            <w:pPr>
              <w:jc w:val="center"/>
              <w:rPr>
                <w:color w:val="000000"/>
                <w:szCs w:val="16"/>
              </w:rPr>
            </w:pPr>
            <w:r w:rsidRPr="009D28C0">
              <w:rPr>
                <w:color w:val="000000"/>
                <w:szCs w:val="16"/>
              </w:rPr>
              <w:t>0.85-0.15</w:t>
            </w:r>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70194004" w14:textId="77777777" w:rsidR="001F78D1" w:rsidRPr="009D28C0" w:rsidRDefault="001F78D1" w:rsidP="0007665F">
            <w:pPr>
              <w:jc w:val="center"/>
              <w:rPr>
                <w:color w:val="000000"/>
                <w:szCs w:val="16"/>
              </w:rPr>
            </w:pPr>
            <w:r w:rsidRPr="009D28C0">
              <w:rPr>
                <w:color w:val="000000"/>
                <w:szCs w:val="16"/>
              </w:rPr>
              <w:t>0.85-0.15</w:t>
            </w:r>
          </w:p>
        </w:tc>
        <w:tc>
          <w:tcPr>
            <w:tcW w:w="1452" w:type="pct"/>
            <w:tcBorders>
              <w:top w:val="single" w:sz="4" w:space="0" w:color="auto"/>
              <w:left w:val="single" w:sz="4" w:space="0" w:color="auto"/>
              <w:bottom w:val="single" w:sz="4" w:space="0" w:color="auto"/>
              <w:right w:val="single" w:sz="4" w:space="0" w:color="auto"/>
            </w:tcBorders>
          </w:tcPr>
          <w:p w14:paraId="13B9C3C8" w14:textId="77777777" w:rsidR="001F78D1" w:rsidRPr="008319BE" w:rsidRDefault="001F78D1" w:rsidP="0007665F">
            <w:pPr>
              <w:rPr>
                <w:color w:val="000000"/>
                <w:sz w:val="16"/>
                <w:szCs w:val="12"/>
              </w:rPr>
            </w:pPr>
            <w:r w:rsidRPr="008319BE">
              <w:rPr>
                <w:color w:val="000000"/>
                <w:sz w:val="16"/>
                <w:szCs w:val="12"/>
              </w:rPr>
              <w:t>Probability of occurrence of one of the two genetic operators for each pair of parent individuals (Simpson et al. 1994).</w:t>
            </w:r>
          </w:p>
        </w:tc>
      </w:tr>
      <w:tr w:rsidR="001F78D1" w:rsidRPr="00E048E4" w14:paraId="6ED9B2FF" w14:textId="77777777" w:rsidTr="0007665F">
        <w:trPr>
          <w:trHeight w:val="300"/>
          <w:jc w:val="center"/>
        </w:trPr>
        <w:tc>
          <w:tcPr>
            <w:tcW w:w="383" w:type="pct"/>
            <w:vMerge/>
            <w:tcBorders>
              <w:left w:val="single" w:sz="4" w:space="0" w:color="auto"/>
              <w:right w:val="single" w:sz="4" w:space="0" w:color="auto"/>
            </w:tcBorders>
            <w:noWrap/>
            <w:vAlign w:val="bottom"/>
          </w:tcPr>
          <w:p w14:paraId="6C7B9193"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5B8CAA90" w14:textId="77777777" w:rsidR="001F78D1" w:rsidRPr="0063451E" w:rsidRDefault="001F78D1" w:rsidP="0007665F">
            <w:pPr>
              <w:rPr>
                <w:color w:val="000000"/>
                <w:szCs w:val="16"/>
              </w:rPr>
            </w:pPr>
            <w:r w:rsidRPr="0063451E">
              <w:rPr>
                <w:color w:val="000000"/>
                <w:szCs w:val="16"/>
              </w:rPr>
              <w:t>Objective 1</w:t>
            </w:r>
          </w:p>
        </w:tc>
        <w:tc>
          <w:tcPr>
            <w:tcW w:w="723" w:type="pct"/>
            <w:tcBorders>
              <w:top w:val="single" w:sz="4" w:space="0" w:color="auto"/>
              <w:left w:val="single" w:sz="4" w:space="0" w:color="auto"/>
              <w:bottom w:val="single" w:sz="4" w:space="0" w:color="auto"/>
              <w:right w:val="single" w:sz="4" w:space="0" w:color="auto"/>
            </w:tcBorders>
            <w:noWrap/>
            <w:vAlign w:val="center"/>
          </w:tcPr>
          <w:p w14:paraId="3E784163" w14:textId="77777777" w:rsidR="001F78D1" w:rsidRPr="009D28C0" w:rsidRDefault="00990971" w:rsidP="0007665F">
            <w:pPr>
              <w:jc w:val="center"/>
              <w:rPr>
                <w:color w:val="000000"/>
                <w:szCs w:val="16"/>
              </w:rPr>
            </w:pPr>
            <m:oMathPara>
              <m:oMath>
                <m:sSub>
                  <m:sSubPr>
                    <m:ctrlPr>
                      <w:rPr>
                        <w:rFonts w:ascii="Cambria Math" w:hAnsi="Cambria Math"/>
                        <w:i/>
                        <w:color w:val="000000"/>
                        <w:szCs w:val="16"/>
                      </w:rPr>
                    </m:ctrlPr>
                  </m:sSubPr>
                  <m:e>
                    <m:r>
                      <w:rPr>
                        <w:rFonts w:ascii="Cambria Math" w:hAnsi="Cambria Math"/>
                        <w:color w:val="000000"/>
                        <w:szCs w:val="16"/>
                      </w:rPr>
                      <m:t>N</m:t>
                    </m:r>
                  </m:e>
                  <m:sub>
                    <m:r>
                      <w:rPr>
                        <w:rFonts w:ascii="Cambria Math" w:hAnsi="Cambria Math"/>
                        <w:color w:val="000000"/>
                        <w:szCs w:val="16"/>
                      </w:rPr>
                      <m:t>f</m:t>
                    </m:r>
                  </m:sub>
                </m:sSub>
              </m:oMath>
            </m:oMathPara>
          </w:p>
        </w:tc>
        <w:tc>
          <w:tcPr>
            <w:tcW w:w="1245" w:type="pct"/>
            <w:tcBorders>
              <w:top w:val="single" w:sz="4" w:space="0" w:color="auto"/>
              <w:left w:val="single" w:sz="4" w:space="0" w:color="auto"/>
              <w:bottom w:val="single" w:sz="4" w:space="0" w:color="auto"/>
              <w:right w:val="single" w:sz="4" w:space="0" w:color="auto"/>
            </w:tcBorders>
            <w:noWrap/>
            <w:vAlign w:val="center"/>
          </w:tcPr>
          <w:p w14:paraId="26713C19" w14:textId="77777777" w:rsidR="001F78D1" w:rsidRPr="009D28C0" w:rsidRDefault="00990971" w:rsidP="0007665F">
            <w:pPr>
              <w:jc w:val="center"/>
              <w:rPr>
                <w:color w:val="000000"/>
                <w:szCs w:val="16"/>
              </w:rPr>
            </w:pPr>
            <m:oMathPara>
              <m:oMath>
                <m:sSub>
                  <m:sSubPr>
                    <m:ctrlPr>
                      <w:rPr>
                        <w:rFonts w:ascii="Cambria Math" w:hAnsi="Cambria Math"/>
                        <w:i/>
                        <w:color w:val="000000"/>
                        <w:szCs w:val="16"/>
                      </w:rPr>
                    </m:ctrlPr>
                  </m:sSubPr>
                  <m:e>
                    <m:r>
                      <w:rPr>
                        <w:rFonts w:ascii="Cambria Math" w:hAnsi="Cambria Math"/>
                        <w:color w:val="000000"/>
                        <w:szCs w:val="16"/>
                      </w:rPr>
                      <m:t>N</m:t>
                    </m:r>
                  </m:e>
                  <m:sub>
                    <m:r>
                      <w:rPr>
                        <w:rFonts w:ascii="Cambria Math" w:hAnsi="Cambria Math"/>
                        <w:color w:val="000000"/>
                        <w:szCs w:val="16"/>
                      </w:rPr>
                      <m:t>f</m:t>
                    </m:r>
                  </m:sub>
                </m:sSub>
              </m:oMath>
            </m:oMathPara>
          </w:p>
        </w:tc>
        <w:tc>
          <w:tcPr>
            <w:tcW w:w="1452" w:type="pct"/>
            <w:tcBorders>
              <w:top w:val="single" w:sz="4" w:space="0" w:color="auto"/>
              <w:left w:val="single" w:sz="4" w:space="0" w:color="auto"/>
              <w:bottom w:val="single" w:sz="4" w:space="0" w:color="auto"/>
              <w:right w:val="single" w:sz="4" w:space="0" w:color="auto"/>
            </w:tcBorders>
          </w:tcPr>
          <w:p w14:paraId="611B4959" w14:textId="77777777" w:rsidR="001F78D1" w:rsidRPr="008319BE" w:rsidRDefault="001F78D1" w:rsidP="0007665F">
            <w:pPr>
              <w:rPr>
                <w:color w:val="000000"/>
                <w:sz w:val="16"/>
                <w:szCs w:val="12"/>
              </w:rPr>
            </w:pPr>
            <w:r w:rsidRPr="008319BE">
              <w:rPr>
                <w:color w:val="000000"/>
                <w:sz w:val="16"/>
                <w:szCs w:val="12"/>
              </w:rPr>
              <w:t xml:space="preserve">Number of input features. </w:t>
            </w:r>
          </w:p>
        </w:tc>
      </w:tr>
      <w:tr w:rsidR="001F78D1" w:rsidRPr="00C943F9" w14:paraId="276C8C6F" w14:textId="77777777" w:rsidTr="0007665F">
        <w:trPr>
          <w:trHeight w:val="300"/>
          <w:jc w:val="center"/>
        </w:trPr>
        <w:tc>
          <w:tcPr>
            <w:tcW w:w="383" w:type="pct"/>
            <w:vMerge/>
            <w:tcBorders>
              <w:left w:val="single" w:sz="4" w:space="0" w:color="auto"/>
              <w:right w:val="single" w:sz="4" w:space="0" w:color="auto"/>
            </w:tcBorders>
            <w:noWrap/>
            <w:vAlign w:val="bottom"/>
          </w:tcPr>
          <w:p w14:paraId="30B4CE68"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235F49AB" w14:textId="77777777" w:rsidR="001F78D1" w:rsidRPr="0063451E" w:rsidRDefault="001F78D1" w:rsidP="0007665F">
            <w:pPr>
              <w:rPr>
                <w:color w:val="000000"/>
                <w:szCs w:val="16"/>
              </w:rPr>
            </w:pPr>
            <w:r w:rsidRPr="0063451E">
              <w:rPr>
                <w:color w:val="000000"/>
                <w:szCs w:val="16"/>
              </w:rPr>
              <w:t>Objective 2</w:t>
            </w:r>
          </w:p>
        </w:tc>
        <w:tc>
          <w:tcPr>
            <w:tcW w:w="723" w:type="pct"/>
            <w:tcBorders>
              <w:top w:val="single" w:sz="4" w:space="0" w:color="auto"/>
              <w:left w:val="single" w:sz="4" w:space="0" w:color="auto"/>
              <w:bottom w:val="single" w:sz="4" w:space="0" w:color="auto"/>
              <w:right w:val="single" w:sz="4" w:space="0" w:color="auto"/>
            </w:tcBorders>
            <w:noWrap/>
            <w:vAlign w:val="center"/>
          </w:tcPr>
          <w:p w14:paraId="1999EF74" w14:textId="77777777" w:rsidR="001F78D1" w:rsidRPr="009D28C0" w:rsidRDefault="001F78D1" w:rsidP="0007665F">
            <w:pPr>
              <w:jc w:val="center"/>
              <w:rPr>
                <w:color w:val="000000"/>
                <w:szCs w:val="16"/>
              </w:rPr>
            </w:pPr>
            <m:oMathPara>
              <m:oMath>
                <m:r>
                  <w:rPr>
                    <w:rFonts w:ascii="Cambria Math" w:hAnsi="Cambria Math"/>
                    <w:color w:val="000000"/>
                    <w:szCs w:val="16"/>
                  </w:rPr>
                  <m:t>MAE</m:t>
                </m:r>
              </m:oMath>
            </m:oMathPara>
          </w:p>
        </w:tc>
        <w:tc>
          <w:tcPr>
            <w:tcW w:w="1245" w:type="pct"/>
            <w:tcBorders>
              <w:top w:val="single" w:sz="4" w:space="0" w:color="auto"/>
              <w:left w:val="single" w:sz="4" w:space="0" w:color="auto"/>
              <w:bottom w:val="single" w:sz="4" w:space="0" w:color="auto"/>
              <w:right w:val="single" w:sz="4" w:space="0" w:color="auto"/>
            </w:tcBorders>
            <w:noWrap/>
            <w:vAlign w:val="center"/>
          </w:tcPr>
          <w:p w14:paraId="4183EFCF" w14:textId="77777777" w:rsidR="001F78D1" w:rsidRPr="009D28C0" w:rsidRDefault="001F78D1" w:rsidP="0007665F">
            <w:pPr>
              <w:jc w:val="center"/>
              <w:rPr>
                <w:color w:val="000000"/>
                <w:szCs w:val="16"/>
              </w:rPr>
            </w:pPr>
            <m:oMathPara>
              <m:oMath>
                <m:r>
                  <w:rPr>
                    <w:rFonts w:ascii="Cambria Math" w:hAnsi="Cambria Math"/>
                    <w:color w:val="000000"/>
                    <w:szCs w:val="16"/>
                  </w:rPr>
                  <m:t>ROC_AUC</m:t>
                </m:r>
              </m:oMath>
            </m:oMathPara>
          </w:p>
        </w:tc>
        <w:tc>
          <w:tcPr>
            <w:tcW w:w="1452" w:type="pct"/>
            <w:tcBorders>
              <w:top w:val="single" w:sz="4" w:space="0" w:color="auto"/>
              <w:left w:val="single" w:sz="4" w:space="0" w:color="auto"/>
              <w:bottom w:val="single" w:sz="4" w:space="0" w:color="auto"/>
              <w:right w:val="single" w:sz="4" w:space="0" w:color="auto"/>
            </w:tcBorders>
          </w:tcPr>
          <w:p w14:paraId="7D93BAA7" w14:textId="6DB77D94" w:rsidR="001F78D1" w:rsidRPr="008319BE" w:rsidRDefault="001F78D1" w:rsidP="0007665F">
            <w:pPr>
              <w:rPr>
                <w:color w:val="000000"/>
                <w:sz w:val="16"/>
                <w:szCs w:val="12"/>
              </w:rPr>
            </w:pPr>
            <w:r w:rsidRPr="008319BE">
              <w:rPr>
                <w:color w:val="000000"/>
                <w:sz w:val="16"/>
                <w:szCs w:val="12"/>
              </w:rPr>
              <w:t>Mean Absolute Error</w:t>
            </w:r>
            <w:r>
              <w:rPr>
                <w:color w:val="000000"/>
                <w:sz w:val="16"/>
                <w:szCs w:val="12"/>
              </w:rPr>
              <w:t xml:space="preserve">, in the interval </w:t>
            </w:r>
            <m:oMath>
              <m:r>
                <w:rPr>
                  <w:rFonts w:ascii="Cambria Math" w:hAnsi="Cambria Math"/>
                  <w:color w:val="000000"/>
                  <w:sz w:val="16"/>
                  <w:szCs w:val="12"/>
                </w:rPr>
                <m:t>[0;+∞[</m:t>
              </m:r>
            </m:oMath>
            <w:r w:rsidRPr="008319BE">
              <w:rPr>
                <w:color w:val="000000"/>
                <w:sz w:val="16"/>
                <w:szCs w:val="12"/>
              </w:rPr>
              <w:t xml:space="preserve"> </w:t>
            </w:r>
            <w:r>
              <w:rPr>
                <w:color w:val="000000"/>
                <w:sz w:val="16"/>
                <w:szCs w:val="12"/>
              </w:rPr>
              <w:t xml:space="preserve">; </w:t>
            </w:r>
            <w:r w:rsidRPr="000D608B">
              <w:rPr>
                <w:color w:val="000000"/>
                <w:sz w:val="16"/>
                <w:szCs w:val="12"/>
              </w:rPr>
              <w:t xml:space="preserve">Receiver Operating Characteristic </w:t>
            </w:r>
            <w:r>
              <w:rPr>
                <w:color w:val="000000"/>
                <w:sz w:val="16"/>
                <w:szCs w:val="12"/>
              </w:rPr>
              <w:t>(</w:t>
            </w:r>
            <w:r w:rsidRPr="008319BE">
              <w:rPr>
                <w:color w:val="000000"/>
                <w:sz w:val="16"/>
                <w:szCs w:val="12"/>
              </w:rPr>
              <w:t>ROC</w:t>
            </w:r>
            <w:r>
              <w:rPr>
                <w:color w:val="000000"/>
                <w:sz w:val="16"/>
                <w:szCs w:val="12"/>
              </w:rPr>
              <w:t>)</w:t>
            </w:r>
            <w:r w:rsidRPr="008319BE">
              <w:rPr>
                <w:color w:val="000000"/>
                <w:sz w:val="16"/>
                <w:szCs w:val="12"/>
              </w:rPr>
              <w:t xml:space="preserve"> area under the curve</w:t>
            </w:r>
            <w:r>
              <w:rPr>
                <w:color w:val="000000"/>
                <w:sz w:val="16"/>
                <w:szCs w:val="12"/>
              </w:rPr>
              <w:t>, in the interval</w:t>
            </w:r>
            <w:r w:rsidRPr="008319BE">
              <w:rPr>
                <w:color w:val="000000"/>
                <w:sz w:val="16"/>
                <w:szCs w:val="12"/>
              </w:rPr>
              <w:t xml:space="preserve"> </w:t>
            </w:r>
            <m:oMath>
              <m:d>
                <m:dPr>
                  <m:begChr m:val="["/>
                  <m:endChr m:val="]"/>
                  <m:ctrlPr>
                    <w:rPr>
                      <w:rFonts w:ascii="Cambria Math" w:hAnsi="Cambria Math"/>
                      <w:i/>
                      <w:color w:val="000000"/>
                      <w:sz w:val="16"/>
                      <w:szCs w:val="12"/>
                    </w:rPr>
                  </m:ctrlPr>
                </m:dPr>
                <m:e>
                  <m:r>
                    <w:rPr>
                      <w:rFonts w:ascii="Cambria Math" w:hAnsi="Cambria Math"/>
                      <w:color w:val="000000"/>
                      <w:sz w:val="16"/>
                      <w:szCs w:val="12"/>
                    </w:rPr>
                    <m:t>0.5; 1</m:t>
                  </m:r>
                </m:e>
              </m:d>
            </m:oMath>
            <w:r>
              <w:rPr>
                <w:color w:val="000000"/>
                <w:sz w:val="16"/>
                <w:szCs w:val="12"/>
              </w:rPr>
              <w:t xml:space="preserve">. Optimal value of </w:t>
            </w:r>
            <m:oMath>
              <m:r>
                <w:rPr>
                  <w:rFonts w:ascii="Cambria Math" w:hAnsi="Cambria Math"/>
                  <w:color w:val="000000"/>
                  <w:sz w:val="16"/>
                  <w:szCs w:val="12"/>
                </w:rPr>
                <m:t>ROC_AUC</m:t>
              </m:r>
            </m:oMath>
            <w:r>
              <w:rPr>
                <w:color w:val="000000"/>
                <w:sz w:val="16"/>
                <w:szCs w:val="12"/>
              </w:rPr>
              <w:t xml:space="preserve"> is 1, below 0.5 the classifier performs worse than</w:t>
            </w:r>
            <w:r w:rsidR="00862107">
              <w:rPr>
                <w:color w:val="000000"/>
                <w:sz w:val="16"/>
                <w:szCs w:val="12"/>
              </w:rPr>
              <w:t xml:space="preserve"> a</w:t>
            </w:r>
            <w:r>
              <w:rPr>
                <w:color w:val="000000"/>
                <w:sz w:val="16"/>
                <w:szCs w:val="12"/>
              </w:rPr>
              <w:t xml:space="preserve"> random classifier </w:t>
            </w:r>
            <w:r w:rsidRPr="008319BE">
              <w:rPr>
                <w:color w:val="000000"/>
                <w:sz w:val="16"/>
                <w:szCs w:val="12"/>
              </w:rPr>
              <w:t>(Fernández et al. 2018)</w:t>
            </w:r>
          </w:p>
        </w:tc>
      </w:tr>
      <w:tr w:rsidR="001F78D1" w:rsidRPr="00C943F9" w14:paraId="5A6FCF4A" w14:textId="77777777" w:rsidTr="0007665F">
        <w:trPr>
          <w:trHeight w:val="300"/>
          <w:jc w:val="center"/>
        </w:trPr>
        <w:tc>
          <w:tcPr>
            <w:tcW w:w="383" w:type="pct"/>
            <w:vMerge/>
            <w:tcBorders>
              <w:left w:val="single" w:sz="4" w:space="0" w:color="auto"/>
              <w:bottom w:val="single" w:sz="4" w:space="0" w:color="auto"/>
              <w:right w:val="single" w:sz="4" w:space="0" w:color="auto"/>
            </w:tcBorders>
            <w:noWrap/>
            <w:vAlign w:val="bottom"/>
          </w:tcPr>
          <w:p w14:paraId="0A544A3B"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5EB06CFC" w14:textId="77777777" w:rsidR="001F78D1" w:rsidRPr="0063451E" w:rsidRDefault="001F78D1" w:rsidP="0007665F">
            <w:pPr>
              <w:rPr>
                <w:color w:val="000000"/>
                <w:szCs w:val="16"/>
              </w:rPr>
            </w:pPr>
            <w:r w:rsidRPr="0063451E">
              <w:rPr>
                <w:color w:val="000000"/>
                <w:szCs w:val="16"/>
              </w:rPr>
              <w:t>Objective 3</w:t>
            </w:r>
          </w:p>
        </w:tc>
        <w:tc>
          <w:tcPr>
            <w:tcW w:w="723" w:type="pct"/>
            <w:tcBorders>
              <w:top w:val="single" w:sz="4" w:space="0" w:color="auto"/>
              <w:left w:val="single" w:sz="4" w:space="0" w:color="auto"/>
              <w:bottom w:val="single" w:sz="4" w:space="0" w:color="auto"/>
              <w:right w:val="single" w:sz="4" w:space="0" w:color="auto"/>
            </w:tcBorders>
            <w:noWrap/>
            <w:vAlign w:val="center"/>
          </w:tcPr>
          <w:p w14:paraId="3151D830" w14:textId="77777777" w:rsidR="001F78D1" w:rsidRPr="009D28C0" w:rsidRDefault="001F78D1" w:rsidP="0007665F">
            <w:pPr>
              <w:jc w:val="center"/>
              <w:rPr>
                <w:color w:val="000000"/>
                <w:szCs w:val="16"/>
              </w:rPr>
            </w:pPr>
            <m:oMathPara>
              <m:oMath>
                <m:r>
                  <w:rPr>
                    <w:rFonts w:ascii="Cambria Math" w:hAnsi="Cambria Math"/>
                    <w:color w:val="000000"/>
                    <w:szCs w:val="16"/>
                  </w:rPr>
                  <m:t>IQR</m:t>
                </m:r>
              </m:oMath>
            </m:oMathPara>
          </w:p>
        </w:tc>
        <w:tc>
          <w:tcPr>
            <w:tcW w:w="1245" w:type="pct"/>
            <w:tcBorders>
              <w:top w:val="single" w:sz="4" w:space="0" w:color="auto"/>
              <w:left w:val="single" w:sz="4" w:space="0" w:color="auto"/>
              <w:bottom w:val="single" w:sz="4" w:space="0" w:color="auto"/>
              <w:right w:val="single" w:sz="4" w:space="0" w:color="auto"/>
            </w:tcBorders>
            <w:noWrap/>
            <w:vAlign w:val="center"/>
          </w:tcPr>
          <w:p w14:paraId="2BDF7EB5" w14:textId="77777777" w:rsidR="001F78D1" w:rsidRPr="009D28C0" w:rsidRDefault="001F78D1" w:rsidP="0007665F">
            <w:pPr>
              <w:jc w:val="center"/>
              <w:rPr>
                <w:color w:val="000000"/>
                <w:szCs w:val="16"/>
              </w:rPr>
            </w:pPr>
            <m:oMathPara>
              <m:oMath>
                <m:r>
                  <w:rPr>
                    <w:rFonts w:ascii="Cambria Math" w:hAnsi="Cambria Math"/>
                    <w:color w:val="000000"/>
                    <w:szCs w:val="16"/>
                  </w:rPr>
                  <m:t>PR_AUC</m:t>
                </m:r>
              </m:oMath>
            </m:oMathPara>
          </w:p>
        </w:tc>
        <w:tc>
          <w:tcPr>
            <w:tcW w:w="1452" w:type="pct"/>
            <w:tcBorders>
              <w:top w:val="single" w:sz="4" w:space="0" w:color="auto"/>
              <w:left w:val="single" w:sz="4" w:space="0" w:color="auto"/>
              <w:bottom w:val="single" w:sz="4" w:space="0" w:color="auto"/>
              <w:right w:val="single" w:sz="4" w:space="0" w:color="auto"/>
            </w:tcBorders>
          </w:tcPr>
          <w:p w14:paraId="380CB45B" w14:textId="5FFD75E2" w:rsidR="001F78D1" w:rsidRPr="008319BE" w:rsidRDefault="001F78D1" w:rsidP="0007665F">
            <w:pPr>
              <w:rPr>
                <w:color w:val="000000"/>
                <w:sz w:val="16"/>
                <w:szCs w:val="12"/>
              </w:rPr>
            </w:pPr>
            <w:r w:rsidRPr="008319BE">
              <w:rPr>
                <w:color w:val="000000"/>
                <w:sz w:val="16"/>
                <w:szCs w:val="12"/>
              </w:rPr>
              <w:t>Width of the interquartile range of errors</w:t>
            </w:r>
            <w:r>
              <w:rPr>
                <w:color w:val="000000"/>
                <w:sz w:val="16"/>
                <w:szCs w:val="12"/>
              </w:rPr>
              <w:t>, in the interval</w:t>
            </w:r>
            <w:r w:rsidRPr="008319BE">
              <w:rPr>
                <w:color w:val="000000"/>
                <w:sz w:val="16"/>
                <w:szCs w:val="12"/>
              </w:rPr>
              <w:t xml:space="preserve"> </w:t>
            </w:r>
            <m:oMath>
              <m:r>
                <w:rPr>
                  <w:rFonts w:ascii="Cambria Math" w:hAnsi="Cambria Math"/>
                  <w:color w:val="000000"/>
                  <w:sz w:val="16"/>
                  <w:szCs w:val="12"/>
                </w:rPr>
                <m:t>[0;+∞[</m:t>
              </m:r>
            </m:oMath>
            <w:r w:rsidRPr="008319BE">
              <w:rPr>
                <w:color w:val="000000"/>
                <w:sz w:val="16"/>
                <w:szCs w:val="12"/>
              </w:rPr>
              <w:t xml:space="preserve"> </w:t>
            </w:r>
            <w:r>
              <w:rPr>
                <w:color w:val="000000"/>
                <w:sz w:val="16"/>
                <w:szCs w:val="12"/>
              </w:rPr>
              <w:t>(ideal value is 0);</w:t>
            </w:r>
            <w:r w:rsidRPr="008319BE">
              <w:rPr>
                <w:color w:val="000000"/>
                <w:sz w:val="16"/>
                <w:szCs w:val="12"/>
              </w:rPr>
              <w:t xml:space="preserve"> Precision-Recall area under the curve</w:t>
            </w:r>
            <w:r>
              <w:rPr>
                <w:color w:val="000000"/>
                <w:sz w:val="16"/>
                <w:szCs w:val="12"/>
              </w:rPr>
              <w:t xml:space="preserve">, in the interval </w:t>
            </w:r>
            <m:oMath>
              <m:r>
                <w:rPr>
                  <w:rFonts w:ascii="Cambria Math" w:hAnsi="Cambria Math"/>
                  <w:color w:val="000000"/>
                  <w:sz w:val="16"/>
                  <w:szCs w:val="12"/>
                </w:rPr>
                <m:t>[r;1]</m:t>
              </m:r>
            </m:oMath>
            <w:r>
              <w:rPr>
                <w:color w:val="000000"/>
                <w:sz w:val="16"/>
                <w:szCs w:val="12"/>
              </w:rPr>
              <w:t>,</w:t>
            </w:r>
            <w:r w:rsidRPr="008319BE">
              <w:rPr>
                <w:color w:val="000000"/>
                <w:sz w:val="16"/>
                <w:szCs w:val="12"/>
              </w:rPr>
              <w:t xml:space="preserve"> </w:t>
            </w:r>
            <w:r>
              <w:rPr>
                <w:color w:val="000000"/>
                <w:sz w:val="16"/>
                <w:szCs w:val="12"/>
              </w:rPr>
              <w:t xml:space="preserve">where r is the proportion of actual positives over the total number of cases; optimal value is 1; below </w:t>
            </w:r>
            <m:oMath>
              <m:r>
                <w:rPr>
                  <w:rFonts w:ascii="Cambria Math" w:hAnsi="Cambria Math"/>
                  <w:color w:val="000000"/>
                  <w:sz w:val="16"/>
                  <w:szCs w:val="12"/>
                </w:rPr>
                <m:t>r</m:t>
              </m:r>
            </m:oMath>
            <w:r>
              <w:rPr>
                <w:color w:val="000000"/>
                <w:sz w:val="16"/>
                <w:szCs w:val="12"/>
              </w:rPr>
              <w:t xml:space="preserve"> is worse than</w:t>
            </w:r>
            <w:r w:rsidR="000D323A">
              <w:rPr>
                <w:color w:val="000000"/>
                <w:sz w:val="16"/>
                <w:szCs w:val="12"/>
              </w:rPr>
              <w:t xml:space="preserve"> a</w:t>
            </w:r>
            <w:r>
              <w:rPr>
                <w:color w:val="000000"/>
                <w:sz w:val="16"/>
                <w:szCs w:val="12"/>
              </w:rPr>
              <w:t xml:space="preserve"> trivial classifier that marks all instances as positive </w:t>
            </w:r>
            <w:r w:rsidRPr="008319BE">
              <w:rPr>
                <w:color w:val="000000"/>
                <w:sz w:val="16"/>
                <w:szCs w:val="12"/>
              </w:rPr>
              <w:t>(Fernández et al. 2018)</w:t>
            </w:r>
          </w:p>
        </w:tc>
      </w:tr>
      <w:tr w:rsidR="001F78D1" w:rsidRPr="003953A0" w14:paraId="7932E44D" w14:textId="77777777" w:rsidTr="0007665F">
        <w:trPr>
          <w:trHeight w:val="300"/>
          <w:jc w:val="center"/>
        </w:trPr>
        <w:tc>
          <w:tcPr>
            <w:tcW w:w="383" w:type="pct"/>
            <w:vMerge w:val="restart"/>
            <w:tcBorders>
              <w:top w:val="single" w:sz="4" w:space="0" w:color="auto"/>
              <w:left w:val="single" w:sz="4" w:space="0" w:color="auto"/>
              <w:right w:val="single" w:sz="4" w:space="0" w:color="auto"/>
            </w:tcBorders>
            <w:noWrap/>
            <w:textDirection w:val="btLr"/>
            <w:vAlign w:val="bottom"/>
          </w:tcPr>
          <w:p w14:paraId="0E70279F" w14:textId="77777777" w:rsidR="001F78D1" w:rsidRPr="00E048E4" w:rsidRDefault="001F78D1" w:rsidP="0007665F">
            <w:pPr>
              <w:ind w:left="113" w:right="113"/>
              <w:jc w:val="center"/>
              <w:rPr>
                <w:b/>
                <w:bCs/>
                <w:color w:val="000000"/>
              </w:rPr>
            </w:pPr>
            <w:r>
              <w:rPr>
                <w:b/>
                <w:bCs/>
                <w:color w:val="000000"/>
              </w:rPr>
              <w:t>Learning Machine Training</w:t>
            </w:r>
          </w:p>
        </w:tc>
        <w:tc>
          <w:tcPr>
            <w:tcW w:w="1197" w:type="pct"/>
            <w:tcBorders>
              <w:top w:val="single" w:sz="4" w:space="0" w:color="auto"/>
              <w:left w:val="single" w:sz="4" w:space="0" w:color="auto"/>
              <w:bottom w:val="single" w:sz="4" w:space="0" w:color="auto"/>
              <w:right w:val="single" w:sz="4" w:space="0" w:color="auto"/>
            </w:tcBorders>
            <w:vAlign w:val="center"/>
          </w:tcPr>
          <w:p w14:paraId="7FACBB26" w14:textId="77777777" w:rsidR="001F78D1" w:rsidRPr="0063451E" w:rsidRDefault="001F78D1" w:rsidP="0007665F">
            <w:pPr>
              <w:rPr>
                <w:color w:val="000000"/>
                <w:szCs w:val="16"/>
              </w:rPr>
            </w:pPr>
            <w:r w:rsidRPr="0063451E">
              <w:rPr>
                <w:color w:val="000000"/>
                <w:szCs w:val="16"/>
              </w:rPr>
              <w:t xml:space="preserve">Model </w:t>
            </w:r>
          </w:p>
        </w:tc>
        <w:tc>
          <w:tcPr>
            <w:tcW w:w="723" w:type="pct"/>
            <w:tcBorders>
              <w:top w:val="single" w:sz="4" w:space="0" w:color="auto"/>
              <w:left w:val="single" w:sz="4" w:space="0" w:color="auto"/>
              <w:bottom w:val="single" w:sz="4" w:space="0" w:color="auto"/>
              <w:right w:val="single" w:sz="4" w:space="0" w:color="auto"/>
            </w:tcBorders>
            <w:noWrap/>
            <w:vAlign w:val="center"/>
          </w:tcPr>
          <w:p w14:paraId="2094B072" w14:textId="77777777" w:rsidR="001F78D1" w:rsidRPr="009D28C0" w:rsidRDefault="001F78D1" w:rsidP="0007665F">
            <w:pPr>
              <w:jc w:val="center"/>
              <w:rPr>
                <w:color w:val="000000"/>
                <w:szCs w:val="16"/>
              </w:rPr>
            </w:pPr>
            <w:r w:rsidRPr="009D28C0">
              <w:rPr>
                <w:color w:val="000000"/>
                <w:szCs w:val="16"/>
              </w:rPr>
              <w:t>MLP</w:t>
            </w:r>
          </w:p>
        </w:tc>
        <w:tc>
          <w:tcPr>
            <w:tcW w:w="1245" w:type="pct"/>
            <w:tcBorders>
              <w:top w:val="single" w:sz="4" w:space="0" w:color="auto"/>
              <w:left w:val="single" w:sz="4" w:space="0" w:color="auto"/>
              <w:bottom w:val="single" w:sz="4" w:space="0" w:color="auto"/>
              <w:right w:val="single" w:sz="4" w:space="0" w:color="auto"/>
            </w:tcBorders>
            <w:noWrap/>
            <w:vAlign w:val="center"/>
          </w:tcPr>
          <w:p w14:paraId="0341C0D6" w14:textId="77777777" w:rsidR="001F78D1" w:rsidRPr="009D28C0" w:rsidRDefault="001F78D1" w:rsidP="0007665F">
            <w:pPr>
              <w:jc w:val="center"/>
              <w:rPr>
                <w:color w:val="000000"/>
                <w:szCs w:val="16"/>
              </w:rPr>
            </w:pPr>
            <w:r w:rsidRPr="009D28C0">
              <w:rPr>
                <w:color w:val="000000"/>
                <w:szCs w:val="16"/>
              </w:rPr>
              <w:t>MLP</w:t>
            </w:r>
          </w:p>
        </w:tc>
        <w:tc>
          <w:tcPr>
            <w:tcW w:w="1452" w:type="pct"/>
            <w:tcBorders>
              <w:top w:val="single" w:sz="4" w:space="0" w:color="auto"/>
              <w:left w:val="single" w:sz="4" w:space="0" w:color="auto"/>
              <w:bottom w:val="single" w:sz="4" w:space="0" w:color="auto"/>
              <w:right w:val="single" w:sz="4" w:space="0" w:color="auto"/>
            </w:tcBorders>
          </w:tcPr>
          <w:p w14:paraId="0C8F86CB" w14:textId="77777777" w:rsidR="001F78D1" w:rsidRPr="00596325" w:rsidRDefault="001F78D1" w:rsidP="0007665F">
            <w:pPr>
              <w:rPr>
                <w:color w:val="000000"/>
                <w:sz w:val="16"/>
                <w:szCs w:val="12"/>
                <w:lang w:val="fr-FR"/>
              </w:rPr>
            </w:pPr>
            <w:r w:rsidRPr="00596325">
              <w:rPr>
                <w:color w:val="000000"/>
                <w:sz w:val="16"/>
                <w:szCs w:val="12"/>
                <w:lang w:val="fr-FR"/>
              </w:rPr>
              <w:t>Multi-layer perceptron</w:t>
            </w:r>
            <w:r>
              <w:rPr>
                <w:color w:val="000000"/>
                <w:sz w:val="16"/>
                <w:szCs w:val="12"/>
                <w:lang w:val="fr-FR"/>
              </w:rPr>
              <w:t xml:space="preserve"> (</w:t>
            </w:r>
            <w:proofErr w:type="spellStart"/>
            <w:r w:rsidRPr="00596325">
              <w:rPr>
                <w:color w:val="000000"/>
                <w:sz w:val="16"/>
                <w:szCs w:val="12"/>
                <w:lang w:val="fr-FR"/>
              </w:rPr>
              <w:t>Hornik</w:t>
            </w:r>
            <w:proofErr w:type="spellEnd"/>
            <w:r w:rsidRPr="00596325">
              <w:rPr>
                <w:color w:val="000000"/>
                <w:sz w:val="16"/>
                <w:szCs w:val="12"/>
                <w:lang w:val="fr-FR"/>
              </w:rPr>
              <w:t xml:space="preserve"> et al. 1989</w:t>
            </w:r>
            <w:r>
              <w:rPr>
                <w:color w:val="000000"/>
                <w:sz w:val="16"/>
                <w:szCs w:val="12"/>
                <w:lang w:val="fr-FR"/>
              </w:rPr>
              <w:t>)</w:t>
            </w:r>
          </w:p>
        </w:tc>
      </w:tr>
      <w:tr w:rsidR="001F78D1" w:rsidRPr="00C943F9" w14:paraId="75D58CE7" w14:textId="77777777" w:rsidTr="0007665F">
        <w:trPr>
          <w:trHeight w:val="300"/>
          <w:jc w:val="center"/>
        </w:trPr>
        <w:tc>
          <w:tcPr>
            <w:tcW w:w="383" w:type="pct"/>
            <w:vMerge/>
            <w:tcBorders>
              <w:left w:val="single" w:sz="4" w:space="0" w:color="auto"/>
              <w:right w:val="single" w:sz="4" w:space="0" w:color="auto"/>
            </w:tcBorders>
            <w:noWrap/>
            <w:vAlign w:val="bottom"/>
          </w:tcPr>
          <w:p w14:paraId="306D448B" w14:textId="77777777" w:rsidR="001F78D1" w:rsidRPr="00596325" w:rsidRDefault="001F78D1" w:rsidP="0007665F">
            <w:pPr>
              <w:jc w:val="center"/>
              <w:rPr>
                <w:b/>
                <w:bCs/>
                <w:color w:val="000000"/>
                <w:lang w:val="fr-FR"/>
              </w:rPr>
            </w:pPr>
          </w:p>
        </w:tc>
        <w:tc>
          <w:tcPr>
            <w:tcW w:w="1197" w:type="pct"/>
            <w:tcBorders>
              <w:top w:val="single" w:sz="4" w:space="0" w:color="auto"/>
              <w:left w:val="single" w:sz="4" w:space="0" w:color="auto"/>
              <w:bottom w:val="single" w:sz="4" w:space="0" w:color="auto"/>
              <w:right w:val="single" w:sz="4" w:space="0" w:color="auto"/>
            </w:tcBorders>
            <w:vAlign w:val="center"/>
          </w:tcPr>
          <w:p w14:paraId="6AEB464F" w14:textId="77777777" w:rsidR="001F78D1" w:rsidRPr="0063451E" w:rsidRDefault="001F78D1" w:rsidP="0007665F">
            <w:pPr>
              <w:rPr>
                <w:color w:val="000000"/>
                <w:szCs w:val="16"/>
              </w:rPr>
            </w:pPr>
            <w:r w:rsidRPr="0063451E">
              <w:rPr>
                <w:color w:val="000000"/>
                <w:szCs w:val="16"/>
              </w:rPr>
              <w:t xml:space="preserve">Ensemble size </w:t>
            </w:r>
          </w:p>
        </w:tc>
        <w:tc>
          <w:tcPr>
            <w:tcW w:w="723" w:type="pct"/>
            <w:tcBorders>
              <w:top w:val="single" w:sz="4" w:space="0" w:color="auto"/>
              <w:left w:val="single" w:sz="4" w:space="0" w:color="auto"/>
              <w:bottom w:val="single" w:sz="4" w:space="0" w:color="auto"/>
              <w:right w:val="single" w:sz="4" w:space="0" w:color="auto"/>
            </w:tcBorders>
            <w:noWrap/>
            <w:vAlign w:val="center"/>
          </w:tcPr>
          <w:p w14:paraId="5EF53F48" w14:textId="77777777" w:rsidR="001F78D1" w:rsidRPr="009D28C0" w:rsidRDefault="001F78D1" w:rsidP="0007665F">
            <w:pPr>
              <w:jc w:val="center"/>
              <w:rPr>
                <w:color w:val="000000"/>
                <w:szCs w:val="16"/>
              </w:rPr>
            </w:pPr>
            <w:r w:rsidRPr="009D28C0">
              <w:rPr>
                <w:color w:val="000000"/>
                <w:szCs w:val="16"/>
              </w:rPr>
              <w:t>12</w:t>
            </w:r>
          </w:p>
        </w:tc>
        <w:tc>
          <w:tcPr>
            <w:tcW w:w="1245" w:type="pct"/>
            <w:tcBorders>
              <w:top w:val="single" w:sz="4" w:space="0" w:color="auto"/>
              <w:left w:val="single" w:sz="4" w:space="0" w:color="auto"/>
              <w:bottom w:val="single" w:sz="4" w:space="0" w:color="auto"/>
              <w:right w:val="single" w:sz="4" w:space="0" w:color="auto"/>
            </w:tcBorders>
            <w:noWrap/>
            <w:vAlign w:val="center"/>
          </w:tcPr>
          <w:p w14:paraId="01898D4B" w14:textId="77777777" w:rsidR="001F78D1" w:rsidRPr="009D28C0" w:rsidRDefault="001F78D1" w:rsidP="0007665F">
            <w:pPr>
              <w:jc w:val="center"/>
              <w:rPr>
                <w:color w:val="000000"/>
                <w:szCs w:val="16"/>
              </w:rPr>
            </w:pPr>
            <w:r w:rsidRPr="009D28C0">
              <w:rPr>
                <w:color w:val="000000"/>
                <w:szCs w:val="16"/>
              </w:rPr>
              <w:t>12</w:t>
            </w:r>
          </w:p>
        </w:tc>
        <w:tc>
          <w:tcPr>
            <w:tcW w:w="1452" w:type="pct"/>
            <w:tcBorders>
              <w:top w:val="single" w:sz="4" w:space="0" w:color="auto"/>
              <w:left w:val="single" w:sz="4" w:space="0" w:color="auto"/>
              <w:bottom w:val="single" w:sz="4" w:space="0" w:color="auto"/>
              <w:right w:val="single" w:sz="4" w:space="0" w:color="auto"/>
            </w:tcBorders>
          </w:tcPr>
          <w:p w14:paraId="14FE2B73" w14:textId="77777777" w:rsidR="001F78D1" w:rsidRPr="008319BE" w:rsidRDefault="001F78D1" w:rsidP="0007665F">
            <w:pPr>
              <w:rPr>
                <w:color w:val="000000"/>
                <w:sz w:val="16"/>
                <w:szCs w:val="12"/>
              </w:rPr>
            </w:pPr>
            <w:r w:rsidRPr="008319BE">
              <w:rPr>
                <w:color w:val="000000"/>
                <w:sz w:val="16"/>
                <w:szCs w:val="12"/>
              </w:rPr>
              <w:t>Ensemble predictions average out any bias related to the single training instance (Aggarwal 2018).</w:t>
            </w:r>
          </w:p>
        </w:tc>
      </w:tr>
      <w:tr w:rsidR="001F78D1" w:rsidRPr="003953A0" w14:paraId="2A33C3A3" w14:textId="77777777" w:rsidTr="0007665F">
        <w:trPr>
          <w:trHeight w:val="300"/>
          <w:jc w:val="center"/>
        </w:trPr>
        <w:tc>
          <w:tcPr>
            <w:tcW w:w="383" w:type="pct"/>
            <w:vMerge/>
            <w:tcBorders>
              <w:left w:val="single" w:sz="4" w:space="0" w:color="auto"/>
              <w:right w:val="single" w:sz="4" w:space="0" w:color="auto"/>
            </w:tcBorders>
            <w:noWrap/>
            <w:vAlign w:val="bottom"/>
          </w:tcPr>
          <w:p w14:paraId="1C8B731E"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2CCC0511" w14:textId="77777777" w:rsidR="001F78D1" w:rsidRPr="0063451E" w:rsidRDefault="001F78D1" w:rsidP="0007665F">
            <w:pPr>
              <w:rPr>
                <w:color w:val="000000"/>
                <w:szCs w:val="16"/>
              </w:rPr>
            </w:pPr>
            <w:r w:rsidRPr="0063451E">
              <w:rPr>
                <w:color w:val="000000"/>
                <w:szCs w:val="16"/>
              </w:rPr>
              <w:t>Number of hidden layers</w:t>
            </w:r>
          </w:p>
        </w:tc>
        <w:tc>
          <w:tcPr>
            <w:tcW w:w="723" w:type="pct"/>
            <w:tcBorders>
              <w:top w:val="single" w:sz="4" w:space="0" w:color="auto"/>
              <w:left w:val="single" w:sz="4" w:space="0" w:color="auto"/>
              <w:bottom w:val="single" w:sz="4" w:space="0" w:color="auto"/>
              <w:right w:val="single" w:sz="4" w:space="0" w:color="auto"/>
            </w:tcBorders>
            <w:noWrap/>
            <w:vAlign w:val="center"/>
          </w:tcPr>
          <w:p w14:paraId="29EB1560" w14:textId="77777777" w:rsidR="001F78D1" w:rsidRPr="009D28C0" w:rsidRDefault="001F78D1" w:rsidP="0007665F">
            <w:pPr>
              <w:jc w:val="center"/>
              <w:rPr>
                <w:color w:val="000000"/>
                <w:szCs w:val="16"/>
              </w:rPr>
            </w:pPr>
            <w:r w:rsidRPr="009D28C0">
              <w:rPr>
                <w:color w:val="000000"/>
                <w:szCs w:val="16"/>
              </w:rPr>
              <w:t>3</w:t>
            </w:r>
          </w:p>
        </w:tc>
        <w:tc>
          <w:tcPr>
            <w:tcW w:w="1245" w:type="pct"/>
            <w:tcBorders>
              <w:top w:val="single" w:sz="4" w:space="0" w:color="auto"/>
              <w:left w:val="single" w:sz="4" w:space="0" w:color="auto"/>
              <w:bottom w:val="single" w:sz="4" w:space="0" w:color="auto"/>
              <w:right w:val="single" w:sz="4" w:space="0" w:color="auto"/>
            </w:tcBorders>
            <w:noWrap/>
            <w:vAlign w:val="center"/>
          </w:tcPr>
          <w:p w14:paraId="3A9FC031" w14:textId="77777777" w:rsidR="001F78D1" w:rsidRPr="009D28C0" w:rsidRDefault="001F78D1" w:rsidP="0007665F">
            <w:pPr>
              <w:jc w:val="center"/>
              <w:rPr>
                <w:color w:val="000000"/>
                <w:szCs w:val="16"/>
              </w:rPr>
            </w:pPr>
            <w:r w:rsidRPr="009D28C0">
              <w:rPr>
                <w:color w:val="000000"/>
                <w:szCs w:val="16"/>
              </w:rPr>
              <w:t>3</w:t>
            </w:r>
          </w:p>
        </w:tc>
        <w:tc>
          <w:tcPr>
            <w:tcW w:w="1452" w:type="pct"/>
            <w:tcBorders>
              <w:top w:val="single" w:sz="4" w:space="0" w:color="auto"/>
              <w:left w:val="single" w:sz="4" w:space="0" w:color="auto"/>
              <w:bottom w:val="single" w:sz="4" w:space="0" w:color="auto"/>
              <w:right w:val="single" w:sz="4" w:space="0" w:color="auto"/>
            </w:tcBorders>
          </w:tcPr>
          <w:p w14:paraId="1D9CFA1C" w14:textId="77777777" w:rsidR="001F78D1" w:rsidRPr="008319BE" w:rsidRDefault="001F78D1" w:rsidP="0007665F">
            <w:pPr>
              <w:rPr>
                <w:color w:val="000000"/>
                <w:sz w:val="16"/>
                <w:szCs w:val="12"/>
              </w:rPr>
            </w:pPr>
          </w:p>
        </w:tc>
      </w:tr>
      <w:tr w:rsidR="001F78D1" w:rsidRPr="003953A0" w14:paraId="6E4CF02B" w14:textId="77777777" w:rsidTr="0007665F">
        <w:trPr>
          <w:trHeight w:val="300"/>
          <w:jc w:val="center"/>
        </w:trPr>
        <w:tc>
          <w:tcPr>
            <w:tcW w:w="383" w:type="pct"/>
            <w:vMerge/>
            <w:tcBorders>
              <w:left w:val="single" w:sz="4" w:space="0" w:color="auto"/>
              <w:right w:val="single" w:sz="4" w:space="0" w:color="auto"/>
            </w:tcBorders>
            <w:noWrap/>
            <w:vAlign w:val="bottom"/>
          </w:tcPr>
          <w:p w14:paraId="1EE51849"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55E17AB7" w14:textId="77777777" w:rsidR="001F78D1" w:rsidRPr="0063451E" w:rsidRDefault="001F78D1" w:rsidP="0007665F">
            <w:pPr>
              <w:rPr>
                <w:color w:val="000000"/>
                <w:szCs w:val="16"/>
              </w:rPr>
            </w:pPr>
            <w:r w:rsidRPr="0063451E">
              <w:rPr>
                <w:color w:val="000000"/>
                <w:szCs w:val="16"/>
              </w:rPr>
              <w:t>Activation</w:t>
            </w:r>
          </w:p>
        </w:tc>
        <w:tc>
          <w:tcPr>
            <w:tcW w:w="723" w:type="pct"/>
            <w:tcBorders>
              <w:top w:val="single" w:sz="4" w:space="0" w:color="auto"/>
              <w:left w:val="single" w:sz="4" w:space="0" w:color="auto"/>
              <w:bottom w:val="single" w:sz="4" w:space="0" w:color="auto"/>
              <w:right w:val="single" w:sz="4" w:space="0" w:color="auto"/>
            </w:tcBorders>
            <w:noWrap/>
            <w:vAlign w:val="center"/>
          </w:tcPr>
          <w:p w14:paraId="462DA249" w14:textId="77777777" w:rsidR="001F78D1" w:rsidRPr="009D28C0" w:rsidRDefault="001F78D1" w:rsidP="0007665F">
            <w:pPr>
              <w:jc w:val="center"/>
              <w:rPr>
                <w:color w:val="000000"/>
                <w:szCs w:val="16"/>
              </w:rPr>
            </w:pPr>
            <w:r w:rsidRPr="009D28C0">
              <w:rPr>
                <w:color w:val="000000"/>
                <w:szCs w:val="16"/>
              </w:rPr>
              <w:t>Sigmoid</w:t>
            </w:r>
          </w:p>
        </w:tc>
        <w:tc>
          <w:tcPr>
            <w:tcW w:w="1245" w:type="pct"/>
            <w:tcBorders>
              <w:top w:val="single" w:sz="4" w:space="0" w:color="auto"/>
              <w:left w:val="single" w:sz="4" w:space="0" w:color="auto"/>
              <w:bottom w:val="single" w:sz="4" w:space="0" w:color="auto"/>
              <w:right w:val="single" w:sz="4" w:space="0" w:color="auto"/>
            </w:tcBorders>
            <w:noWrap/>
            <w:vAlign w:val="center"/>
          </w:tcPr>
          <w:p w14:paraId="5FB7A242" w14:textId="77777777" w:rsidR="001F78D1" w:rsidRPr="009D28C0" w:rsidRDefault="001F78D1" w:rsidP="0007665F">
            <w:pPr>
              <w:jc w:val="center"/>
              <w:rPr>
                <w:color w:val="000000"/>
                <w:szCs w:val="16"/>
              </w:rPr>
            </w:pPr>
            <w:r w:rsidRPr="009D28C0">
              <w:rPr>
                <w:color w:val="000000"/>
                <w:szCs w:val="16"/>
              </w:rPr>
              <w:t>Sigmoid</w:t>
            </w:r>
          </w:p>
        </w:tc>
        <w:tc>
          <w:tcPr>
            <w:tcW w:w="1452" w:type="pct"/>
            <w:tcBorders>
              <w:top w:val="single" w:sz="4" w:space="0" w:color="auto"/>
              <w:left w:val="single" w:sz="4" w:space="0" w:color="auto"/>
              <w:bottom w:val="single" w:sz="4" w:space="0" w:color="auto"/>
              <w:right w:val="single" w:sz="4" w:space="0" w:color="auto"/>
            </w:tcBorders>
          </w:tcPr>
          <w:p w14:paraId="22D8B2B8" w14:textId="77777777" w:rsidR="001F78D1" w:rsidRPr="008319BE" w:rsidRDefault="001F78D1" w:rsidP="0007665F">
            <w:pPr>
              <w:rPr>
                <w:color w:val="000000"/>
                <w:sz w:val="16"/>
                <w:szCs w:val="12"/>
              </w:rPr>
            </w:pPr>
          </w:p>
        </w:tc>
      </w:tr>
      <w:tr w:rsidR="001F78D1" w:rsidRPr="003953A0" w14:paraId="310C7FE4" w14:textId="77777777" w:rsidTr="0007665F">
        <w:trPr>
          <w:trHeight w:val="300"/>
          <w:jc w:val="center"/>
        </w:trPr>
        <w:tc>
          <w:tcPr>
            <w:tcW w:w="383" w:type="pct"/>
            <w:vMerge/>
            <w:tcBorders>
              <w:left w:val="single" w:sz="4" w:space="0" w:color="auto"/>
              <w:right w:val="single" w:sz="4" w:space="0" w:color="auto"/>
            </w:tcBorders>
            <w:noWrap/>
            <w:vAlign w:val="bottom"/>
          </w:tcPr>
          <w:p w14:paraId="18A68BB9"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484AF37A" w14:textId="77777777" w:rsidR="001F78D1" w:rsidRPr="0063451E" w:rsidRDefault="001F78D1" w:rsidP="0007665F">
            <w:pPr>
              <w:rPr>
                <w:color w:val="000000"/>
                <w:szCs w:val="16"/>
              </w:rPr>
            </w:pPr>
            <w:r>
              <w:rPr>
                <w:color w:val="000000"/>
                <w:szCs w:val="16"/>
              </w:rPr>
              <w:t>H</w:t>
            </w:r>
            <w:r w:rsidRPr="0063451E">
              <w:rPr>
                <w:color w:val="000000"/>
                <w:szCs w:val="16"/>
              </w:rPr>
              <w:t>idden units per layer</w:t>
            </w:r>
          </w:p>
        </w:tc>
        <w:tc>
          <w:tcPr>
            <w:tcW w:w="723" w:type="pct"/>
            <w:tcBorders>
              <w:top w:val="single" w:sz="4" w:space="0" w:color="auto"/>
              <w:left w:val="single" w:sz="4" w:space="0" w:color="auto"/>
              <w:bottom w:val="single" w:sz="4" w:space="0" w:color="auto"/>
              <w:right w:val="single" w:sz="4" w:space="0" w:color="auto"/>
            </w:tcBorders>
            <w:noWrap/>
            <w:vAlign w:val="center"/>
          </w:tcPr>
          <w:p w14:paraId="7E6B5CCB" w14:textId="77777777" w:rsidR="001F78D1" w:rsidRPr="009D28C0" w:rsidRDefault="001F78D1" w:rsidP="0007665F">
            <w:pPr>
              <w:jc w:val="center"/>
              <w:rPr>
                <w:color w:val="000000"/>
                <w:szCs w:val="16"/>
              </w:rPr>
            </w:pPr>
            <w:r w:rsidRPr="009D28C0">
              <w:rPr>
                <w:color w:val="000000"/>
                <w:szCs w:val="16"/>
              </w:rPr>
              <w:t>30</w:t>
            </w:r>
          </w:p>
        </w:tc>
        <w:tc>
          <w:tcPr>
            <w:tcW w:w="1245" w:type="pct"/>
            <w:tcBorders>
              <w:top w:val="single" w:sz="4" w:space="0" w:color="auto"/>
              <w:left w:val="single" w:sz="4" w:space="0" w:color="auto"/>
              <w:bottom w:val="single" w:sz="4" w:space="0" w:color="auto"/>
              <w:right w:val="single" w:sz="4" w:space="0" w:color="auto"/>
            </w:tcBorders>
            <w:noWrap/>
            <w:vAlign w:val="center"/>
          </w:tcPr>
          <w:p w14:paraId="77D3D0E7" w14:textId="77777777" w:rsidR="001F78D1" w:rsidRPr="009D28C0" w:rsidRDefault="001F78D1" w:rsidP="0007665F">
            <w:pPr>
              <w:jc w:val="center"/>
              <w:rPr>
                <w:color w:val="000000"/>
                <w:szCs w:val="16"/>
              </w:rPr>
            </w:pPr>
            <w:r w:rsidRPr="009D28C0">
              <w:rPr>
                <w:color w:val="000000"/>
                <w:szCs w:val="16"/>
              </w:rPr>
              <w:t>100</w:t>
            </w:r>
          </w:p>
        </w:tc>
        <w:tc>
          <w:tcPr>
            <w:tcW w:w="1452" w:type="pct"/>
            <w:tcBorders>
              <w:top w:val="single" w:sz="4" w:space="0" w:color="auto"/>
              <w:left w:val="single" w:sz="4" w:space="0" w:color="auto"/>
              <w:bottom w:val="single" w:sz="4" w:space="0" w:color="auto"/>
              <w:right w:val="single" w:sz="4" w:space="0" w:color="auto"/>
            </w:tcBorders>
          </w:tcPr>
          <w:p w14:paraId="1402232F" w14:textId="77777777" w:rsidR="001F78D1" w:rsidRPr="008319BE" w:rsidRDefault="001F78D1" w:rsidP="0007665F">
            <w:pPr>
              <w:jc w:val="center"/>
              <w:rPr>
                <w:color w:val="000000"/>
                <w:sz w:val="16"/>
                <w:szCs w:val="12"/>
              </w:rPr>
            </w:pPr>
          </w:p>
        </w:tc>
      </w:tr>
      <w:tr w:rsidR="001F78D1" w:rsidRPr="00C943F9" w14:paraId="398A7C43" w14:textId="77777777" w:rsidTr="0007665F">
        <w:trPr>
          <w:trHeight w:val="300"/>
          <w:jc w:val="center"/>
        </w:trPr>
        <w:tc>
          <w:tcPr>
            <w:tcW w:w="383" w:type="pct"/>
            <w:vMerge/>
            <w:tcBorders>
              <w:left w:val="single" w:sz="4" w:space="0" w:color="auto"/>
              <w:right w:val="single" w:sz="4" w:space="0" w:color="auto"/>
            </w:tcBorders>
            <w:noWrap/>
            <w:vAlign w:val="bottom"/>
          </w:tcPr>
          <w:p w14:paraId="4793220C"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728E067D" w14:textId="77777777" w:rsidR="001F78D1" w:rsidRPr="0063451E" w:rsidRDefault="001F78D1" w:rsidP="0007665F">
            <w:pPr>
              <w:rPr>
                <w:color w:val="000000"/>
                <w:szCs w:val="16"/>
              </w:rPr>
            </w:pPr>
            <w:r w:rsidRPr="0063451E">
              <w:rPr>
                <w:color w:val="000000"/>
                <w:szCs w:val="16"/>
              </w:rPr>
              <w:t xml:space="preserve">Number of epochs </w:t>
            </w:r>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4D9BEB56" w14:textId="77777777" w:rsidR="001F78D1" w:rsidRPr="009D28C0" w:rsidRDefault="001F78D1" w:rsidP="0007665F">
            <w:pPr>
              <w:jc w:val="center"/>
              <w:rPr>
                <w:color w:val="000000"/>
                <w:szCs w:val="16"/>
              </w:rPr>
            </w:pPr>
            <w:r w:rsidRPr="009D28C0">
              <w:rPr>
                <w:color w:val="000000"/>
                <w:szCs w:val="16"/>
              </w:rPr>
              <w:t>~500</w:t>
            </w:r>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71A01AE1" w14:textId="77777777" w:rsidR="001F78D1" w:rsidRPr="009D28C0" w:rsidRDefault="001F78D1" w:rsidP="0007665F">
            <w:pPr>
              <w:jc w:val="center"/>
              <w:rPr>
                <w:color w:val="000000"/>
                <w:szCs w:val="16"/>
              </w:rPr>
            </w:pPr>
            <w:r w:rsidRPr="009D28C0">
              <w:rPr>
                <w:color w:val="000000"/>
                <w:szCs w:val="16"/>
              </w:rPr>
              <w:t>~20000</w:t>
            </w:r>
          </w:p>
        </w:tc>
        <w:tc>
          <w:tcPr>
            <w:tcW w:w="1452" w:type="pct"/>
            <w:tcBorders>
              <w:top w:val="single" w:sz="4" w:space="0" w:color="auto"/>
              <w:left w:val="single" w:sz="4" w:space="0" w:color="auto"/>
              <w:bottom w:val="single" w:sz="4" w:space="0" w:color="auto"/>
              <w:right w:val="single" w:sz="4" w:space="0" w:color="auto"/>
            </w:tcBorders>
          </w:tcPr>
          <w:p w14:paraId="2634255F" w14:textId="3FE52D1F" w:rsidR="001F78D1" w:rsidRPr="008319BE" w:rsidRDefault="001F78D1" w:rsidP="0007665F">
            <w:pPr>
              <w:rPr>
                <w:color w:val="000000"/>
                <w:sz w:val="16"/>
                <w:szCs w:val="12"/>
              </w:rPr>
            </w:pPr>
            <w:r w:rsidRPr="008319BE">
              <w:rPr>
                <w:color w:val="000000"/>
                <w:sz w:val="16"/>
                <w:szCs w:val="12"/>
              </w:rPr>
              <w:t>Early stop after 100</w:t>
            </w:r>
            <w:r w:rsidR="0038726D">
              <w:rPr>
                <w:color w:val="000000"/>
                <w:sz w:val="16"/>
                <w:szCs w:val="12"/>
              </w:rPr>
              <w:t xml:space="preserve"> </w:t>
            </w:r>
            <w:r w:rsidR="0038726D" w:rsidRPr="00596325">
              <w:rPr>
                <w:sz w:val="16"/>
                <w:szCs w:val="12"/>
                <w:lang w:val="fr-FR"/>
              </w:rPr>
              <w:t>–</w:t>
            </w:r>
            <w:r w:rsidR="0038726D">
              <w:rPr>
                <w:sz w:val="16"/>
                <w:szCs w:val="12"/>
                <w:lang w:val="fr-FR"/>
              </w:rPr>
              <w:t xml:space="preserve"> </w:t>
            </w:r>
            <w:r w:rsidRPr="008319BE">
              <w:rPr>
                <w:color w:val="000000"/>
                <w:sz w:val="16"/>
                <w:szCs w:val="12"/>
              </w:rPr>
              <w:t>10000 epochs with no performance improvement on the validation set.</w:t>
            </w:r>
          </w:p>
        </w:tc>
      </w:tr>
      <w:tr w:rsidR="001F78D1" w:rsidRPr="00C33449" w14:paraId="3A16492D" w14:textId="77777777" w:rsidTr="0007665F">
        <w:trPr>
          <w:trHeight w:val="300"/>
          <w:jc w:val="center"/>
        </w:trPr>
        <w:tc>
          <w:tcPr>
            <w:tcW w:w="383" w:type="pct"/>
            <w:vMerge/>
            <w:tcBorders>
              <w:left w:val="single" w:sz="4" w:space="0" w:color="auto"/>
              <w:right w:val="single" w:sz="4" w:space="0" w:color="auto"/>
            </w:tcBorders>
            <w:noWrap/>
            <w:vAlign w:val="bottom"/>
          </w:tcPr>
          <w:p w14:paraId="10CDEC83"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46F70CB8" w14:textId="77777777" w:rsidR="001F78D1" w:rsidRPr="0063451E" w:rsidRDefault="001F78D1" w:rsidP="0007665F">
            <w:pPr>
              <w:rPr>
                <w:color w:val="000000"/>
                <w:szCs w:val="16"/>
              </w:rPr>
            </w:pPr>
            <w:r w:rsidRPr="0063451E">
              <w:rPr>
                <w:color w:val="000000"/>
                <w:szCs w:val="16"/>
              </w:rPr>
              <w:t>Optimizer</w:t>
            </w:r>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0EAFD25A" w14:textId="77777777" w:rsidR="001F78D1" w:rsidRPr="009D28C0" w:rsidRDefault="001F78D1" w:rsidP="0007665F">
            <w:pPr>
              <w:jc w:val="center"/>
              <w:rPr>
                <w:color w:val="000000"/>
                <w:szCs w:val="16"/>
              </w:rPr>
            </w:pPr>
            <w:r w:rsidRPr="009D28C0">
              <w:rPr>
                <w:color w:val="000000"/>
                <w:szCs w:val="16"/>
              </w:rPr>
              <w:t>Adam</w:t>
            </w:r>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0A258291" w14:textId="77777777" w:rsidR="001F78D1" w:rsidRPr="009D28C0" w:rsidRDefault="001F78D1" w:rsidP="0007665F">
            <w:pPr>
              <w:jc w:val="center"/>
              <w:rPr>
                <w:color w:val="000000"/>
                <w:szCs w:val="16"/>
              </w:rPr>
            </w:pPr>
            <w:r w:rsidRPr="009D28C0">
              <w:rPr>
                <w:color w:val="000000"/>
                <w:szCs w:val="16"/>
              </w:rPr>
              <w:t>SGD</w:t>
            </w:r>
          </w:p>
        </w:tc>
        <w:tc>
          <w:tcPr>
            <w:tcW w:w="1452" w:type="pct"/>
            <w:tcBorders>
              <w:top w:val="single" w:sz="4" w:space="0" w:color="auto"/>
              <w:left w:val="single" w:sz="4" w:space="0" w:color="auto"/>
              <w:bottom w:val="single" w:sz="4" w:space="0" w:color="auto"/>
              <w:right w:val="single" w:sz="4" w:space="0" w:color="auto"/>
            </w:tcBorders>
          </w:tcPr>
          <w:p w14:paraId="5C0EAD2C" w14:textId="77777777" w:rsidR="001F78D1" w:rsidRPr="00596325" w:rsidRDefault="001F78D1" w:rsidP="0007665F">
            <w:pPr>
              <w:rPr>
                <w:color w:val="000000"/>
                <w:sz w:val="16"/>
                <w:szCs w:val="12"/>
                <w:lang w:val="fr-FR"/>
              </w:rPr>
            </w:pPr>
            <w:r w:rsidRPr="00596325">
              <w:rPr>
                <w:sz w:val="16"/>
                <w:szCs w:val="12"/>
                <w:lang w:val="fr-FR"/>
              </w:rPr>
              <w:t xml:space="preserve">Adaptive Moment Estimation – </w:t>
            </w:r>
            <w:proofErr w:type="spellStart"/>
            <w:r w:rsidRPr="00596325">
              <w:rPr>
                <w:sz w:val="16"/>
                <w:szCs w:val="12"/>
                <w:lang w:val="fr-FR"/>
              </w:rPr>
              <w:t>Stochastic</w:t>
            </w:r>
            <w:proofErr w:type="spellEnd"/>
            <w:r w:rsidRPr="00596325">
              <w:rPr>
                <w:sz w:val="16"/>
                <w:szCs w:val="12"/>
                <w:lang w:val="fr-FR"/>
              </w:rPr>
              <w:t xml:space="preserve"> Gradient </w:t>
            </w:r>
            <w:proofErr w:type="spellStart"/>
            <w:r w:rsidRPr="00596325">
              <w:rPr>
                <w:sz w:val="16"/>
                <w:szCs w:val="12"/>
                <w:lang w:val="fr-FR"/>
              </w:rPr>
              <w:t>Descent</w:t>
            </w:r>
            <w:proofErr w:type="spellEnd"/>
            <w:r>
              <w:rPr>
                <w:sz w:val="16"/>
                <w:szCs w:val="12"/>
                <w:lang w:val="fr-FR"/>
              </w:rPr>
              <w:t xml:space="preserve"> </w:t>
            </w:r>
            <w:r w:rsidRPr="00596325">
              <w:rPr>
                <w:sz w:val="16"/>
                <w:szCs w:val="12"/>
                <w:lang w:val="fr-FR"/>
              </w:rPr>
              <w:t xml:space="preserve">(Fatima </w:t>
            </w:r>
            <w:proofErr w:type="gramStart"/>
            <w:r w:rsidRPr="00596325">
              <w:rPr>
                <w:sz w:val="16"/>
                <w:szCs w:val="12"/>
                <w:lang w:val="fr-FR"/>
              </w:rPr>
              <w:t>2020;</w:t>
            </w:r>
            <w:proofErr w:type="gramEnd"/>
            <w:r w:rsidRPr="00596325">
              <w:rPr>
                <w:sz w:val="16"/>
                <w:szCs w:val="12"/>
                <w:lang w:val="fr-FR"/>
              </w:rPr>
              <w:t xml:space="preserve"> </w:t>
            </w:r>
            <w:proofErr w:type="spellStart"/>
            <w:r w:rsidRPr="00596325">
              <w:rPr>
                <w:sz w:val="16"/>
                <w:szCs w:val="12"/>
                <w:lang w:val="fr-FR"/>
              </w:rPr>
              <w:t>Landro</w:t>
            </w:r>
            <w:proofErr w:type="spellEnd"/>
            <w:r w:rsidRPr="00596325">
              <w:rPr>
                <w:sz w:val="16"/>
                <w:szCs w:val="12"/>
                <w:lang w:val="fr-FR"/>
              </w:rPr>
              <w:t xml:space="preserve"> et al. 2020)</w:t>
            </w:r>
          </w:p>
        </w:tc>
      </w:tr>
      <w:tr w:rsidR="001F78D1" w:rsidRPr="00C943F9" w14:paraId="40029168" w14:textId="77777777" w:rsidTr="0007665F">
        <w:trPr>
          <w:trHeight w:val="300"/>
          <w:jc w:val="center"/>
        </w:trPr>
        <w:tc>
          <w:tcPr>
            <w:tcW w:w="383" w:type="pct"/>
            <w:vMerge/>
            <w:tcBorders>
              <w:left w:val="single" w:sz="4" w:space="0" w:color="auto"/>
              <w:right w:val="single" w:sz="4" w:space="0" w:color="auto"/>
            </w:tcBorders>
            <w:noWrap/>
            <w:vAlign w:val="bottom"/>
          </w:tcPr>
          <w:p w14:paraId="0402152C" w14:textId="77777777" w:rsidR="001F78D1" w:rsidRPr="00596325" w:rsidRDefault="001F78D1" w:rsidP="0007665F">
            <w:pPr>
              <w:jc w:val="center"/>
              <w:rPr>
                <w:b/>
                <w:bCs/>
                <w:color w:val="000000"/>
                <w:lang w:val="fr-FR"/>
              </w:rPr>
            </w:pPr>
          </w:p>
        </w:tc>
        <w:tc>
          <w:tcPr>
            <w:tcW w:w="1197" w:type="pct"/>
            <w:tcBorders>
              <w:top w:val="single" w:sz="4" w:space="0" w:color="auto"/>
              <w:left w:val="single" w:sz="4" w:space="0" w:color="auto"/>
              <w:bottom w:val="single" w:sz="4" w:space="0" w:color="auto"/>
              <w:right w:val="single" w:sz="4" w:space="0" w:color="auto"/>
            </w:tcBorders>
          </w:tcPr>
          <w:p w14:paraId="5EF2F9F2" w14:textId="77777777" w:rsidR="001F78D1" w:rsidRPr="0063451E" w:rsidRDefault="001F78D1" w:rsidP="0007665F">
            <w:pPr>
              <w:rPr>
                <w:color w:val="000000"/>
                <w:szCs w:val="16"/>
              </w:rPr>
            </w:pPr>
            <w:r w:rsidRPr="0063451E">
              <w:rPr>
                <w:color w:val="000000"/>
                <w:szCs w:val="16"/>
              </w:rPr>
              <w:t>Performance metric</w:t>
            </w:r>
          </w:p>
        </w:tc>
        <w:tc>
          <w:tcPr>
            <w:tcW w:w="723" w:type="pct"/>
            <w:tcBorders>
              <w:top w:val="single" w:sz="4" w:space="0" w:color="auto"/>
              <w:left w:val="single" w:sz="4" w:space="0" w:color="auto"/>
              <w:bottom w:val="single" w:sz="4" w:space="0" w:color="auto"/>
              <w:right w:val="single" w:sz="4" w:space="0" w:color="auto"/>
            </w:tcBorders>
            <w:noWrap/>
            <w:vAlign w:val="center"/>
            <w:hideMark/>
          </w:tcPr>
          <w:p w14:paraId="2A6BA543" w14:textId="77777777" w:rsidR="001F78D1" w:rsidRPr="009D28C0" w:rsidRDefault="001F78D1" w:rsidP="0007665F">
            <w:pPr>
              <w:jc w:val="center"/>
              <w:rPr>
                <w:color w:val="000000"/>
                <w:szCs w:val="16"/>
              </w:rPr>
            </w:pPr>
            <m:oMathPara>
              <m:oMath>
                <m:r>
                  <w:rPr>
                    <w:rFonts w:ascii="Cambria Math" w:hAnsi="Cambria Math"/>
                    <w:color w:val="000000"/>
                    <w:szCs w:val="16"/>
                  </w:rPr>
                  <m:t>MAE</m:t>
                </m:r>
              </m:oMath>
            </m:oMathPara>
          </w:p>
        </w:tc>
        <w:tc>
          <w:tcPr>
            <w:tcW w:w="1245" w:type="pct"/>
            <w:tcBorders>
              <w:top w:val="single" w:sz="4" w:space="0" w:color="auto"/>
              <w:left w:val="single" w:sz="4" w:space="0" w:color="auto"/>
              <w:bottom w:val="single" w:sz="4" w:space="0" w:color="auto"/>
              <w:right w:val="single" w:sz="4" w:space="0" w:color="auto"/>
            </w:tcBorders>
            <w:noWrap/>
            <w:vAlign w:val="center"/>
            <w:hideMark/>
          </w:tcPr>
          <w:p w14:paraId="7EAFC7D7" w14:textId="77777777" w:rsidR="001F78D1" w:rsidRDefault="001F78D1" w:rsidP="0007665F">
            <w:pPr>
              <w:jc w:val="center"/>
              <w:rPr>
                <w:color w:val="000000"/>
                <w:szCs w:val="16"/>
              </w:rPr>
            </w:pPr>
            <w:r w:rsidRPr="009D28C0">
              <w:rPr>
                <w:color w:val="000000"/>
                <w:szCs w:val="16"/>
              </w:rPr>
              <w:t>Binary cross-</w:t>
            </w:r>
          </w:p>
          <w:p w14:paraId="38926E67" w14:textId="77777777" w:rsidR="001F78D1" w:rsidRPr="009D28C0" w:rsidRDefault="001F78D1" w:rsidP="0007665F">
            <w:pPr>
              <w:jc w:val="center"/>
              <w:rPr>
                <w:color w:val="000000"/>
                <w:szCs w:val="16"/>
              </w:rPr>
            </w:pPr>
            <w:r w:rsidRPr="009D28C0">
              <w:rPr>
                <w:color w:val="000000"/>
                <w:szCs w:val="16"/>
              </w:rPr>
              <w:t>entropy</w:t>
            </w:r>
          </w:p>
        </w:tc>
        <w:tc>
          <w:tcPr>
            <w:tcW w:w="1452" w:type="pct"/>
            <w:tcBorders>
              <w:top w:val="single" w:sz="4" w:space="0" w:color="auto"/>
              <w:left w:val="single" w:sz="4" w:space="0" w:color="auto"/>
              <w:bottom w:val="single" w:sz="4" w:space="0" w:color="auto"/>
              <w:right w:val="single" w:sz="4" w:space="0" w:color="auto"/>
            </w:tcBorders>
          </w:tcPr>
          <w:p w14:paraId="64A24373" w14:textId="77777777" w:rsidR="001F78D1" w:rsidRPr="008319BE" w:rsidRDefault="001F78D1" w:rsidP="0007665F">
            <w:pPr>
              <w:rPr>
                <w:color w:val="000000"/>
                <w:sz w:val="16"/>
                <w:szCs w:val="12"/>
              </w:rPr>
            </w:pPr>
            <w:r w:rsidRPr="008319BE">
              <w:rPr>
                <w:color w:val="000000"/>
                <w:sz w:val="16"/>
                <w:szCs w:val="12"/>
              </w:rPr>
              <w:t>Mean Absolute Error</w:t>
            </w:r>
            <w:r>
              <w:rPr>
                <w:color w:val="000000"/>
                <w:sz w:val="16"/>
                <w:szCs w:val="12"/>
              </w:rPr>
              <w:t xml:space="preserve"> (</w:t>
            </w:r>
            <w:r w:rsidRPr="008319BE">
              <w:rPr>
                <w:color w:val="000000"/>
                <w:sz w:val="16"/>
                <w:szCs w:val="12"/>
              </w:rPr>
              <w:t>Wang et al. 2020</w:t>
            </w:r>
            <w:r>
              <w:rPr>
                <w:color w:val="000000"/>
                <w:sz w:val="16"/>
                <w:szCs w:val="12"/>
              </w:rPr>
              <w:t>)</w:t>
            </w:r>
          </w:p>
        </w:tc>
      </w:tr>
      <w:tr w:rsidR="001F78D1" w:rsidRPr="00C943F9" w14:paraId="2C297E0C" w14:textId="77777777" w:rsidTr="0007665F">
        <w:trPr>
          <w:trHeight w:val="300"/>
          <w:jc w:val="center"/>
        </w:trPr>
        <w:tc>
          <w:tcPr>
            <w:tcW w:w="383" w:type="pct"/>
            <w:vMerge/>
            <w:tcBorders>
              <w:left w:val="single" w:sz="4" w:space="0" w:color="auto"/>
              <w:right w:val="single" w:sz="4" w:space="0" w:color="auto"/>
            </w:tcBorders>
            <w:noWrap/>
            <w:vAlign w:val="bottom"/>
          </w:tcPr>
          <w:p w14:paraId="3D911B92"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02DB9340" w14:textId="77777777" w:rsidR="001F78D1" w:rsidRDefault="001F78D1" w:rsidP="0007665F">
            <w:pPr>
              <w:rPr>
                <w:color w:val="000000"/>
                <w:szCs w:val="16"/>
              </w:rPr>
            </w:pPr>
            <w:r>
              <w:rPr>
                <w:color w:val="000000"/>
                <w:szCs w:val="16"/>
              </w:rPr>
              <w:t xml:space="preserve">Oversampling </w:t>
            </w:r>
          </w:p>
          <w:p w14:paraId="3CAC9E3F" w14:textId="77777777" w:rsidR="001F78D1" w:rsidRPr="0063451E" w:rsidRDefault="001F78D1" w:rsidP="0007665F">
            <w:pPr>
              <w:rPr>
                <w:color w:val="000000"/>
                <w:szCs w:val="16"/>
              </w:rPr>
            </w:pPr>
            <w:r>
              <w:rPr>
                <w:color w:val="000000"/>
                <w:szCs w:val="16"/>
              </w:rPr>
              <w:t>(For imbalanced datasets)</w:t>
            </w:r>
          </w:p>
        </w:tc>
        <w:tc>
          <w:tcPr>
            <w:tcW w:w="723" w:type="pct"/>
            <w:tcBorders>
              <w:top w:val="single" w:sz="4" w:space="0" w:color="auto"/>
              <w:left w:val="single" w:sz="4" w:space="0" w:color="auto"/>
              <w:bottom w:val="single" w:sz="4" w:space="0" w:color="auto"/>
              <w:right w:val="single" w:sz="4" w:space="0" w:color="auto"/>
            </w:tcBorders>
            <w:noWrap/>
            <w:vAlign w:val="center"/>
          </w:tcPr>
          <w:p w14:paraId="453F9FDF" w14:textId="77777777" w:rsidR="001F78D1" w:rsidRPr="009D28C0" w:rsidRDefault="001F78D1" w:rsidP="0007665F">
            <w:pPr>
              <w:jc w:val="center"/>
              <w:rPr>
                <w:color w:val="000000"/>
                <w:szCs w:val="16"/>
              </w:rPr>
            </w:pPr>
            <w:r>
              <w:rPr>
                <w:color w:val="000000"/>
                <w:szCs w:val="16"/>
              </w:rPr>
              <w:t>-</w:t>
            </w:r>
          </w:p>
        </w:tc>
        <w:tc>
          <w:tcPr>
            <w:tcW w:w="1245" w:type="pct"/>
            <w:tcBorders>
              <w:top w:val="single" w:sz="4" w:space="0" w:color="auto"/>
              <w:left w:val="single" w:sz="4" w:space="0" w:color="auto"/>
              <w:bottom w:val="single" w:sz="4" w:space="0" w:color="auto"/>
              <w:right w:val="single" w:sz="4" w:space="0" w:color="auto"/>
            </w:tcBorders>
            <w:noWrap/>
            <w:vAlign w:val="center"/>
          </w:tcPr>
          <w:p w14:paraId="34E4F558" w14:textId="77777777" w:rsidR="001F78D1" w:rsidRPr="009D28C0" w:rsidRDefault="001F78D1" w:rsidP="0007665F">
            <w:pPr>
              <w:jc w:val="center"/>
              <w:rPr>
                <w:color w:val="000000"/>
                <w:szCs w:val="16"/>
              </w:rPr>
            </w:pPr>
            <w:r>
              <w:rPr>
                <w:color w:val="000000"/>
                <w:szCs w:val="16"/>
              </w:rPr>
              <w:t>SMOTE with Tomek links</w:t>
            </w:r>
          </w:p>
        </w:tc>
        <w:tc>
          <w:tcPr>
            <w:tcW w:w="1452" w:type="pct"/>
            <w:tcBorders>
              <w:top w:val="single" w:sz="4" w:space="0" w:color="auto"/>
              <w:left w:val="single" w:sz="4" w:space="0" w:color="auto"/>
              <w:bottom w:val="single" w:sz="4" w:space="0" w:color="auto"/>
              <w:right w:val="single" w:sz="4" w:space="0" w:color="auto"/>
            </w:tcBorders>
          </w:tcPr>
          <w:p w14:paraId="4EA507CF" w14:textId="7E80C02A" w:rsidR="001F78D1" w:rsidRPr="008319BE" w:rsidRDefault="001F78D1" w:rsidP="0007665F">
            <w:pPr>
              <w:rPr>
                <w:color w:val="000000"/>
                <w:sz w:val="16"/>
                <w:szCs w:val="12"/>
              </w:rPr>
            </w:pPr>
            <w:r>
              <w:rPr>
                <w:color w:val="000000"/>
                <w:sz w:val="16"/>
                <w:szCs w:val="12"/>
              </w:rPr>
              <w:t>Technique to artificially generate other positive examples in an otherwise imbalanced dataset (</w:t>
            </w:r>
            <w:r w:rsidRPr="00A25967">
              <w:rPr>
                <w:color w:val="000000"/>
                <w:sz w:val="16"/>
                <w:szCs w:val="12"/>
              </w:rPr>
              <w:t>Fernández et al. 2018</w:t>
            </w:r>
            <w:r>
              <w:rPr>
                <w:color w:val="000000"/>
                <w:sz w:val="16"/>
                <w:szCs w:val="12"/>
              </w:rPr>
              <w:t xml:space="preserve">). Our original dataset only has </w:t>
            </w:r>
            <w:r w:rsidR="00512E44">
              <w:rPr>
                <w:color w:val="000000"/>
                <w:sz w:val="16"/>
                <w:szCs w:val="12"/>
              </w:rPr>
              <w:t>~</w:t>
            </w:r>
            <w:r>
              <w:rPr>
                <w:color w:val="000000"/>
                <w:sz w:val="16"/>
                <w:szCs w:val="12"/>
              </w:rPr>
              <w:t>20% of positive examples, i.e., basins where duality apparently is not valid, which would hamper the training</w:t>
            </w:r>
            <w:r w:rsidR="003C63B6">
              <w:rPr>
                <w:color w:val="000000"/>
                <w:sz w:val="16"/>
                <w:szCs w:val="12"/>
              </w:rPr>
              <w:t xml:space="preserve">, </w:t>
            </w:r>
            <w:r>
              <w:rPr>
                <w:color w:val="000000"/>
                <w:sz w:val="16"/>
                <w:szCs w:val="12"/>
              </w:rPr>
              <w:t>result</w:t>
            </w:r>
            <w:r w:rsidR="0085458B">
              <w:rPr>
                <w:color w:val="000000"/>
                <w:sz w:val="16"/>
                <w:szCs w:val="12"/>
              </w:rPr>
              <w:t>ing</w:t>
            </w:r>
            <w:r>
              <w:rPr>
                <w:color w:val="000000"/>
                <w:sz w:val="16"/>
                <w:szCs w:val="12"/>
              </w:rPr>
              <w:t xml:space="preserve"> in a classifier that only predicts negative labels. </w:t>
            </w:r>
          </w:p>
        </w:tc>
      </w:tr>
      <w:tr w:rsidR="001F78D1" w:rsidRPr="00C943F9" w14:paraId="0FDCEC8A" w14:textId="77777777" w:rsidTr="0007665F">
        <w:trPr>
          <w:trHeight w:val="300"/>
          <w:jc w:val="center"/>
        </w:trPr>
        <w:tc>
          <w:tcPr>
            <w:tcW w:w="383" w:type="pct"/>
            <w:vMerge/>
            <w:tcBorders>
              <w:left w:val="single" w:sz="4" w:space="0" w:color="auto"/>
              <w:bottom w:val="single" w:sz="4" w:space="0" w:color="auto"/>
              <w:right w:val="single" w:sz="4" w:space="0" w:color="auto"/>
            </w:tcBorders>
            <w:noWrap/>
            <w:vAlign w:val="bottom"/>
          </w:tcPr>
          <w:p w14:paraId="4ED550C6" w14:textId="77777777" w:rsidR="001F78D1" w:rsidRPr="00E048E4" w:rsidRDefault="001F78D1" w:rsidP="0007665F">
            <w:pPr>
              <w:jc w:val="center"/>
              <w:rPr>
                <w:b/>
                <w:bCs/>
                <w:color w:val="000000"/>
              </w:rPr>
            </w:pPr>
          </w:p>
        </w:tc>
        <w:tc>
          <w:tcPr>
            <w:tcW w:w="1197" w:type="pct"/>
            <w:tcBorders>
              <w:top w:val="single" w:sz="4" w:space="0" w:color="auto"/>
              <w:left w:val="single" w:sz="4" w:space="0" w:color="auto"/>
              <w:bottom w:val="single" w:sz="4" w:space="0" w:color="auto"/>
              <w:right w:val="single" w:sz="4" w:space="0" w:color="auto"/>
            </w:tcBorders>
            <w:vAlign w:val="center"/>
          </w:tcPr>
          <w:p w14:paraId="6888A188" w14:textId="77777777" w:rsidR="001F78D1" w:rsidRPr="0063451E" w:rsidRDefault="001F78D1" w:rsidP="0007665F">
            <w:pPr>
              <w:rPr>
                <w:color w:val="000000"/>
                <w:szCs w:val="16"/>
              </w:rPr>
            </w:pPr>
            <w:r>
              <w:rPr>
                <w:color w:val="000000"/>
                <w:szCs w:val="16"/>
              </w:rPr>
              <w:t>Cost-sensitive learning (For imbalanced datasets)</w:t>
            </w:r>
          </w:p>
        </w:tc>
        <w:tc>
          <w:tcPr>
            <w:tcW w:w="723" w:type="pct"/>
            <w:tcBorders>
              <w:top w:val="single" w:sz="4" w:space="0" w:color="auto"/>
              <w:left w:val="single" w:sz="4" w:space="0" w:color="auto"/>
              <w:bottom w:val="single" w:sz="4" w:space="0" w:color="auto"/>
              <w:right w:val="single" w:sz="4" w:space="0" w:color="auto"/>
            </w:tcBorders>
            <w:noWrap/>
            <w:vAlign w:val="center"/>
          </w:tcPr>
          <w:p w14:paraId="5CA9C3EF" w14:textId="77777777" w:rsidR="001F78D1" w:rsidRPr="009D28C0" w:rsidRDefault="001F78D1" w:rsidP="0007665F">
            <w:pPr>
              <w:jc w:val="center"/>
              <w:rPr>
                <w:color w:val="000000"/>
                <w:szCs w:val="16"/>
              </w:rPr>
            </w:pPr>
            <w:r>
              <w:rPr>
                <w:color w:val="000000"/>
                <w:szCs w:val="16"/>
              </w:rPr>
              <w:t>-</w:t>
            </w:r>
          </w:p>
        </w:tc>
        <w:tc>
          <w:tcPr>
            <w:tcW w:w="1245" w:type="pct"/>
            <w:tcBorders>
              <w:top w:val="single" w:sz="4" w:space="0" w:color="auto"/>
              <w:left w:val="single" w:sz="4" w:space="0" w:color="auto"/>
              <w:bottom w:val="single" w:sz="4" w:space="0" w:color="auto"/>
              <w:right w:val="single" w:sz="4" w:space="0" w:color="auto"/>
            </w:tcBorders>
            <w:noWrap/>
            <w:vAlign w:val="center"/>
          </w:tcPr>
          <w:p w14:paraId="77CE8661" w14:textId="77777777" w:rsidR="001F78D1" w:rsidRPr="009D28C0" w:rsidRDefault="001F78D1" w:rsidP="0007665F">
            <w:pPr>
              <w:jc w:val="center"/>
              <w:rPr>
                <w:color w:val="000000"/>
                <w:szCs w:val="16"/>
              </w:rPr>
            </w:pPr>
            <w:r>
              <w:rPr>
                <w:color w:val="000000"/>
                <w:szCs w:val="16"/>
              </w:rPr>
              <w:t>Weights 1:5</w:t>
            </w:r>
          </w:p>
        </w:tc>
        <w:tc>
          <w:tcPr>
            <w:tcW w:w="1452" w:type="pct"/>
            <w:tcBorders>
              <w:top w:val="single" w:sz="4" w:space="0" w:color="auto"/>
              <w:left w:val="single" w:sz="4" w:space="0" w:color="auto"/>
              <w:bottom w:val="single" w:sz="4" w:space="0" w:color="auto"/>
              <w:right w:val="single" w:sz="4" w:space="0" w:color="auto"/>
            </w:tcBorders>
          </w:tcPr>
          <w:p w14:paraId="49064048" w14:textId="77777777" w:rsidR="001F78D1" w:rsidRPr="008319BE" w:rsidRDefault="001F78D1" w:rsidP="0007665F">
            <w:pPr>
              <w:rPr>
                <w:color w:val="000000"/>
                <w:sz w:val="16"/>
                <w:szCs w:val="12"/>
              </w:rPr>
            </w:pPr>
            <w:r>
              <w:rPr>
                <w:color w:val="000000"/>
                <w:sz w:val="16"/>
                <w:szCs w:val="12"/>
              </w:rPr>
              <w:t xml:space="preserve">Error on positive examples (false negative) are weighted 5 times more than errors on negative examples (false positive) </w:t>
            </w:r>
            <w:r w:rsidRPr="007803EB">
              <w:rPr>
                <w:color w:val="000000"/>
                <w:sz w:val="16"/>
                <w:szCs w:val="12"/>
              </w:rPr>
              <w:t>in the error function minimized during the training</w:t>
            </w:r>
            <w:r>
              <w:rPr>
                <w:color w:val="000000"/>
                <w:sz w:val="16"/>
                <w:szCs w:val="12"/>
              </w:rPr>
              <w:t>, to reduce chances of misclassification of the positive examples (</w:t>
            </w:r>
            <w:r w:rsidRPr="00A25967">
              <w:rPr>
                <w:color w:val="000000"/>
                <w:sz w:val="16"/>
                <w:szCs w:val="12"/>
              </w:rPr>
              <w:t>Fernández et al. 2018</w:t>
            </w:r>
            <w:r>
              <w:rPr>
                <w:color w:val="000000"/>
                <w:sz w:val="16"/>
                <w:szCs w:val="12"/>
              </w:rPr>
              <w:t>).</w:t>
            </w:r>
          </w:p>
        </w:tc>
      </w:tr>
    </w:tbl>
    <w:p w14:paraId="0386630A" w14:textId="77777777" w:rsidR="001F78D1" w:rsidRPr="00EF5195" w:rsidRDefault="001F78D1" w:rsidP="00EF5195">
      <w:pPr>
        <w:ind w:firstLine="720"/>
        <w:jc w:val="both"/>
        <w:rPr>
          <w:rFonts w:eastAsiaTheme="majorEastAsia"/>
          <w:sz w:val="24"/>
          <w:szCs w:val="24"/>
        </w:rPr>
      </w:pPr>
    </w:p>
    <w:p w14:paraId="7A7AE22B" w14:textId="3D5F5F52" w:rsidR="000B4199" w:rsidRPr="00EF003B" w:rsidRDefault="000B4199" w:rsidP="000B4199">
      <w:pPr>
        <w:pStyle w:val="Heading-Secondary"/>
        <w:rPr>
          <w:b/>
          <w:bCs w:val="0"/>
        </w:rPr>
      </w:pPr>
      <w:r w:rsidRPr="00EF003B">
        <w:rPr>
          <w:b/>
          <w:bCs w:val="0"/>
        </w:rPr>
        <w:t>2.</w:t>
      </w:r>
      <w:r>
        <w:rPr>
          <w:b/>
          <w:bCs w:val="0"/>
        </w:rPr>
        <w:t>5</w:t>
      </w:r>
      <w:r w:rsidRPr="00EF003B">
        <w:rPr>
          <w:b/>
          <w:bCs w:val="0"/>
        </w:rPr>
        <w:t xml:space="preserve"> </w:t>
      </w:r>
      <w:r>
        <w:rPr>
          <w:b/>
          <w:bCs w:val="0"/>
        </w:rPr>
        <w:t>D</w:t>
      </w:r>
      <w:r w:rsidR="002A0D99" w:rsidRPr="002A0D99">
        <w:rPr>
          <w:b/>
          <w:bCs w:val="0"/>
        </w:rPr>
        <w:t>escriptors of flood seasonality as a proxy for the presence of mixed populations</w:t>
      </w:r>
    </w:p>
    <w:p w14:paraId="2208F299"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The date in which a flood occurs contains information about its generating mechanism: for instance, snowmelt floods are concentrated in the springtime in the U.S., while flooding events during the summertime may be caused by, e.g., convective storms, tropical cyclones, or the monsoon phenomenon, depending on the specific geographical location (</w:t>
      </w:r>
      <w:proofErr w:type="spellStart"/>
      <w:r w:rsidRPr="006A0665">
        <w:rPr>
          <w:rFonts w:eastAsiaTheme="majorEastAsia"/>
          <w:sz w:val="24"/>
          <w:szCs w:val="24"/>
        </w:rPr>
        <w:t>Villarini</w:t>
      </w:r>
      <w:proofErr w:type="spellEnd"/>
      <w:r w:rsidRPr="006A0665">
        <w:rPr>
          <w:rFonts w:eastAsiaTheme="majorEastAsia"/>
          <w:sz w:val="24"/>
          <w:szCs w:val="24"/>
        </w:rPr>
        <w:t xml:space="preserve">, 2016). </w:t>
      </w:r>
    </w:p>
    <w:p w14:paraId="4C4FAC53" w14:textId="5F9DDB55" w:rsidR="006A0665" w:rsidRPr="006A0665" w:rsidRDefault="006A0665" w:rsidP="006A0665">
      <w:pPr>
        <w:ind w:firstLine="720"/>
        <w:jc w:val="both"/>
        <w:rPr>
          <w:rFonts w:eastAsiaTheme="majorEastAsia"/>
          <w:sz w:val="24"/>
          <w:szCs w:val="24"/>
        </w:rPr>
      </w:pPr>
      <w:proofErr w:type="spellStart"/>
      <w:r w:rsidRPr="006A0665">
        <w:rPr>
          <w:rFonts w:eastAsiaTheme="majorEastAsia"/>
          <w:sz w:val="24"/>
          <w:szCs w:val="24"/>
        </w:rPr>
        <w:t>Villarini</w:t>
      </w:r>
      <w:proofErr w:type="spellEnd"/>
      <w:r w:rsidRPr="006A0665">
        <w:rPr>
          <w:rFonts w:eastAsiaTheme="majorEastAsia"/>
          <w:sz w:val="24"/>
          <w:szCs w:val="24"/>
        </w:rPr>
        <w:t xml:space="preserve"> (2016) used circular statistics to analyze the seasonality of AM. The annual peak in year </w:t>
      </w:r>
      <m:oMath>
        <m:sSup>
          <m:sSupPr>
            <m:ctrlPr>
              <w:rPr>
                <w:rFonts w:ascii="Cambria Math" w:eastAsiaTheme="majorEastAsia" w:hAnsi="Cambria Math"/>
                <w:i/>
                <w:sz w:val="24"/>
                <w:szCs w:val="24"/>
              </w:rPr>
            </m:ctrlPr>
          </m:sSupPr>
          <m:e>
            <m:r>
              <w:rPr>
                <w:rFonts w:ascii="Cambria Math" w:eastAsiaTheme="majorEastAsia" w:hAnsi="Cambria Math"/>
                <w:sz w:val="24"/>
                <w:szCs w:val="24"/>
              </w:rPr>
              <m:t>k</m:t>
            </m:r>
          </m:e>
          <m:sup>
            <m:r>
              <w:rPr>
                <w:rFonts w:ascii="Cambria Math" w:eastAsiaTheme="majorEastAsia" w:hAnsi="Cambria Math"/>
                <w:sz w:val="24"/>
                <w:szCs w:val="24"/>
              </w:rPr>
              <m:t>th</m:t>
            </m:r>
          </m:sup>
        </m:sSup>
      </m:oMath>
      <w:r w:rsidRPr="006A0665">
        <w:rPr>
          <w:rFonts w:eastAsiaTheme="majorEastAsia"/>
          <w:sz w:val="24"/>
          <w:szCs w:val="24"/>
        </w:rPr>
        <w:t xml:space="preserve"> is represented by a vector </w:t>
      </w:r>
      <m:oMath>
        <m:sSub>
          <m:sSubPr>
            <m:ctrlPr>
              <w:rPr>
                <w:rFonts w:ascii="Cambria Math" w:eastAsiaTheme="majorEastAsia" w:hAnsi="Cambria Math"/>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AM,k</m:t>
            </m:r>
          </m:sub>
        </m:sSub>
      </m:oMath>
      <w:r w:rsidRPr="006A0665">
        <w:rPr>
          <w:rFonts w:eastAsiaTheme="majorEastAsia"/>
          <w:sz w:val="24"/>
          <w:szCs w:val="24"/>
        </w:rPr>
        <w:t xml:space="preserve"> of unit length and direction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oMath>
      <w:r w:rsidRPr="006A0665">
        <w:rPr>
          <w:rFonts w:eastAsiaTheme="majorEastAsia"/>
          <w:sz w:val="24"/>
          <w:szCs w:val="24"/>
        </w:rPr>
        <w:t xml:space="preserve"> in the complex plane (Eq. 24, with </w:t>
      </w:r>
      <m:oMath>
        <m:r>
          <w:rPr>
            <w:rFonts w:ascii="Cambria Math" w:eastAsiaTheme="majorEastAsia" w:hAnsi="Cambria Math"/>
            <w:sz w:val="24"/>
            <w:szCs w:val="24"/>
          </w:rPr>
          <m:t>i=</m:t>
        </m:r>
        <m:rad>
          <m:radPr>
            <m:degHide m:val="1"/>
            <m:ctrlPr>
              <w:rPr>
                <w:rFonts w:ascii="Cambria Math" w:eastAsiaTheme="majorEastAsia" w:hAnsi="Cambria Math"/>
                <w:i/>
                <w:sz w:val="24"/>
                <w:szCs w:val="24"/>
              </w:rPr>
            </m:ctrlPr>
          </m:radPr>
          <m:deg/>
          <m:e>
            <m:r>
              <w:rPr>
                <w:rFonts w:ascii="Cambria Math" w:eastAsiaTheme="majorEastAsia" w:hAnsi="Cambria Math"/>
                <w:sz w:val="24"/>
                <w:szCs w:val="24"/>
              </w:rPr>
              <m:t>-1</m:t>
            </m:r>
          </m:e>
        </m:rad>
      </m:oMath>
      <w:r w:rsidRPr="006A0665">
        <w:rPr>
          <w:rFonts w:eastAsiaTheme="majorEastAsia"/>
          <w:sz w:val="24"/>
          <w:szCs w:val="24"/>
        </w:rPr>
        <w:t xml:space="preserve"> ), where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oMath>
      <w:r w:rsidRPr="006A0665">
        <w:rPr>
          <w:rFonts w:eastAsiaTheme="majorEastAsia"/>
          <w:sz w:val="24"/>
          <w:szCs w:val="24"/>
        </w:rPr>
        <w:t xml:space="preserve"> corresponds to the time of year when the flood occurred (in radians, see Figure 3a-b). The vectorial sum </w:t>
      </w:r>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AM</m:t>
            </m:r>
          </m:sub>
        </m:sSub>
      </m:oMath>
      <w:r w:rsidRPr="006A0665">
        <w:rPr>
          <w:rFonts w:eastAsiaTheme="majorEastAsia"/>
          <w:sz w:val="24"/>
          <w:szCs w:val="24"/>
        </w:rPr>
        <w:t xml:space="preserve"> of vectors </w:t>
      </w:r>
      <m:oMath>
        <m:sSub>
          <m:sSubPr>
            <m:ctrlPr>
              <w:rPr>
                <w:rFonts w:ascii="Cambria Math" w:eastAsiaTheme="majorEastAsia" w:hAnsi="Cambria Math"/>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AM,k</m:t>
            </m:r>
          </m:sub>
        </m:sSub>
      </m:oMath>
      <w:r w:rsidRPr="006A0665">
        <w:rPr>
          <w:rFonts w:eastAsiaTheme="majorEastAsia"/>
          <w:sz w:val="24"/>
          <w:szCs w:val="24"/>
        </w:rPr>
        <w:t xml:space="preserve"> across multiple years (Eq. 25) represents the long-term average seasonality, which offers insights into the seasonal patterns of flood occurrence and the mechanisms that may drive them. Its module </w:t>
      </w:r>
      <m:oMath>
        <m:r>
          <w:rPr>
            <w:rFonts w:ascii="Cambria Math" w:eastAsiaTheme="majorEastAsia" w:hAnsi="Cambria Math"/>
            <w:sz w:val="24"/>
            <w:szCs w:val="24"/>
          </w:rPr>
          <m:t>|</m:t>
        </m:r>
        <m:sSub>
          <m:sSubPr>
            <m:ctrlPr>
              <w:rPr>
                <w:rFonts w:ascii="Cambria Math" w:eastAsiaTheme="majorEastAsia" w:hAnsi="Cambria Math"/>
                <w:b/>
                <w:bCs/>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ctrlPr>
              <w:rPr>
                <w:rFonts w:ascii="Cambria Math" w:eastAsiaTheme="majorEastAsia" w:hAnsi="Cambria Math"/>
                <w:i/>
                <w:sz w:val="24"/>
                <w:szCs w:val="24"/>
              </w:rPr>
            </m:ctrlPr>
          </m:e>
          <m:sub>
            <m:r>
              <w:rPr>
                <w:rFonts w:ascii="Cambria Math" w:eastAsiaTheme="majorEastAsia" w:hAnsi="Cambria Math"/>
                <w:sz w:val="24"/>
                <w:szCs w:val="24"/>
              </w:rPr>
              <m:t>AM</m:t>
            </m:r>
          </m:sub>
        </m:sSub>
        <m:r>
          <m:rPr>
            <m:sty m:val="bi"/>
          </m:rPr>
          <w:rPr>
            <w:rFonts w:ascii="Cambria Math" w:eastAsiaTheme="majorEastAsia" w:hAnsi="Cambria Math"/>
            <w:sz w:val="24"/>
            <w:szCs w:val="24"/>
          </w:rPr>
          <m:t>|</m:t>
        </m:r>
      </m:oMath>
      <w:r w:rsidRPr="006A0665">
        <w:rPr>
          <w:rFonts w:eastAsiaTheme="majorEastAsia"/>
          <w:sz w:val="24"/>
          <w:szCs w:val="24"/>
        </w:rPr>
        <w:t>,</w:t>
      </w:r>
      <w:r w:rsidRPr="006A0665">
        <w:rPr>
          <w:rFonts w:eastAsiaTheme="majorEastAsia"/>
          <w:b/>
          <w:bCs/>
          <w:sz w:val="24"/>
          <w:szCs w:val="24"/>
        </w:rPr>
        <w:t xml:space="preserve"> </w:t>
      </w:r>
      <w:r w:rsidRPr="006A0665">
        <w:rPr>
          <w:rFonts w:eastAsiaTheme="majorEastAsia"/>
          <w:sz w:val="24"/>
          <w:szCs w:val="24"/>
        </w:rPr>
        <w:t xml:space="preserve">in the interval [0; 1], is a measure of the strength of seasonality (Eq. 26). For example, if the annual vectors </w:t>
      </w:r>
      <m:oMath>
        <m:sSub>
          <m:sSubPr>
            <m:ctrlPr>
              <w:rPr>
                <w:rFonts w:ascii="Cambria Math" w:eastAsiaTheme="majorEastAsia" w:hAnsi="Cambria Math"/>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AM,k</m:t>
            </m:r>
          </m:sub>
        </m:sSub>
      </m:oMath>
      <w:r w:rsidRPr="006A0665">
        <w:rPr>
          <w:rFonts w:eastAsiaTheme="majorEastAsia"/>
          <w:sz w:val="24"/>
          <w:szCs w:val="24"/>
        </w:rPr>
        <w:t xml:space="preserve"> are clustered in the same season, </w:t>
      </w:r>
      <m:oMath>
        <m:r>
          <w:rPr>
            <w:rFonts w:ascii="Cambria Math" w:eastAsiaTheme="majorEastAsia" w:hAnsi="Cambria Math"/>
            <w:sz w:val="24"/>
            <w:szCs w:val="24"/>
          </w:rPr>
          <m:t>|</m:t>
        </m:r>
        <m:sSub>
          <m:sSubPr>
            <m:ctrlPr>
              <w:rPr>
                <w:rFonts w:ascii="Cambria Math" w:eastAsiaTheme="majorEastAsia" w:hAnsi="Cambria Math"/>
                <w:b/>
                <w:bCs/>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ctrlPr>
              <w:rPr>
                <w:rFonts w:ascii="Cambria Math" w:eastAsiaTheme="majorEastAsia" w:hAnsi="Cambria Math"/>
                <w:i/>
                <w:sz w:val="24"/>
                <w:szCs w:val="24"/>
              </w:rPr>
            </m:ctrlPr>
          </m:e>
          <m:sub>
            <m:r>
              <w:rPr>
                <w:rFonts w:ascii="Cambria Math" w:eastAsiaTheme="majorEastAsia" w:hAnsi="Cambria Math"/>
                <w:sz w:val="24"/>
                <w:szCs w:val="24"/>
              </w:rPr>
              <m:t>AM</m:t>
            </m:r>
          </m:sub>
        </m:sSub>
        <m:r>
          <m:rPr>
            <m:sty m:val="bi"/>
          </m:rPr>
          <w:rPr>
            <w:rFonts w:ascii="Cambria Math" w:eastAsiaTheme="majorEastAsia" w:hAnsi="Cambria Math"/>
            <w:sz w:val="24"/>
            <w:szCs w:val="24"/>
          </w:rPr>
          <m:t>|</m:t>
        </m:r>
      </m:oMath>
      <w:r w:rsidRPr="006A0665">
        <w:rPr>
          <w:rFonts w:eastAsiaTheme="majorEastAsia"/>
          <w:sz w:val="24"/>
          <w:szCs w:val="24"/>
        </w:rPr>
        <w:t xml:space="preserve"> will be close to 1 (Figure 2b), indicating that one single dominant mechanism is responsible for the largest floods, whereas if vectors </w:t>
      </w:r>
      <m:oMath>
        <m:sSub>
          <m:sSubPr>
            <m:ctrlPr>
              <w:rPr>
                <w:rFonts w:ascii="Cambria Math" w:eastAsiaTheme="majorEastAsia" w:hAnsi="Cambria Math"/>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AM,k</m:t>
            </m:r>
          </m:sub>
        </m:sSub>
      </m:oMath>
      <w:r w:rsidRPr="006A0665">
        <w:rPr>
          <w:rFonts w:eastAsiaTheme="majorEastAsia"/>
          <w:sz w:val="24"/>
          <w:szCs w:val="24"/>
        </w:rPr>
        <w:t xml:space="preserve"> are spread out more widely, </w:t>
      </w:r>
      <m:oMath>
        <m:r>
          <w:rPr>
            <w:rFonts w:ascii="Cambria Math" w:eastAsiaTheme="majorEastAsia" w:hAnsi="Cambria Math"/>
            <w:sz w:val="24"/>
            <w:szCs w:val="24"/>
          </w:rPr>
          <m:t>|</m:t>
        </m:r>
        <m:sSub>
          <m:sSubPr>
            <m:ctrlPr>
              <w:rPr>
                <w:rFonts w:ascii="Cambria Math" w:eastAsiaTheme="majorEastAsia" w:hAnsi="Cambria Math"/>
                <w:b/>
                <w:bCs/>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ctrlPr>
              <w:rPr>
                <w:rFonts w:ascii="Cambria Math" w:eastAsiaTheme="majorEastAsia" w:hAnsi="Cambria Math"/>
                <w:i/>
                <w:sz w:val="24"/>
                <w:szCs w:val="24"/>
              </w:rPr>
            </m:ctrlPr>
          </m:e>
          <m:sub>
            <m:r>
              <w:rPr>
                <w:rFonts w:ascii="Cambria Math" w:eastAsiaTheme="majorEastAsia" w:hAnsi="Cambria Math"/>
                <w:sz w:val="24"/>
                <w:szCs w:val="24"/>
              </w:rPr>
              <m:t>AM</m:t>
            </m:r>
          </m:sub>
        </m:sSub>
        <m:r>
          <m:rPr>
            <m:sty m:val="bi"/>
          </m:rPr>
          <w:rPr>
            <w:rFonts w:ascii="Cambria Math" w:eastAsiaTheme="majorEastAsia" w:hAnsi="Cambria Math"/>
            <w:sz w:val="24"/>
            <w:szCs w:val="24"/>
          </w:rPr>
          <m:t>|</m:t>
        </m:r>
      </m:oMath>
      <w:r w:rsidRPr="006A0665">
        <w:rPr>
          <w:rFonts w:eastAsiaTheme="majorEastAsia"/>
          <w:b/>
          <w:sz w:val="24"/>
          <w:szCs w:val="24"/>
        </w:rPr>
        <w:t xml:space="preserve"> </w:t>
      </w:r>
      <w:r w:rsidRPr="006A0665">
        <w:rPr>
          <w:rFonts w:eastAsiaTheme="majorEastAsia"/>
          <w:sz w:val="24"/>
          <w:szCs w:val="24"/>
        </w:rPr>
        <w:t xml:space="preserve">would be close to 0 (Figure 2a), suggesting the presence of multiple major mechanisms operating at different times of the year. The direction of </w:t>
      </w:r>
      <m:oMath>
        <m:sSub>
          <m:sSubPr>
            <m:ctrlPr>
              <w:rPr>
                <w:rFonts w:ascii="Cambria Math" w:eastAsiaTheme="majorEastAsia" w:hAnsi="Cambria Math"/>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AM,k</m:t>
            </m:r>
          </m:sub>
        </m:sSub>
      </m:oMath>
      <w:r w:rsidRPr="006A0665">
        <w:rPr>
          <w:rFonts w:eastAsiaTheme="majorEastAsia"/>
          <w:sz w:val="24"/>
          <w:szCs w:val="24"/>
        </w:rPr>
        <w:t xml:space="preserve">,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ϑ</m:t>
                </m:r>
              </m:e>
            </m:acc>
          </m:e>
          <m:sub>
            <m:r>
              <w:rPr>
                <w:rFonts w:ascii="Cambria Math" w:eastAsiaTheme="majorEastAsia" w:hAnsi="Cambria Math"/>
                <w:sz w:val="24"/>
                <w:szCs w:val="24"/>
              </w:rPr>
              <m:t>AM</m:t>
            </m:r>
          </m:sub>
        </m:sSub>
      </m:oMath>
      <w:r w:rsidRPr="006A0665">
        <w:rPr>
          <w:rFonts w:eastAsiaTheme="majorEastAsia"/>
          <w:sz w:val="24"/>
          <w:szCs w:val="24"/>
        </w:rPr>
        <w:t xml:space="preserve"> (Eq. 27, defined by parts to fit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oMath>
      <w:r w:rsidRPr="006A0665">
        <w:rPr>
          <w:rFonts w:eastAsiaTheme="majorEastAsia"/>
          <w:sz w:val="24"/>
          <w:szCs w:val="24"/>
        </w:rPr>
        <w:t xml:space="preserve"> in the interval [0; 2</w:t>
      </w:r>
      <m:oMath>
        <m:r>
          <w:rPr>
            <w:rFonts w:ascii="Cambria Math" w:eastAsiaTheme="majorEastAsia" w:hAnsi="Cambria Math"/>
            <w:sz w:val="24"/>
            <w:szCs w:val="24"/>
          </w:rPr>
          <m:t>π</m:t>
        </m:r>
      </m:oMath>
      <w:r w:rsidRPr="006A0665">
        <w:rPr>
          <w:rFonts w:eastAsiaTheme="majorEastAsia"/>
          <w:sz w:val="24"/>
          <w:szCs w:val="24"/>
        </w:rPr>
        <w:t xml:space="preserve">]) indicates the time of the year (in radians) when annual peaks are mostly concentrated.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6A0665" w:rsidRPr="006A0665" w14:paraId="0216C4ED" w14:textId="77777777" w:rsidTr="0007665F">
        <w:tc>
          <w:tcPr>
            <w:tcW w:w="8444" w:type="dxa"/>
            <w:vAlign w:val="bottom"/>
          </w:tcPr>
          <w:p w14:paraId="2792D6B4" w14:textId="16958954" w:rsidR="006A0665" w:rsidRPr="006A0665" w:rsidRDefault="00990971" w:rsidP="006A0665">
            <w:pPr>
              <w:ind w:firstLine="720"/>
              <w:jc w:val="both"/>
              <w:rPr>
                <w:rFonts w:eastAsiaTheme="majorEastAsia"/>
                <w:sz w:val="24"/>
                <w:szCs w:val="24"/>
              </w:rPr>
            </w:pPr>
            <m:oMathPara>
              <m:oMath>
                <m:sSub>
                  <m:sSubPr>
                    <m:ctrlPr>
                      <w:rPr>
                        <w:rFonts w:ascii="Cambria Math" w:eastAsiaTheme="majorEastAsia" w:hAnsi="Cambria Math"/>
                        <w:b/>
                        <w:bCs/>
                        <w:i/>
                        <w:sz w:val="24"/>
                        <w:szCs w:val="24"/>
                      </w:rPr>
                    </m:ctrlPr>
                  </m:sSubPr>
                  <m:e>
                    <m:r>
                      <m:rPr>
                        <m:sty m:val="bi"/>
                      </m:rPr>
                      <w:rPr>
                        <w:rFonts w:ascii="Cambria Math" w:eastAsiaTheme="majorEastAsia" w:hAnsi="Cambria Math"/>
                        <w:sz w:val="24"/>
                        <w:szCs w:val="24"/>
                      </w:rPr>
                      <m:t>z</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k</m:t>
                    </m:r>
                  </m:sub>
                </m:sSub>
                <m:r>
                  <w:rPr>
                    <w:rFonts w:ascii="Cambria Math" w:eastAsiaTheme="majorEastAsia" w:hAnsi="Cambria Math"/>
                    <w:sz w:val="24"/>
                    <w:szCs w:val="24"/>
                  </w:rPr>
                  <m:t>=</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cos</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e>
                </m:func>
                <m:r>
                  <w:rPr>
                    <w:rFonts w:ascii="Cambria Math" w:eastAsiaTheme="majorEastAsia" w:hAnsi="Cambria Math"/>
                    <w:sz w:val="24"/>
                    <w:szCs w:val="24"/>
                  </w:rPr>
                  <m:t>+</m:t>
                </m:r>
                <m:r>
                  <w:rPr>
                    <w:rFonts w:ascii="Cambria Math" w:eastAsiaTheme="majorEastAsia" w:hAnsi="Cambria Math"/>
                    <w:sz w:val="24"/>
                    <w:szCs w:val="24"/>
                  </w:rPr>
                  <m:t>i</m:t>
                </m:r>
                <m:sSub>
                  <m:sSubPr>
                    <m:ctrlPr>
                      <w:rPr>
                        <w:rFonts w:ascii="Cambria Math" w:eastAsiaTheme="majorEastAsia" w:hAnsi="Cambria Math"/>
                        <w:i/>
                        <w:sz w:val="24"/>
                        <w:szCs w:val="24"/>
                      </w:rPr>
                    </m:ctrlPr>
                  </m:sSub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sin</m:t>
                        </m:r>
                      </m:fName>
                      <m:e>
                        <m:r>
                          <w:rPr>
                            <w:rFonts w:ascii="Cambria Math" w:eastAsiaTheme="majorEastAsia" w:hAnsi="Cambria Math"/>
                            <w:sz w:val="24"/>
                            <w:szCs w:val="24"/>
                          </w:rPr>
                          <m:t>ϑ</m:t>
                        </m:r>
                      </m:e>
                    </m:func>
                  </m:e>
                  <m:sub>
                    <m:r>
                      <w:rPr>
                        <w:rFonts w:ascii="Cambria Math" w:eastAsiaTheme="majorEastAsia" w:hAnsi="Cambria Math"/>
                        <w:sz w:val="24"/>
                        <w:szCs w:val="24"/>
                      </w:rPr>
                      <m:t>k</m:t>
                    </m:r>
                  </m:sub>
                </m:sSub>
              </m:oMath>
            </m:oMathPara>
          </w:p>
        </w:tc>
        <w:tc>
          <w:tcPr>
            <w:tcW w:w="616" w:type="dxa"/>
            <w:vAlign w:val="center"/>
          </w:tcPr>
          <w:p w14:paraId="4743761B"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24</w:t>
            </w:r>
            <w:r w:rsidRPr="006A0665">
              <w:rPr>
                <w:rFonts w:eastAsiaTheme="majorEastAsia"/>
                <w:sz w:val="24"/>
                <w:szCs w:val="24"/>
              </w:rPr>
              <w:fldChar w:fldCharType="end"/>
            </w:r>
            <w:r w:rsidRPr="006A0665">
              <w:rPr>
                <w:rFonts w:eastAsiaTheme="majorEastAsia"/>
                <w:sz w:val="24"/>
                <w:szCs w:val="24"/>
              </w:rPr>
              <w:t>)</w:t>
            </w:r>
          </w:p>
        </w:tc>
      </w:tr>
    </w:tbl>
    <w:p w14:paraId="3E8D66C7" w14:textId="77777777" w:rsidR="006A0665" w:rsidRPr="006A0665" w:rsidRDefault="006A0665" w:rsidP="006A0665">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6A0665" w:rsidRPr="006A0665" w14:paraId="498298CA" w14:textId="77777777" w:rsidTr="0007665F">
        <w:tc>
          <w:tcPr>
            <w:tcW w:w="8444" w:type="dxa"/>
            <w:vAlign w:val="bottom"/>
          </w:tcPr>
          <w:p w14:paraId="51ACC05A" w14:textId="73D8C69C" w:rsidR="006A0665" w:rsidRPr="006A0665" w:rsidRDefault="00990971" w:rsidP="006A0665">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AM</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den>
                </m:f>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cos</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e>
                    </m:func>
                  </m:e>
                </m:nary>
                <m:r>
                  <w:rPr>
                    <w:rFonts w:ascii="Cambria Math" w:eastAsiaTheme="majorEastAsia" w:hAnsi="Cambria Math"/>
                    <w:sz w:val="24"/>
                    <w:szCs w:val="24"/>
                  </w:rPr>
                  <m:t>+</m:t>
                </m:r>
                <m:r>
                  <w:rPr>
                    <w:rFonts w:ascii="Cambria Math" w:eastAsiaTheme="majorEastAsia" w:hAnsi="Cambria Math"/>
                    <w:sz w:val="24"/>
                    <w:szCs w:val="24"/>
                  </w:rPr>
                  <m:t>i</m:t>
                </m:r>
                <m:f>
                  <m:fPr>
                    <m:ctrlPr>
                      <w:rPr>
                        <w:rFonts w:ascii="Cambria Math" w:eastAsiaTheme="majorEastAsia" w:hAnsi="Cambria Math"/>
                        <w:i/>
                        <w:sz w:val="24"/>
                        <w:szCs w:val="24"/>
                      </w:rPr>
                    </m:ctrlPr>
                  </m:fPr>
                  <m:num>
                    <m:r>
                      <w:rPr>
                        <w:rFonts w:ascii="Cambria Math" w:eastAsiaTheme="majorEastAsia" w:hAnsi="Cambria Math"/>
                        <w:sz w:val="24"/>
                        <w:szCs w:val="24"/>
                      </w:rPr>
                      <m:t>1</m:t>
                    </m:r>
                  </m:num>
                  <m:den>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den>
                </m:f>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sin</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k</m:t>
                            </m:r>
                          </m:sub>
                        </m:sSub>
                      </m:e>
                    </m:func>
                  </m:e>
                </m:nary>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m:t>
                </m:r>
                <m:r>
                  <w:rPr>
                    <w:rFonts w:ascii="Cambria Math" w:eastAsiaTheme="majorEastAsia" w:hAnsi="Cambria Math"/>
                    <w:sz w:val="24"/>
                    <w:szCs w:val="24"/>
                  </w:rPr>
                  <m:t>i</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oMath>
            </m:oMathPara>
          </w:p>
        </w:tc>
        <w:tc>
          <w:tcPr>
            <w:tcW w:w="616" w:type="dxa"/>
            <w:vAlign w:val="center"/>
          </w:tcPr>
          <w:p w14:paraId="6B5C284A"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25</w:t>
            </w:r>
            <w:r w:rsidRPr="006A0665">
              <w:rPr>
                <w:rFonts w:eastAsiaTheme="majorEastAsia"/>
                <w:sz w:val="24"/>
                <w:szCs w:val="24"/>
              </w:rPr>
              <w:fldChar w:fldCharType="end"/>
            </w:r>
            <w:r w:rsidRPr="006A0665">
              <w:rPr>
                <w:rFonts w:eastAsiaTheme="majorEastAsia"/>
                <w:sz w:val="24"/>
                <w:szCs w:val="24"/>
              </w:rPr>
              <w:t>)</w:t>
            </w:r>
          </w:p>
        </w:tc>
      </w:tr>
    </w:tbl>
    <w:p w14:paraId="322C6B9A" w14:textId="77777777" w:rsidR="006A0665" w:rsidRPr="006A0665" w:rsidRDefault="006A0665" w:rsidP="006A0665">
      <w:pPr>
        <w:ind w:firstLine="720"/>
        <w:jc w:val="both"/>
        <w:rPr>
          <w:rFonts w:eastAsiaTheme="majorEastAsia"/>
          <w:sz w:val="24"/>
          <w:szCs w:val="24"/>
        </w:rPr>
      </w:pPr>
    </w:p>
    <w:tbl>
      <w:tblPr>
        <w:tblStyle w:val="TableGrid"/>
        <w:tblW w:w="0" w:type="auto"/>
        <w:tblLook w:val="04A0" w:firstRow="1" w:lastRow="0" w:firstColumn="1" w:lastColumn="0" w:noHBand="0" w:noVBand="1"/>
      </w:tblPr>
      <w:tblGrid>
        <w:gridCol w:w="8024"/>
        <w:gridCol w:w="1336"/>
      </w:tblGrid>
      <w:tr w:rsidR="006A0665" w:rsidRPr="006A0665" w14:paraId="063FAEF2" w14:textId="77777777" w:rsidTr="0007665F">
        <w:tc>
          <w:tcPr>
            <w:tcW w:w="8444" w:type="dxa"/>
            <w:tcBorders>
              <w:top w:val="nil"/>
              <w:left w:val="nil"/>
              <w:bottom w:val="nil"/>
              <w:right w:val="nil"/>
            </w:tcBorders>
            <w:vAlign w:val="bottom"/>
          </w:tcPr>
          <w:p w14:paraId="6D28D433" w14:textId="088D5485" w:rsidR="006A0665" w:rsidRPr="006A0665" w:rsidRDefault="006A0665" w:rsidP="006A0665">
            <w:pPr>
              <w:ind w:firstLine="720"/>
              <w:jc w:val="both"/>
              <w:rPr>
                <w:rFonts w:eastAsiaTheme="majorEastAsia"/>
                <w:sz w:val="24"/>
                <w:szCs w:val="24"/>
              </w:rPr>
            </w:pPr>
            <m:oMathPara>
              <m:oMath>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AM</m:t>
                    </m:r>
                  </m:sub>
                </m:sSub>
                <m:r>
                  <w:rPr>
                    <w:rFonts w:ascii="Cambria Math" w:eastAsiaTheme="majorEastAsia" w:hAnsi="Cambria Math"/>
                    <w:sz w:val="24"/>
                    <w:szCs w:val="24"/>
                  </w:rPr>
                  <m:t>|=</m:t>
                </m:r>
                <m:rad>
                  <m:radPr>
                    <m:degHide m:val="1"/>
                    <m:ctrlPr>
                      <w:rPr>
                        <w:rFonts w:ascii="Cambria Math" w:eastAsiaTheme="majorEastAsia" w:hAnsi="Cambria Math"/>
                        <w:i/>
                        <w:sz w:val="24"/>
                        <w:szCs w:val="24"/>
                      </w:rPr>
                    </m:ctrlPr>
                  </m:radPr>
                  <m:deg/>
                  <m:e>
                    <m:sSup>
                      <m:sSupPr>
                        <m:ctrlPr>
                          <w:rPr>
                            <w:rFonts w:ascii="Cambria Math" w:eastAsiaTheme="majorEastAsia" w:hAnsi="Cambria Math"/>
                            <w:i/>
                            <w:sz w:val="24"/>
                            <w:szCs w:val="24"/>
                          </w:rPr>
                        </m:ctrlPr>
                      </m:sSup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AM,x</m:t>
                            </m:r>
                          </m:sub>
                        </m:sSub>
                      </m:e>
                      <m:sup>
                        <m:r>
                          <w:rPr>
                            <w:rFonts w:ascii="Cambria Math" w:eastAsiaTheme="majorEastAsia" w:hAnsi="Cambria Math"/>
                            <w:sz w:val="24"/>
                            <w:szCs w:val="24"/>
                          </w:rPr>
                          <m:t>2</m:t>
                        </m:r>
                      </m:sup>
                    </m:sSup>
                    <m:r>
                      <w:rPr>
                        <w:rFonts w:ascii="Cambria Math" w:eastAsiaTheme="majorEastAsia" w:hAnsi="Cambria Math"/>
                        <w:sz w:val="24"/>
                        <w:szCs w:val="24"/>
                      </w:rPr>
                      <m:t>+</m:t>
                    </m:r>
                    <m:sSup>
                      <m:sSupPr>
                        <m:ctrlPr>
                          <w:rPr>
                            <w:rFonts w:ascii="Cambria Math" w:eastAsiaTheme="majorEastAsia" w:hAnsi="Cambria Math"/>
                            <w:i/>
                            <w:sz w:val="24"/>
                            <w:szCs w:val="24"/>
                          </w:rPr>
                        </m:ctrlPr>
                      </m:sSup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AM,y</m:t>
                            </m:r>
                          </m:sub>
                        </m:sSub>
                      </m:e>
                      <m:sup>
                        <m:r>
                          <w:rPr>
                            <w:rFonts w:ascii="Cambria Math" w:eastAsiaTheme="majorEastAsia" w:hAnsi="Cambria Math"/>
                            <w:sz w:val="24"/>
                            <w:szCs w:val="24"/>
                          </w:rPr>
                          <m:t>2</m:t>
                        </m:r>
                      </m:sup>
                    </m:sSup>
                  </m:e>
                </m:rad>
              </m:oMath>
            </m:oMathPara>
          </w:p>
        </w:tc>
        <w:tc>
          <w:tcPr>
            <w:tcW w:w="616" w:type="dxa"/>
            <w:tcBorders>
              <w:top w:val="nil"/>
              <w:left w:val="nil"/>
              <w:bottom w:val="nil"/>
              <w:right w:val="nil"/>
            </w:tcBorders>
            <w:vAlign w:val="center"/>
          </w:tcPr>
          <w:p w14:paraId="52619FE3"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26</w:t>
            </w:r>
            <w:r w:rsidRPr="006A0665">
              <w:rPr>
                <w:rFonts w:eastAsiaTheme="majorEastAsia"/>
                <w:sz w:val="24"/>
                <w:szCs w:val="24"/>
              </w:rPr>
              <w:fldChar w:fldCharType="end"/>
            </w:r>
            <w:r w:rsidRPr="006A0665">
              <w:rPr>
                <w:rFonts w:eastAsiaTheme="majorEastAsia"/>
                <w:sz w:val="24"/>
                <w:szCs w:val="24"/>
              </w:rPr>
              <w:t>)</w:t>
            </w:r>
          </w:p>
        </w:tc>
      </w:tr>
    </w:tbl>
    <w:p w14:paraId="54272778" w14:textId="77777777" w:rsidR="006A0665" w:rsidRPr="006A0665" w:rsidRDefault="006A0665" w:rsidP="006A0665">
      <w:pPr>
        <w:ind w:firstLine="720"/>
        <w:jc w:val="both"/>
        <w:rPr>
          <w:rFonts w:eastAsiaTheme="majorEastAsi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6A0665" w:rsidRPr="006A0665" w14:paraId="2B467EB0" w14:textId="77777777" w:rsidTr="0007665F">
        <w:tc>
          <w:tcPr>
            <w:tcW w:w="8444" w:type="dxa"/>
            <w:vAlign w:val="bottom"/>
          </w:tcPr>
          <w:p w14:paraId="7D221137" w14:textId="441CCC4A" w:rsidR="006A0665" w:rsidRPr="006A0665" w:rsidRDefault="00990971" w:rsidP="006A0665">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ϑ</m:t>
                        </m:r>
                      </m:e>
                    </m:acc>
                  </m:e>
                  <m:sub>
                    <m:r>
                      <w:rPr>
                        <w:rFonts w:ascii="Cambria Math" w:eastAsiaTheme="majorEastAsia" w:hAnsi="Cambria Math"/>
                        <w:sz w:val="24"/>
                        <w:szCs w:val="24"/>
                      </w:rPr>
                      <m:t>AM</m:t>
                    </m:r>
                  </m:sub>
                </m:sSub>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eqArr>
                      <m:eqArrPr>
                        <m:ctrlPr>
                          <w:rPr>
                            <w:rFonts w:ascii="Cambria Math" w:eastAsiaTheme="majorEastAsia" w:hAnsi="Cambria Math"/>
                            <w:i/>
                            <w:sz w:val="24"/>
                            <w:szCs w:val="24"/>
                          </w:rPr>
                        </m:ctrlPr>
                      </m:eqArrPr>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arctan</m:t>
                            </m:r>
                          </m:fName>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num>
                              <m:den>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den>
                            </m:f>
                            <m:r>
                              <w:rPr>
                                <w:rFonts w:ascii="Cambria Math" w:eastAsiaTheme="majorEastAsia" w:hAnsi="Cambria Math"/>
                                <w:sz w:val="24"/>
                                <w:szCs w:val="24"/>
                              </w:rPr>
                              <m:t xml:space="preserve"> ,</m:t>
                            </m:r>
                          </m:e>
                        </m:func>
                        <m:r>
                          <w:rPr>
                            <w:rFonts w:ascii="Cambria Math" w:eastAsiaTheme="majorEastAsia" w:hAnsi="Cambria Math"/>
                            <w:sz w:val="24"/>
                            <w:szCs w:val="24"/>
                          </w:rPr>
                          <m:t xml:space="preserve">                                           </m:t>
                        </m:r>
                        <m:r>
                          <w:rPr>
                            <w:rFonts w:ascii="Cambria Math" w:eastAsiaTheme="majorEastAsia" w:hAnsi="Cambria Math"/>
                            <w:sz w:val="24"/>
                            <w:szCs w:val="24"/>
                          </w:rPr>
                          <m:t>if</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 xml:space="preserve">&gt;0 </m:t>
                        </m:r>
                      </m:e>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arctan</m:t>
                            </m:r>
                          </m:fName>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num>
                              <m:den>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den>
                            </m:f>
                          </m:e>
                        </m:func>
                        <m:r>
                          <w:rPr>
                            <w:rFonts w:ascii="Cambria Math" w:eastAsiaTheme="majorEastAsia" w:hAnsi="Cambria Math"/>
                            <w:sz w:val="24"/>
                            <w:szCs w:val="24"/>
                          </w:rPr>
                          <m:t>+</m:t>
                        </m:r>
                        <m:r>
                          <w:rPr>
                            <w:rFonts w:ascii="Cambria Math" w:eastAsiaTheme="majorEastAsia" w:hAnsi="Cambria Math"/>
                            <w:sz w:val="24"/>
                            <w:szCs w:val="24"/>
                          </w:rPr>
                          <m:t>π</m:t>
                        </m:r>
                        <m:r>
                          <w:rPr>
                            <w:rFonts w:ascii="Cambria Math" w:eastAsiaTheme="majorEastAsia" w:hAnsi="Cambria Math"/>
                            <w:sz w:val="24"/>
                            <w:szCs w:val="24"/>
                          </w:rPr>
                          <m:t xml:space="preserve"> ,  </m:t>
                        </m:r>
                        <m:r>
                          <w:rPr>
                            <w:rFonts w:ascii="Cambria Math" w:eastAsiaTheme="majorEastAsia" w:hAnsi="Cambria Math"/>
                            <w:sz w:val="24"/>
                            <w:szCs w:val="24"/>
                          </w:rPr>
                          <m:t>if</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 xml:space="preserve">&lt;0 </m:t>
                        </m:r>
                        <m:r>
                          <w:rPr>
                            <w:rFonts w:ascii="Cambria Math" w:eastAsiaTheme="majorEastAsia" w:hAnsi="Cambria Math"/>
                            <w:sz w:val="24"/>
                            <w:szCs w:val="24"/>
                          </w:rPr>
                          <m:t>and</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r>
                          <w:rPr>
                            <w:rFonts w:ascii="Cambria Math" w:eastAsiaTheme="majorEastAsia" w:hAnsi="Cambria Math"/>
                            <w:sz w:val="24"/>
                            <w:szCs w:val="24"/>
                          </w:rPr>
                          <m:t>≥0</m:t>
                        </m:r>
                      </m:e>
                      <m:e>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arctan</m:t>
                            </m:r>
                          </m:fName>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num>
                              <m:den>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den>
                            </m:f>
                          </m:e>
                        </m:func>
                        <m:r>
                          <w:rPr>
                            <w:rFonts w:ascii="Cambria Math" w:eastAsiaTheme="majorEastAsia" w:hAnsi="Cambria Math"/>
                            <w:sz w:val="24"/>
                            <w:szCs w:val="24"/>
                          </w:rPr>
                          <m:t>-</m:t>
                        </m:r>
                        <m:r>
                          <w:rPr>
                            <w:rFonts w:ascii="Cambria Math" w:eastAsiaTheme="majorEastAsia" w:hAnsi="Cambria Math"/>
                            <w:sz w:val="24"/>
                            <w:szCs w:val="24"/>
                          </w:rPr>
                          <m:t>π</m:t>
                        </m:r>
                        <m:r>
                          <w:rPr>
                            <w:rFonts w:ascii="Cambria Math" w:eastAsiaTheme="majorEastAsia" w:hAnsi="Cambria Math"/>
                            <w:sz w:val="24"/>
                            <w:szCs w:val="24"/>
                          </w:rPr>
                          <m:t xml:space="preserve"> ,  </m:t>
                        </m:r>
                        <m:r>
                          <w:rPr>
                            <w:rFonts w:ascii="Cambria Math" w:eastAsiaTheme="majorEastAsia" w:hAnsi="Cambria Math"/>
                            <w:sz w:val="24"/>
                            <w:szCs w:val="24"/>
                          </w:rPr>
                          <m:t>if</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 xml:space="preserve">&lt;0 </m:t>
                        </m:r>
                        <m:r>
                          <w:rPr>
                            <w:rFonts w:ascii="Cambria Math" w:eastAsiaTheme="majorEastAsia" w:hAnsi="Cambria Math"/>
                            <w:sz w:val="24"/>
                            <w:szCs w:val="24"/>
                          </w:rPr>
                          <m:t>and</m:t>
                        </m:r>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y</m:t>
                            </m:r>
                          </m:sub>
                        </m:sSub>
                        <m:r>
                          <w:rPr>
                            <w:rFonts w:ascii="Cambria Math" w:eastAsiaTheme="majorEastAsia" w:hAnsi="Cambria Math"/>
                            <w:sz w:val="24"/>
                            <w:szCs w:val="24"/>
                          </w:rPr>
                          <m:t>&lt;0</m:t>
                        </m:r>
                      </m:e>
                    </m:eqArr>
                  </m:e>
                </m:d>
                <m:r>
                  <w:rPr>
                    <w:rFonts w:ascii="Cambria Math" w:eastAsiaTheme="majorEastAsia" w:hAnsi="Cambria Math"/>
                    <w:sz w:val="24"/>
                    <w:szCs w:val="24"/>
                  </w:rPr>
                  <m:t xml:space="preserve"> </m:t>
                </m:r>
              </m:oMath>
            </m:oMathPara>
          </w:p>
        </w:tc>
        <w:tc>
          <w:tcPr>
            <w:tcW w:w="616" w:type="dxa"/>
            <w:vAlign w:val="center"/>
          </w:tcPr>
          <w:p w14:paraId="1EFB5708"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27</w:t>
            </w:r>
            <w:r w:rsidRPr="006A0665">
              <w:rPr>
                <w:rFonts w:eastAsiaTheme="majorEastAsia"/>
                <w:sz w:val="24"/>
                <w:szCs w:val="24"/>
              </w:rPr>
              <w:fldChar w:fldCharType="end"/>
            </w:r>
            <w:r w:rsidRPr="006A0665">
              <w:rPr>
                <w:rFonts w:eastAsiaTheme="majorEastAsia"/>
                <w:sz w:val="24"/>
                <w:szCs w:val="24"/>
              </w:rPr>
              <w:t>)</w:t>
            </w:r>
          </w:p>
        </w:tc>
      </w:tr>
    </w:tbl>
    <w:p w14:paraId="4A76E2EE" w14:textId="2ED038BC" w:rsidR="006A0665" w:rsidRDefault="006A0665" w:rsidP="006A0665">
      <w:pPr>
        <w:ind w:firstLine="720"/>
        <w:jc w:val="both"/>
        <w:rPr>
          <w:rFonts w:eastAsiaTheme="majorEastAsia"/>
          <w:sz w:val="24"/>
          <w:szCs w:val="24"/>
        </w:rPr>
      </w:pPr>
      <w:r w:rsidRPr="006A0665">
        <w:rPr>
          <w:rFonts w:eastAsiaTheme="majorEastAsia"/>
          <w:sz w:val="24"/>
          <w:szCs w:val="24"/>
        </w:rPr>
        <w:t xml:space="preserve">In </w:t>
      </w:r>
      <w:proofErr w:type="spellStart"/>
      <w:r w:rsidRPr="006A0665">
        <w:rPr>
          <w:rFonts w:eastAsiaTheme="majorEastAsia"/>
          <w:sz w:val="24"/>
          <w:szCs w:val="24"/>
        </w:rPr>
        <w:t>Eqs</w:t>
      </w:r>
      <w:proofErr w:type="spellEnd"/>
      <w:r w:rsidRPr="006A0665">
        <w:rPr>
          <w:rFonts w:eastAsiaTheme="majorEastAsia"/>
          <w:sz w:val="24"/>
          <w:szCs w:val="24"/>
        </w:rPr>
        <w:t xml:space="preserve">. 25–27,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AM,x</m:t>
            </m:r>
          </m:sub>
        </m:sSub>
      </m:oMath>
      <w:r w:rsidRPr="006A0665">
        <w:rPr>
          <w:rFonts w:eastAsiaTheme="majorEastAsia"/>
          <w:sz w:val="24"/>
          <w:szCs w:val="24"/>
        </w:rPr>
        <w:t xml:space="preserve"> and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AM,y</m:t>
            </m:r>
          </m:sub>
        </m:sSub>
      </m:oMath>
      <w:r w:rsidRPr="006A0665">
        <w:rPr>
          <w:rFonts w:eastAsiaTheme="majorEastAsia"/>
          <w:sz w:val="24"/>
          <w:szCs w:val="24"/>
        </w:rPr>
        <w:t xml:space="preserve"> represent the real and imaginary component of </w:t>
      </w:r>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AM</m:t>
            </m:r>
          </m:sub>
        </m:sSub>
      </m:oMath>
      <w:r w:rsidRPr="006A0665">
        <w:rPr>
          <w:rFonts w:eastAsiaTheme="majorEastAsia"/>
          <w:sz w:val="24"/>
          <w:szCs w:val="24"/>
        </w:rPr>
        <w:t>, respectively</w:t>
      </w:r>
      <w:r w:rsidR="00102FAF">
        <w:rPr>
          <w:rFonts w:eastAsiaTheme="majorEastAsia"/>
          <w:sz w:val="24"/>
          <w:szCs w:val="24"/>
        </w:rPr>
        <w:t xml:space="preserve">, </w:t>
      </w:r>
      <w:r w:rsidR="00207EB3">
        <w:rPr>
          <w:rFonts w:eastAsiaTheme="majorEastAsia"/>
          <w:sz w:val="24"/>
          <w:szCs w:val="24"/>
        </w:rPr>
        <w:t>while</w:t>
      </w:r>
      <w:r w:rsidRPr="006A0665">
        <w:rPr>
          <w:rFonts w:eastAsiaTheme="majorEastAsia"/>
          <w:sz w:val="24"/>
          <w:szCs w:val="24"/>
        </w:rPr>
        <w:t xml:space="preserv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oMath>
      <w:r w:rsidRPr="006A0665">
        <w:rPr>
          <w:rFonts w:eastAsiaTheme="majorEastAsia"/>
          <w:sz w:val="24"/>
          <w:szCs w:val="24"/>
        </w:rPr>
        <w:t xml:space="preserve"> the number of years of record.</w:t>
      </w:r>
    </w:p>
    <w:p w14:paraId="79A1A71C" w14:textId="77777777" w:rsidR="00DD3DEC" w:rsidRDefault="00DD3DEC" w:rsidP="006A0665">
      <w:pPr>
        <w:ind w:firstLine="720"/>
        <w:jc w:val="both"/>
        <w:rPr>
          <w:rFonts w:eastAsiaTheme="majorEastAsia"/>
          <w:sz w:val="24"/>
          <w:szCs w:val="24"/>
        </w:rPr>
      </w:pPr>
    </w:p>
    <w:p w14:paraId="72E8CF28" w14:textId="4EE64742" w:rsidR="00DD3DEC" w:rsidRPr="006A0665" w:rsidRDefault="00FA2704" w:rsidP="00FA2704">
      <w:pPr>
        <w:jc w:val="both"/>
        <w:rPr>
          <w:rFonts w:eastAsiaTheme="majorEastAsia"/>
          <w:sz w:val="24"/>
          <w:szCs w:val="24"/>
        </w:rPr>
      </w:pPr>
      <w:r>
        <w:rPr>
          <w:rFonts w:eastAsiaTheme="majorEastAsia"/>
          <w:noProof/>
          <w:sz w:val="24"/>
          <w:szCs w:val="24"/>
        </w:rPr>
        <w:lastRenderedPageBreak/>
        <w:drawing>
          <wp:inline distT="0" distB="0" distL="0" distR="0" wp14:anchorId="5AAECE96" wp14:editId="120B7041">
            <wp:extent cx="5816600" cy="8222579"/>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stretch>
                      <a:fillRect/>
                    </a:stretch>
                  </pic:blipFill>
                  <pic:spPr bwMode="auto">
                    <a:xfrm>
                      <a:off x="0" y="0"/>
                      <a:ext cx="5816600" cy="8222579"/>
                    </a:xfrm>
                    <a:prstGeom prst="rect">
                      <a:avLst/>
                    </a:prstGeom>
                    <a:noFill/>
                    <a:ln>
                      <a:noFill/>
                    </a:ln>
                  </pic:spPr>
                </pic:pic>
              </a:graphicData>
            </a:graphic>
          </wp:inline>
        </w:drawing>
      </w:r>
    </w:p>
    <w:p w14:paraId="5FA41D41" w14:textId="09650C65" w:rsidR="00B2051D" w:rsidRDefault="00B2051D" w:rsidP="00B2051D">
      <w:pPr>
        <w:pStyle w:val="FigureorTableCaption"/>
        <w:ind w:firstLine="720"/>
      </w:pPr>
      <w:r>
        <w:rPr>
          <w:b/>
        </w:rPr>
        <w:lastRenderedPageBreak/>
        <w:t>Figure</w:t>
      </w:r>
      <w:r w:rsidRPr="007443BB">
        <w:rPr>
          <w:b/>
        </w:rPr>
        <w:t xml:space="preserve"> </w:t>
      </w:r>
      <w:r>
        <w:rPr>
          <w:b/>
        </w:rPr>
        <w:t>2</w:t>
      </w:r>
      <w:r>
        <w:t xml:space="preserve">. </w:t>
      </w:r>
      <w:r w:rsidRPr="00B2051D">
        <w:t>Descriptors of a-b) AM-, c-d) POT-, and e-f) FF-seasonality, for two USGS stations. The column on the left shows a case of low seasonality, as peaks are evenly spread within the year. The case on the right shows a basin with high flood seasonality, concentrated in the Spring season (May and June).</w:t>
      </w:r>
    </w:p>
    <w:p w14:paraId="62CD9CD9" w14:textId="77777777" w:rsidR="00B2051D" w:rsidRDefault="00B2051D" w:rsidP="00464C93">
      <w:pPr>
        <w:ind w:firstLine="720"/>
        <w:jc w:val="both"/>
        <w:rPr>
          <w:rFonts w:eastAsiaTheme="majorEastAsia"/>
          <w:b/>
          <w:bCs/>
          <w:sz w:val="24"/>
          <w:szCs w:val="24"/>
        </w:rPr>
      </w:pPr>
    </w:p>
    <w:p w14:paraId="4DEC98C1" w14:textId="22BCB653" w:rsidR="006A0665" w:rsidRPr="006A0665" w:rsidRDefault="006A0665" w:rsidP="006A0665">
      <w:pPr>
        <w:ind w:firstLine="720"/>
        <w:jc w:val="both"/>
        <w:rPr>
          <w:rFonts w:eastAsiaTheme="majorEastAsia"/>
          <w:sz w:val="24"/>
          <w:szCs w:val="24"/>
        </w:rPr>
      </w:pPr>
      <w:r w:rsidRPr="006A0665">
        <w:rPr>
          <w:rFonts w:eastAsiaTheme="majorEastAsia"/>
          <w:sz w:val="24"/>
          <w:szCs w:val="24"/>
        </w:rPr>
        <w:t xml:space="preserve">This approach can provide insights into the climatic mechanisms behind AM floods, but it does not account for other relevant floods that may occur in the same or in other seasons. Hence, we introduce two other measures of flood seasonality, namely the POT seasonality and the FF seasonality, both derived from the POT series. In the former (Figure 2c-d), each POT from the </w:t>
      </w:r>
      <m:oMath>
        <m:sSup>
          <m:sSupPr>
            <m:ctrlPr>
              <w:rPr>
                <w:rFonts w:ascii="Cambria Math" w:eastAsiaTheme="majorEastAsia" w:hAnsi="Cambria Math"/>
                <w:i/>
                <w:sz w:val="24"/>
                <w:szCs w:val="24"/>
              </w:rPr>
            </m:ctrlPr>
          </m:sSupPr>
          <m:e>
            <m:r>
              <w:rPr>
                <w:rFonts w:ascii="Cambria Math" w:eastAsiaTheme="majorEastAsia" w:hAnsi="Cambria Math"/>
                <w:sz w:val="24"/>
                <w:szCs w:val="24"/>
              </w:rPr>
              <m:t>k</m:t>
            </m:r>
          </m:e>
          <m:sup>
            <m:r>
              <w:rPr>
                <w:rFonts w:ascii="Cambria Math" w:eastAsiaTheme="majorEastAsia" w:hAnsi="Cambria Math"/>
                <w:sz w:val="24"/>
                <w:szCs w:val="24"/>
              </w:rPr>
              <m:t>th</m:t>
            </m:r>
          </m:sup>
        </m:sSup>
      </m:oMath>
      <w:r w:rsidRPr="006A0665">
        <w:rPr>
          <w:rFonts w:eastAsiaTheme="majorEastAsia"/>
          <w:sz w:val="24"/>
          <w:szCs w:val="24"/>
        </w:rPr>
        <w:t xml:space="preserve"> year is scaled by the corresponding AM, so that all floods contribute to the overall seasonality proportionally to their relative magnitude, as compared to the annual peak (Eq. 28). </w:t>
      </w: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POT,k</m:t>
            </m:r>
          </m:sub>
        </m:sSub>
      </m:oMath>
      <w:r w:rsidRPr="006A0665">
        <w:rPr>
          <w:rFonts w:eastAsiaTheme="majorEastAsia"/>
          <w:sz w:val="24"/>
          <w:szCs w:val="24"/>
        </w:rPr>
        <w:t xml:space="preserve"> is the number of POTs in the </w:t>
      </w:r>
      <m:oMath>
        <m:sSup>
          <m:sSupPr>
            <m:ctrlPr>
              <w:rPr>
                <w:rFonts w:ascii="Cambria Math" w:eastAsiaTheme="majorEastAsia" w:hAnsi="Cambria Math"/>
                <w:i/>
                <w:sz w:val="24"/>
                <w:szCs w:val="24"/>
              </w:rPr>
            </m:ctrlPr>
          </m:sSupPr>
          <m:e>
            <m:r>
              <w:rPr>
                <w:rFonts w:ascii="Cambria Math" w:eastAsiaTheme="majorEastAsia" w:hAnsi="Cambria Math"/>
                <w:sz w:val="24"/>
                <w:szCs w:val="24"/>
              </w:rPr>
              <m:t>k</m:t>
            </m:r>
          </m:e>
          <m:sup>
            <m:r>
              <w:rPr>
                <w:rFonts w:ascii="Cambria Math" w:eastAsiaTheme="majorEastAsia" w:hAnsi="Cambria Math"/>
                <w:sz w:val="24"/>
                <w:szCs w:val="24"/>
              </w:rPr>
              <m:t>th</m:t>
            </m:r>
          </m:sup>
        </m:sSup>
      </m:oMath>
      <w:r w:rsidRPr="006A0665">
        <w:rPr>
          <w:rFonts w:eastAsiaTheme="majorEastAsia"/>
          <w:sz w:val="24"/>
          <w:szCs w:val="24"/>
        </w:rPr>
        <w:t xml:space="preserve"> year, while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AM,k</m:t>
            </m:r>
          </m:sub>
        </m:sSub>
      </m:oMath>
      <w:r w:rsidRPr="006A0665">
        <w:rPr>
          <w:rFonts w:eastAsiaTheme="majorEastAsia"/>
          <w:sz w:val="24"/>
          <w:szCs w:val="24"/>
        </w:rPr>
        <w:t xml:space="preserve"> is its annual flood.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j,k</m:t>
            </m:r>
          </m:sub>
        </m:sSub>
      </m:oMath>
      <w:r w:rsidRPr="006A0665">
        <w:rPr>
          <w:rFonts w:eastAsiaTheme="majorEastAsia"/>
          <w:sz w:val="24"/>
          <w:szCs w:val="24"/>
        </w:rPr>
        <w:t xml:space="preserve"> is the </w:t>
      </w:r>
      <m:oMath>
        <m:sSup>
          <m:sSupPr>
            <m:ctrlPr>
              <w:rPr>
                <w:rFonts w:ascii="Cambria Math" w:eastAsiaTheme="majorEastAsia" w:hAnsi="Cambria Math"/>
                <w:i/>
                <w:sz w:val="24"/>
                <w:szCs w:val="24"/>
              </w:rPr>
            </m:ctrlPr>
          </m:sSupPr>
          <m:e>
            <m:r>
              <w:rPr>
                <w:rFonts w:ascii="Cambria Math" w:eastAsiaTheme="majorEastAsia" w:hAnsi="Cambria Math"/>
                <w:sz w:val="24"/>
                <w:szCs w:val="24"/>
              </w:rPr>
              <m:t>j</m:t>
            </m:r>
          </m:e>
          <m:sup>
            <m:r>
              <w:rPr>
                <w:rFonts w:ascii="Cambria Math" w:eastAsiaTheme="majorEastAsia" w:hAnsi="Cambria Math"/>
                <w:sz w:val="24"/>
                <w:szCs w:val="24"/>
              </w:rPr>
              <m:t>th</m:t>
            </m:r>
          </m:sup>
        </m:sSup>
      </m:oMath>
      <w:r w:rsidRPr="006A0665">
        <w:rPr>
          <w:rFonts w:eastAsiaTheme="majorEastAsia"/>
          <w:sz w:val="24"/>
          <w:szCs w:val="24"/>
        </w:rPr>
        <w:t xml:space="preserve"> POT in year </w:t>
      </w:r>
      <m:oMath>
        <m:sSup>
          <m:sSupPr>
            <m:ctrlPr>
              <w:rPr>
                <w:rFonts w:ascii="Cambria Math" w:eastAsiaTheme="majorEastAsia" w:hAnsi="Cambria Math"/>
                <w:i/>
                <w:sz w:val="24"/>
                <w:szCs w:val="24"/>
              </w:rPr>
            </m:ctrlPr>
          </m:sSupPr>
          <m:e>
            <m:r>
              <w:rPr>
                <w:rFonts w:ascii="Cambria Math" w:eastAsiaTheme="majorEastAsia" w:hAnsi="Cambria Math"/>
                <w:sz w:val="24"/>
                <w:szCs w:val="24"/>
              </w:rPr>
              <m:t>k</m:t>
            </m:r>
          </m:e>
          <m:sup>
            <m:r>
              <w:rPr>
                <w:rFonts w:ascii="Cambria Math" w:eastAsiaTheme="majorEastAsia" w:hAnsi="Cambria Math"/>
                <w:sz w:val="24"/>
                <w:szCs w:val="24"/>
              </w:rPr>
              <m:t>th</m:t>
            </m:r>
          </m:sup>
        </m:sSup>
      </m:oMath>
      <w:r w:rsidRPr="006A0665">
        <w:rPr>
          <w:rFonts w:eastAsiaTheme="majorEastAsia"/>
          <w:sz w:val="24"/>
          <w:szCs w:val="24"/>
        </w:rPr>
        <w:t xml:space="preserve">, while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j,k</m:t>
            </m:r>
          </m:sub>
        </m:sSub>
      </m:oMath>
      <w:r w:rsidRPr="006A0665">
        <w:rPr>
          <w:rFonts w:eastAsiaTheme="majorEastAsia"/>
          <w:sz w:val="24"/>
          <w:szCs w:val="24"/>
        </w:rPr>
        <w:t xml:space="preserve"> is the time of the year when it occurred.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6A0665" w:rsidRPr="006A0665" w14:paraId="58E04C19" w14:textId="77777777" w:rsidTr="0007665F">
        <w:tc>
          <w:tcPr>
            <w:tcW w:w="8444" w:type="dxa"/>
            <w:vAlign w:val="bottom"/>
          </w:tcPr>
          <w:p w14:paraId="08AD0B38" w14:textId="610CFC6C" w:rsidR="006A0665" w:rsidRPr="006A0665" w:rsidRDefault="00990971" w:rsidP="006A0665">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POT</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k</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k</m:t>
                                    </m:r>
                                  </m:sub>
                                </m:sSub>
                              </m:den>
                            </m:f>
                            <m:r>
                              <w:rPr>
                                <w:rFonts w:ascii="Cambria Math" w:eastAsiaTheme="majorEastAsia" w:hAnsi="Cambria Math"/>
                                <w:sz w:val="24"/>
                                <w:szCs w:val="24"/>
                              </w:rPr>
                              <m:t xml:space="preserve"> </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cos</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e>
                            </m:func>
                          </m:e>
                        </m:nary>
                      </m:e>
                    </m:nary>
                  </m:num>
                  <m:den>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k</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k</m:t>
                                    </m:r>
                                  </m:sub>
                                </m:sSub>
                              </m:den>
                            </m:f>
                            <m:r>
                              <w:rPr>
                                <w:rFonts w:ascii="Cambria Math" w:eastAsiaTheme="majorEastAsia" w:hAnsi="Cambria Math"/>
                                <w:sz w:val="24"/>
                                <w:szCs w:val="24"/>
                              </w:rPr>
                              <m:t xml:space="preserve"> </m:t>
                            </m:r>
                          </m:e>
                        </m:nary>
                      </m:e>
                    </m:nary>
                  </m:den>
                </m:f>
                <m:r>
                  <w:rPr>
                    <w:rFonts w:ascii="Cambria Math" w:eastAsiaTheme="majorEastAsia" w:hAnsi="Cambria Math"/>
                    <w:sz w:val="24"/>
                    <w:szCs w:val="24"/>
                  </w:rPr>
                  <m:t>+</m:t>
                </m:r>
                <m:r>
                  <w:rPr>
                    <w:rFonts w:ascii="Cambria Math" w:eastAsiaTheme="majorEastAsia" w:hAnsi="Cambria Math"/>
                    <w:sz w:val="24"/>
                    <w:szCs w:val="24"/>
                  </w:rPr>
                  <m:t>i</m:t>
                </m:r>
                <m:f>
                  <m:fPr>
                    <m:ctrlPr>
                      <w:rPr>
                        <w:rFonts w:ascii="Cambria Math" w:eastAsiaTheme="majorEastAsia" w:hAnsi="Cambria Math"/>
                        <w:i/>
                        <w:sz w:val="24"/>
                        <w:szCs w:val="24"/>
                      </w:rPr>
                    </m:ctrlPr>
                  </m:fPr>
                  <m:num>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k</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k</m:t>
                                    </m:r>
                                  </m:sub>
                                </m:sSub>
                              </m:den>
                            </m:f>
                            <m:r>
                              <w:rPr>
                                <w:rFonts w:ascii="Cambria Math" w:eastAsiaTheme="majorEastAsia" w:hAnsi="Cambria Math"/>
                                <w:sz w:val="24"/>
                                <w:szCs w:val="24"/>
                              </w:rPr>
                              <m:t xml:space="preserve"> </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sin</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e>
                            </m:func>
                          </m:e>
                        </m:nary>
                      </m:e>
                    </m:nary>
                  </m:num>
                  <m:den>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k</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years</m:t>
                            </m:r>
                          </m:sub>
                        </m:sSub>
                      </m:sup>
                      <m:e>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k</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j</m:t>
                                    </m:r>
                                    <m:r>
                                      <w:rPr>
                                        <w:rFonts w:ascii="Cambria Math" w:eastAsiaTheme="majorEastAsia" w:hAnsi="Cambria Math"/>
                                        <w:sz w:val="24"/>
                                        <w:szCs w:val="24"/>
                                      </w:rPr>
                                      <m:t>,</m:t>
                                    </m:r>
                                    <m:r>
                                      <w:rPr>
                                        <w:rFonts w:ascii="Cambria Math" w:eastAsiaTheme="majorEastAsia" w:hAnsi="Cambria Math"/>
                                        <w:sz w:val="24"/>
                                        <w:szCs w:val="24"/>
                                      </w:rPr>
                                      <m:t>k</m:t>
                                    </m:r>
                                  </m:sub>
                                </m:sSub>
                              </m:num>
                              <m:den>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AM</m:t>
                                    </m:r>
                                    <m:r>
                                      <w:rPr>
                                        <w:rFonts w:ascii="Cambria Math" w:eastAsiaTheme="majorEastAsia" w:hAnsi="Cambria Math"/>
                                        <w:sz w:val="24"/>
                                        <w:szCs w:val="24"/>
                                      </w:rPr>
                                      <m:t>,</m:t>
                                    </m:r>
                                    <m:r>
                                      <w:rPr>
                                        <w:rFonts w:ascii="Cambria Math" w:eastAsiaTheme="majorEastAsia" w:hAnsi="Cambria Math"/>
                                        <w:sz w:val="24"/>
                                        <w:szCs w:val="24"/>
                                      </w:rPr>
                                      <m:t>k</m:t>
                                    </m:r>
                                  </m:sub>
                                </m:sSub>
                              </m:den>
                            </m:f>
                            <m:r>
                              <w:rPr>
                                <w:rFonts w:ascii="Cambria Math" w:eastAsiaTheme="majorEastAsia" w:hAnsi="Cambria Math"/>
                                <w:sz w:val="24"/>
                                <w:szCs w:val="24"/>
                              </w:rPr>
                              <m:t xml:space="preserve"> </m:t>
                            </m:r>
                          </m:e>
                        </m:nary>
                      </m:e>
                    </m:nary>
                  </m:den>
                </m:f>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m:t>
                </m:r>
                <m:r>
                  <w:rPr>
                    <w:rFonts w:ascii="Cambria Math" w:eastAsiaTheme="majorEastAsia" w:hAnsi="Cambria Math"/>
                    <w:sz w:val="24"/>
                    <w:szCs w:val="24"/>
                  </w:rPr>
                  <m:t>i</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POT</m:t>
                    </m:r>
                    <m:r>
                      <w:rPr>
                        <w:rFonts w:ascii="Cambria Math" w:eastAsiaTheme="majorEastAsia" w:hAnsi="Cambria Math"/>
                        <w:sz w:val="24"/>
                        <w:szCs w:val="24"/>
                      </w:rPr>
                      <m:t>,</m:t>
                    </m:r>
                    <m:r>
                      <w:rPr>
                        <w:rFonts w:ascii="Cambria Math" w:eastAsiaTheme="majorEastAsia" w:hAnsi="Cambria Math"/>
                        <w:sz w:val="24"/>
                        <w:szCs w:val="24"/>
                      </w:rPr>
                      <m:t>y</m:t>
                    </m:r>
                  </m:sub>
                </m:sSub>
              </m:oMath>
            </m:oMathPara>
          </w:p>
        </w:tc>
        <w:tc>
          <w:tcPr>
            <w:tcW w:w="616" w:type="dxa"/>
            <w:vAlign w:val="center"/>
          </w:tcPr>
          <w:p w14:paraId="7194146B"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28</w:t>
            </w:r>
            <w:r w:rsidRPr="006A0665">
              <w:rPr>
                <w:rFonts w:eastAsiaTheme="majorEastAsia"/>
                <w:sz w:val="24"/>
                <w:szCs w:val="24"/>
              </w:rPr>
              <w:fldChar w:fldCharType="end"/>
            </w:r>
            <w:r w:rsidRPr="006A0665">
              <w:rPr>
                <w:rFonts w:eastAsiaTheme="majorEastAsia"/>
                <w:sz w:val="24"/>
                <w:szCs w:val="24"/>
              </w:rPr>
              <w:t>)</w:t>
            </w:r>
          </w:p>
        </w:tc>
      </w:tr>
    </w:tbl>
    <w:p w14:paraId="2FD44568" w14:textId="394CEFFD" w:rsidR="006A0665" w:rsidRPr="006A0665" w:rsidRDefault="007F0873" w:rsidP="006A0665">
      <w:pPr>
        <w:ind w:firstLine="720"/>
        <w:jc w:val="both"/>
        <w:rPr>
          <w:rFonts w:eastAsiaTheme="majorEastAsia"/>
          <w:sz w:val="24"/>
          <w:szCs w:val="24"/>
        </w:rPr>
      </w:pPr>
      <w:r>
        <w:rPr>
          <w:sz w:val="24"/>
          <w:szCs w:val="24"/>
        </w:rPr>
        <w:t xml:space="preserve">POT seasonality indices </w:t>
      </w:r>
      <m:oMath>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POT</m:t>
            </m:r>
          </m:sub>
        </m:sSub>
        <m:r>
          <w:rPr>
            <w:rFonts w:ascii="Cambria Math" w:eastAsiaTheme="majorEastAsia" w:hAnsi="Cambria Math"/>
            <w:sz w:val="24"/>
            <w:szCs w:val="24"/>
          </w:rPr>
          <m:t>|</m:t>
        </m:r>
      </m:oMath>
      <w:r w:rsidR="006A0665" w:rsidRPr="006A0665">
        <w:rPr>
          <w:rFonts w:eastAsiaTheme="majorEastAsia"/>
          <w:sz w:val="24"/>
          <w:szCs w:val="24"/>
        </w:rPr>
        <w:t xml:space="preserve"> and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ϑ</m:t>
                </m:r>
              </m:e>
            </m:acc>
          </m:e>
          <m:sub>
            <m:r>
              <w:rPr>
                <w:rFonts w:ascii="Cambria Math" w:eastAsiaTheme="majorEastAsia" w:hAnsi="Cambria Math"/>
                <w:sz w:val="24"/>
                <w:szCs w:val="24"/>
              </w:rPr>
              <m:t>POT</m:t>
            </m:r>
          </m:sub>
        </m:sSub>
      </m:oMath>
      <w:r w:rsidR="006A0665" w:rsidRPr="006A0665">
        <w:rPr>
          <w:rFonts w:eastAsiaTheme="majorEastAsia"/>
          <w:sz w:val="24"/>
          <w:szCs w:val="24"/>
        </w:rPr>
        <w:t xml:space="preserve"> are obtained replacing the components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POT,x</m:t>
            </m:r>
          </m:sub>
        </m:sSub>
      </m:oMath>
      <w:r w:rsidR="006A0665" w:rsidRPr="006A0665">
        <w:rPr>
          <w:rFonts w:eastAsiaTheme="majorEastAsia"/>
          <w:sz w:val="24"/>
          <w:szCs w:val="24"/>
        </w:rPr>
        <w:t xml:space="preserve"> and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POT,y</m:t>
            </m:r>
          </m:sub>
        </m:sSub>
        <m:r>
          <w:rPr>
            <w:rFonts w:ascii="Cambria Math" w:eastAsiaTheme="majorEastAsia" w:hAnsi="Cambria Math"/>
            <w:sz w:val="24"/>
            <w:szCs w:val="24"/>
          </w:rPr>
          <m:t xml:space="preserve"> </m:t>
        </m:r>
      </m:oMath>
      <w:r w:rsidR="006A0665" w:rsidRPr="006A0665">
        <w:rPr>
          <w:rFonts w:eastAsiaTheme="majorEastAsia"/>
          <w:sz w:val="24"/>
          <w:szCs w:val="24"/>
        </w:rPr>
        <w:t xml:space="preserve">of </w:t>
      </w:r>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POT</m:t>
            </m:r>
          </m:sub>
        </m:sSub>
      </m:oMath>
      <w:r w:rsidR="006A0665" w:rsidRPr="006A0665">
        <w:rPr>
          <w:rFonts w:eastAsiaTheme="majorEastAsia"/>
          <w:sz w:val="24"/>
          <w:szCs w:val="24"/>
        </w:rPr>
        <w:t xml:space="preserve"> in Eqs. 26 and 27, respectively. </w:t>
      </w:r>
    </w:p>
    <w:p w14:paraId="7D7776F3" w14:textId="69626201" w:rsidR="006A0665" w:rsidRPr="006A0665" w:rsidRDefault="006A0665" w:rsidP="006A0665">
      <w:pPr>
        <w:ind w:firstLine="720"/>
        <w:jc w:val="both"/>
        <w:rPr>
          <w:rFonts w:eastAsiaTheme="majorEastAsia"/>
          <w:sz w:val="24"/>
          <w:szCs w:val="24"/>
        </w:rPr>
      </w:pPr>
      <w:r w:rsidRPr="006A0665">
        <w:rPr>
          <w:rFonts w:eastAsiaTheme="majorEastAsia"/>
          <w:sz w:val="24"/>
          <w:szCs w:val="24"/>
        </w:rPr>
        <w:t xml:space="preserve">For the FF seasonality (Figure 2e-f), all POTs equal or larger than the reference frequent flood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oMath>
      <w:r w:rsidRPr="006A0665">
        <w:rPr>
          <w:rFonts w:eastAsiaTheme="majorEastAsia"/>
          <w:sz w:val="24"/>
          <w:szCs w:val="24"/>
        </w:rPr>
        <w:t xml:space="preserve">, considered herein as the 2-year event,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POT</m:t>
            </m:r>
          </m:sub>
        </m:sSub>
        <m:r>
          <w:rPr>
            <w:rFonts w:ascii="Cambria Math" w:eastAsiaTheme="majorEastAsia" w:hAnsi="Cambria Math"/>
            <w:sz w:val="24"/>
            <w:szCs w:val="24"/>
          </w:rPr>
          <m:t>(T=2)</m:t>
        </m:r>
      </m:oMath>
      <w:r w:rsidRPr="006A0665">
        <w:rPr>
          <w:rFonts w:eastAsiaTheme="majorEastAsia"/>
          <w:sz w:val="24"/>
          <w:szCs w:val="24"/>
        </w:rPr>
        <w:t xml:space="preserve">, are represented by a unit vector (like the annual maxima in Eq. 24) and therefore weighted in the same way, while smaller events in the PDS are suitably scaled by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oMath>
      <w:r w:rsidRPr="006A0665">
        <w:rPr>
          <w:rFonts w:eastAsiaTheme="majorEastAsia"/>
          <w:sz w:val="24"/>
          <w:szCs w:val="24"/>
        </w:rPr>
        <w:t xml:space="preserve"> so as to decrease their importance in the overall seasonality (Eq. 29). In this way, information about both major, but rare events, as well as frequent smaller floods, is incorporated into the seasonality indices, and the choice of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oMath>
      <w:r w:rsidRPr="006A0665">
        <w:rPr>
          <w:rFonts w:eastAsiaTheme="majorEastAsia"/>
          <w:sz w:val="24"/>
          <w:szCs w:val="24"/>
        </w:rPr>
        <w:t xml:space="preserve"> defines the lower bound for the range of flood sizes considered with full weight.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6A0665" w:rsidRPr="006A0665" w14:paraId="739A6C7E" w14:textId="77777777" w:rsidTr="0007665F">
        <w:tc>
          <w:tcPr>
            <w:tcW w:w="8444" w:type="dxa"/>
            <w:vAlign w:val="bottom"/>
          </w:tcPr>
          <w:p w14:paraId="6B1B561D" w14:textId="33BC67DA" w:rsidR="006A0665" w:rsidRPr="006A0665" w:rsidRDefault="00990971" w:rsidP="006A0665">
            <w:pPr>
              <w:ind w:firstLine="720"/>
              <w:jc w:val="both"/>
              <w:rPr>
                <w:rFonts w:eastAsiaTheme="majorEastAsia"/>
                <w:sz w:val="24"/>
                <w:szCs w:val="24"/>
              </w:rPr>
            </w:pPr>
            <m:oMathPara>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FF</m:t>
                    </m:r>
                  </m:sub>
                </m:sSub>
                <m:r>
                  <w:rPr>
                    <w:rFonts w:ascii="Cambria Math" w:eastAsiaTheme="majorEastAsia" w:hAnsi="Cambria Math"/>
                    <w:sz w:val="24"/>
                    <w:szCs w:val="24"/>
                  </w:rPr>
                  <m:t>=</m:t>
                </m:r>
                <m:f>
                  <m:fPr>
                    <m:ctrlPr>
                      <w:rPr>
                        <w:rFonts w:ascii="Cambria Math" w:eastAsiaTheme="majorEastAsia" w:hAnsi="Cambria Math"/>
                        <w:i/>
                        <w:sz w:val="24"/>
                        <w:szCs w:val="24"/>
                      </w:rPr>
                    </m:ctrlPr>
                  </m:fPr>
                  <m:num>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m</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num>
                          <m:den>
                            <m:r>
                              <m:rPr>
                                <m:sty m:val="p"/>
                              </m:rPr>
                              <w:rPr>
                                <w:rFonts w:ascii="Cambria Math" w:eastAsiaTheme="majorEastAsia" w:hAnsi="Cambria Math"/>
                                <w:sz w:val="24"/>
                                <w:szCs w:val="24"/>
                              </w:rPr>
                              <m:t>max⁡</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r>
                              <w:rPr>
                                <w:rFonts w:ascii="Cambria Math" w:eastAsiaTheme="majorEastAsia" w:hAnsi="Cambria Math"/>
                                <w:sz w:val="24"/>
                                <w:szCs w:val="24"/>
                              </w:rPr>
                              <m:t>]</m:t>
                            </m:r>
                          </m:den>
                        </m:f>
                        <m:r>
                          <w:rPr>
                            <w:rFonts w:ascii="Cambria Math" w:eastAsiaTheme="majorEastAsia" w:hAnsi="Cambria Math"/>
                            <w:sz w:val="24"/>
                            <w:szCs w:val="24"/>
                          </w:rPr>
                          <m:t xml:space="preserve"> </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cos</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m</m:t>
                                </m:r>
                              </m:sub>
                            </m:sSub>
                          </m:e>
                        </m:func>
                      </m:e>
                    </m:nary>
                  </m:num>
                  <m:den>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num>
                          <m:den>
                            <m:r>
                              <m:rPr>
                                <m:sty m:val="p"/>
                              </m:rPr>
                              <w:rPr>
                                <w:rFonts w:ascii="Cambria Math" w:eastAsiaTheme="majorEastAsia" w:hAnsi="Cambria Math"/>
                                <w:sz w:val="24"/>
                                <w:szCs w:val="24"/>
                              </w:rPr>
                              <m:t>max⁡</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r>
                              <w:rPr>
                                <w:rFonts w:ascii="Cambria Math" w:eastAsiaTheme="majorEastAsia" w:hAnsi="Cambria Math"/>
                                <w:sz w:val="24"/>
                                <w:szCs w:val="24"/>
                              </w:rPr>
                              <m:t>]</m:t>
                            </m:r>
                          </m:den>
                        </m:f>
                        <m:r>
                          <w:rPr>
                            <w:rFonts w:ascii="Cambria Math" w:eastAsiaTheme="majorEastAsia" w:hAnsi="Cambria Math"/>
                            <w:sz w:val="24"/>
                            <w:szCs w:val="24"/>
                          </w:rPr>
                          <m:t xml:space="preserve"> </m:t>
                        </m:r>
                      </m:e>
                    </m:nary>
                  </m:den>
                </m:f>
                <m:r>
                  <w:rPr>
                    <w:rFonts w:ascii="Cambria Math" w:eastAsiaTheme="majorEastAsia" w:hAnsi="Cambria Math"/>
                    <w:sz w:val="24"/>
                    <w:szCs w:val="24"/>
                  </w:rPr>
                  <m:t>+</m:t>
                </m:r>
                <m:r>
                  <w:rPr>
                    <w:rFonts w:ascii="Cambria Math" w:eastAsiaTheme="majorEastAsia" w:hAnsi="Cambria Math"/>
                    <w:sz w:val="24"/>
                    <w:szCs w:val="24"/>
                  </w:rPr>
                  <m:t>i</m:t>
                </m:r>
                <m:f>
                  <m:fPr>
                    <m:ctrlPr>
                      <w:rPr>
                        <w:rFonts w:ascii="Cambria Math" w:eastAsiaTheme="majorEastAsia" w:hAnsi="Cambria Math"/>
                        <w:i/>
                        <w:sz w:val="24"/>
                        <w:szCs w:val="24"/>
                      </w:rPr>
                    </m:ctrlPr>
                  </m:fPr>
                  <m:num>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m</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num>
                          <m:den>
                            <m:r>
                              <m:rPr>
                                <m:sty m:val="p"/>
                              </m:rPr>
                              <w:rPr>
                                <w:rFonts w:ascii="Cambria Math" w:eastAsiaTheme="majorEastAsia" w:hAnsi="Cambria Math"/>
                                <w:sz w:val="24"/>
                                <w:szCs w:val="24"/>
                              </w:rPr>
                              <m:t>max⁡</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r>
                              <w:rPr>
                                <w:rFonts w:ascii="Cambria Math" w:eastAsiaTheme="majorEastAsia" w:hAnsi="Cambria Math"/>
                                <w:sz w:val="24"/>
                                <w:szCs w:val="24"/>
                              </w:rPr>
                              <m:t>]</m:t>
                            </m:r>
                          </m:den>
                        </m:f>
                        <m:r>
                          <w:rPr>
                            <w:rFonts w:ascii="Cambria Math" w:eastAsiaTheme="majorEastAsia" w:hAnsi="Cambria Math"/>
                            <w:sz w:val="24"/>
                            <w:szCs w:val="24"/>
                          </w:rPr>
                          <m:t xml:space="preserve"> </m:t>
                        </m:r>
                        <m:func>
                          <m:funcPr>
                            <m:ctrlPr>
                              <w:rPr>
                                <w:rFonts w:ascii="Cambria Math" w:eastAsiaTheme="majorEastAsia" w:hAnsi="Cambria Math"/>
                                <w:i/>
                                <w:sz w:val="24"/>
                                <w:szCs w:val="24"/>
                              </w:rPr>
                            </m:ctrlPr>
                          </m:funcPr>
                          <m:fName>
                            <m:r>
                              <m:rPr>
                                <m:sty m:val="p"/>
                              </m:rPr>
                              <w:rPr>
                                <w:rFonts w:ascii="Cambria Math" w:eastAsiaTheme="majorEastAsia" w:hAnsi="Cambria Math"/>
                                <w:sz w:val="24"/>
                                <w:szCs w:val="24"/>
                              </w:rPr>
                              <m:t>sin</m:t>
                            </m:r>
                          </m:fName>
                          <m:e>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m</m:t>
                                </m:r>
                              </m:sub>
                            </m:sSub>
                          </m:e>
                        </m:func>
                      </m:e>
                    </m:nary>
                  </m:num>
                  <m:den>
                    <m:nary>
                      <m:naryPr>
                        <m:chr m:val="∑"/>
                        <m:limLoc m:val="undOvr"/>
                        <m:ctrlPr>
                          <w:rPr>
                            <w:rFonts w:ascii="Cambria Math" w:eastAsiaTheme="majorEastAsia" w:hAnsi="Cambria Math"/>
                            <w:i/>
                            <w:sz w:val="24"/>
                            <w:szCs w:val="24"/>
                          </w:rPr>
                        </m:ctrlPr>
                      </m:naryPr>
                      <m:sub>
                        <m:r>
                          <w:rPr>
                            <w:rFonts w:ascii="Cambria Math" w:eastAsiaTheme="majorEastAsia" w:hAnsi="Cambria Math"/>
                            <w:sz w:val="24"/>
                            <w:szCs w:val="24"/>
                          </w:rPr>
                          <m:t>j</m:t>
                        </m:r>
                        <m:r>
                          <w:rPr>
                            <w:rFonts w:ascii="Cambria Math" w:eastAsiaTheme="majorEastAsia" w:hAnsi="Cambria Math"/>
                            <w:sz w:val="24"/>
                            <w:szCs w:val="24"/>
                          </w:rPr>
                          <m:t>=1</m:t>
                        </m:r>
                      </m:sub>
                      <m:sup>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sub>
                        </m:sSub>
                      </m:sup>
                      <m:e>
                        <m:f>
                          <m:fPr>
                            <m:ctrlPr>
                              <w:rPr>
                                <w:rFonts w:ascii="Cambria Math" w:eastAsiaTheme="majorEastAsia" w:hAnsi="Cambria Math"/>
                                <w:i/>
                                <w:sz w:val="24"/>
                                <w:szCs w:val="24"/>
                              </w:rPr>
                            </m:ctrlPr>
                          </m:fPr>
                          <m:num>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num>
                          <m:den>
                            <m:r>
                              <m:rPr>
                                <m:sty m:val="p"/>
                              </m:rPr>
                              <w:rPr>
                                <w:rFonts w:ascii="Cambria Math" w:eastAsiaTheme="majorEastAsia" w:hAnsi="Cambria Math"/>
                                <w:sz w:val="24"/>
                                <w:szCs w:val="24"/>
                              </w:rPr>
                              <m:t>max⁡</m:t>
                            </m:r>
                            <m:r>
                              <w:rPr>
                                <w:rFonts w:ascii="Cambria Math" w:eastAsiaTheme="majorEastAsia" w:hAnsi="Cambria Math"/>
                                <w:sz w:val="24"/>
                                <w:szCs w:val="24"/>
                              </w:rPr>
                              <m:t>[</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r>
                              <w:rPr>
                                <w:rFonts w:ascii="Cambria Math" w:eastAsiaTheme="majorEastAsia" w:hAnsi="Cambria Math"/>
                                <w:sz w:val="24"/>
                                <w:szCs w:val="24"/>
                              </w:rPr>
                              <m:t xml:space="preserve">, </m:t>
                            </m:r>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r>
                              <w:rPr>
                                <w:rFonts w:ascii="Cambria Math" w:eastAsiaTheme="majorEastAsia" w:hAnsi="Cambria Math"/>
                                <w:sz w:val="24"/>
                                <w:szCs w:val="24"/>
                              </w:rPr>
                              <m:t>]</m:t>
                            </m:r>
                          </m:den>
                        </m:f>
                        <m:r>
                          <w:rPr>
                            <w:rFonts w:ascii="Cambria Math" w:eastAsiaTheme="majorEastAsia" w:hAnsi="Cambria Math"/>
                            <w:sz w:val="24"/>
                            <w:szCs w:val="24"/>
                          </w:rPr>
                          <m:t xml:space="preserve"> </m:t>
                        </m:r>
                      </m:e>
                    </m:nary>
                  </m:den>
                </m:f>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FF</m:t>
                    </m:r>
                    <m:r>
                      <w:rPr>
                        <w:rFonts w:ascii="Cambria Math" w:eastAsiaTheme="majorEastAsia" w:hAnsi="Cambria Math"/>
                        <w:sz w:val="24"/>
                        <w:szCs w:val="24"/>
                      </w:rPr>
                      <m:t>,</m:t>
                    </m:r>
                    <m:r>
                      <w:rPr>
                        <w:rFonts w:ascii="Cambria Math" w:eastAsiaTheme="majorEastAsia" w:hAnsi="Cambria Math"/>
                        <w:sz w:val="24"/>
                        <w:szCs w:val="24"/>
                      </w:rPr>
                      <m:t>x</m:t>
                    </m:r>
                  </m:sub>
                </m:sSub>
                <m:r>
                  <w:rPr>
                    <w:rFonts w:ascii="Cambria Math" w:eastAsiaTheme="majorEastAsia" w:hAnsi="Cambria Math"/>
                    <w:sz w:val="24"/>
                    <w:szCs w:val="24"/>
                  </w:rPr>
                  <m:t>+</m:t>
                </m:r>
                <m:r>
                  <w:rPr>
                    <w:rFonts w:ascii="Cambria Math" w:eastAsiaTheme="majorEastAsia" w:hAnsi="Cambria Math"/>
                    <w:sz w:val="24"/>
                    <w:szCs w:val="24"/>
                  </w:rPr>
                  <m:t>i</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FF</m:t>
                    </m:r>
                    <m:r>
                      <w:rPr>
                        <w:rFonts w:ascii="Cambria Math" w:eastAsiaTheme="majorEastAsia" w:hAnsi="Cambria Math"/>
                        <w:sz w:val="24"/>
                        <w:szCs w:val="24"/>
                      </w:rPr>
                      <m:t>,</m:t>
                    </m:r>
                    <m:r>
                      <w:rPr>
                        <w:rFonts w:ascii="Cambria Math" w:eastAsiaTheme="majorEastAsia" w:hAnsi="Cambria Math"/>
                        <w:sz w:val="24"/>
                        <w:szCs w:val="24"/>
                      </w:rPr>
                      <m:t>y</m:t>
                    </m:r>
                  </m:sub>
                </m:sSub>
              </m:oMath>
            </m:oMathPara>
          </w:p>
        </w:tc>
        <w:tc>
          <w:tcPr>
            <w:tcW w:w="616" w:type="dxa"/>
            <w:vAlign w:val="center"/>
          </w:tcPr>
          <w:p w14:paraId="12C390E5"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w:t>
            </w:r>
            <w:r w:rsidRPr="006A0665">
              <w:rPr>
                <w:rFonts w:eastAsiaTheme="majorEastAsia"/>
                <w:sz w:val="24"/>
                <w:szCs w:val="24"/>
              </w:rPr>
              <w:fldChar w:fldCharType="begin"/>
            </w:r>
            <w:r w:rsidRPr="006A0665">
              <w:rPr>
                <w:rFonts w:eastAsiaTheme="majorEastAsia"/>
                <w:sz w:val="24"/>
                <w:szCs w:val="24"/>
              </w:rPr>
              <w:instrText xml:space="preserve"> SEQ Equazione \* ARABIC </w:instrText>
            </w:r>
            <w:r w:rsidRPr="006A0665">
              <w:rPr>
                <w:rFonts w:eastAsiaTheme="majorEastAsia"/>
                <w:sz w:val="24"/>
                <w:szCs w:val="24"/>
              </w:rPr>
              <w:fldChar w:fldCharType="separate"/>
            </w:r>
            <w:r w:rsidRPr="006A0665">
              <w:rPr>
                <w:rFonts w:eastAsiaTheme="majorEastAsia"/>
                <w:sz w:val="24"/>
                <w:szCs w:val="24"/>
              </w:rPr>
              <w:t>29</w:t>
            </w:r>
            <w:r w:rsidRPr="006A0665">
              <w:rPr>
                <w:rFonts w:eastAsiaTheme="majorEastAsia"/>
                <w:sz w:val="24"/>
                <w:szCs w:val="24"/>
              </w:rPr>
              <w:fldChar w:fldCharType="end"/>
            </w:r>
            <w:r w:rsidRPr="006A0665">
              <w:rPr>
                <w:rFonts w:eastAsiaTheme="majorEastAsia"/>
                <w:sz w:val="24"/>
                <w:szCs w:val="24"/>
              </w:rPr>
              <w:t>)</w:t>
            </w:r>
          </w:p>
        </w:tc>
      </w:tr>
    </w:tbl>
    <w:p w14:paraId="06410CAC" w14:textId="1925F27B" w:rsidR="006A0665" w:rsidRPr="006A0665" w:rsidRDefault="00990971" w:rsidP="006A0665">
      <w:pPr>
        <w:ind w:firstLine="720"/>
        <w:jc w:val="both"/>
        <w:rPr>
          <w:rFonts w:eastAsiaTheme="majorEastAsia"/>
          <w:sz w:val="24"/>
          <w:szCs w:val="24"/>
        </w:rPr>
      </w:pPr>
      <m:oMath>
        <m:sSub>
          <m:sSubPr>
            <m:ctrlPr>
              <w:rPr>
                <w:rFonts w:ascii="Cambria Math" w:eastAsiaTheme="majorEastAsia" w:hAnsi="Cambria Math"/>
                <w:i/>
                <w:sz w:val="24"/>
                <w:szCs w:val="24"/>
              </w:rPr>
            </m:ctrlPr>
          </m:sSubPr>
          <m:e>
            <m:r>
              <w:rPr>
                <w:rFonts w:ascii="Cambria Math" w:eastAsiaTheme="majorEastAsia" w:hAnsi="Cambria Math"/>
                <w:sz w:val="24"/>
                <w:szCs w:val="24"/>
              </w:rPr>
              <m:t>N</m:t>
            </m:r>
          </m:e>
          <m:sub>
            <m:r>
              <w:rPr>
                <w:rFonts w:ascii="Cambria Math" w:eastAsiaTheme="majorEastAsia" w:hAnsi="Cambria Math"/>
                <w:sz w:val="24"/>
                <w:szCs w:val="24"/>
              </w:rPr>
              <m:t>POT</m:t>
            </m:r>
          </m:sub>
        </m:sSub>
      </m:oMath>
      <w:r w:rsidR="006A0665" w:rsidRPr="006A0665">
        <w:rPr>
          <w:rFonts w:eastAsiaTheme="majorEastAsia"/>
          <w:sz w:val="24"/>
          <w:szCs w:val="24"/>
        </w:rPr>
        <w:t xml:space="preserve"> is the number of POTs in the PDS,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m</m:t>
            </m:r>
          </m:sub>
        </m:sSub>
      </m:oMath>
      <w:r w:rsidR="006A0665" w:rsidRPr="006A0665">
        <w:rPr>
          <w:rFonts w:eastAsiaTheme="majorEastAsia"/>
          <w:sz w:val="24"/>
          <w:szCs w:val="24"/>
        </w:rPr>
        <w:t xml:space="preserve"> is the </w:t>
      </w:r>
      <m:oMath>
        <m:sSup>
          <m:sSupPr>
            <m:ctrlPr>
              <w:rPr>
                <w:rFonts w:ascii="Cambria Math" w:eastAsiaTheme="majorEastAsia" w:hAnsi="Cambria Math"/>
                <w:i/>
                <w:sz w:val="24"/>
                <w:szCs w:val="24"/>
              </w:rPr>
            </m:ctrlPr>
          </m:sSupPr>
          <m:e>
            <m:r>
              <w:rPr>
                <w:rFonts w:ascii="Cambria Math" w:eastAsiaTheme="majorEastAsia" w:hAnsi="Cambria Math"/>
                <w:sz w:val="24"/>
                <w:szCs w:val="24"/>
              </w:rPr>
              <m:t>m</m:t>
            </m:r>
          </m:e>
          <m:sup>
            <m:r>
              <w:rPr>
                <w:rFonts w:ascii="Cambria Math" w:eastAsiaTheme="majorEastAsia" w:hAnsi="Cambria Math"/>
                <w:sz w:val="24"/>
                <w:szCs w:val="24"/>
              </w:rPr>
              <m:t>t</m:t>
            </m:r>
            <m:r>
              <w:rPr>
                <w:rFonts w:ascii="Cambria Math" w:eastAsiaTheme="majorEastAsia" w:hAnsi="Cambria Math"/>
                <w:sz w:val="24"/>
                <w:szCs w:val="24"/>
              </w:rPr>
              <m:t>h</m:t>
            </m:r>
          </m:sup>
        </m:sSup>
      </m:oMath>
      <w:r w:rsidR="006A0665" w:rsidRPr="006A0665">
        <w:rPr>
          <w:rFonts w:eastAsiaTheme="majorEastAsia"/>
          <w:sz w:val="24"/>
          <w:szCs w:val="24"/>
        </w:rPr>
        <w:t xml:space="preserve"> POT of the series, and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ϑ</m:t>
            </m:r>
          </m:e>
          <m:sub>
            <m:r>
              <w:rPr>
                <w:rFonts w:ascii="Cambria Math" w:eastAsiaTheme="majorEastAsia" w:hAnsi="Cambria Math"/>
                <w:sz w:val="24"/>
                <w:szCs w:val="24"/>
              </w:rPr>
              <m:t>m</m:t>
            </m:r>
          </m:sub>
        </m:sSub>
      </m:oMath>
      <w:r w:rsidR="006A0665" w:rsidRPr="006A0665">
        <w:rPr>
          <w:rFonts w:eastAsiaTheme="majorEastAsia"/>
          <w:sz w:val="24"/>
          <w:szCs w:val="24"/>
        </w:rPr>
        <w:t xml:space="preserve"> is the time of the year when it occurred.</w:t>
      </w:r>
      <w:r w:rsidR="007F0873">
        <w:rPr>
          <w:rFonts w:eastAsiaTheme="majorEastAsia"/>
          <w:sz w:val="24"/>
          <w:szCs w:val="24"/>
        </w:rPr>
        <w:t xml:space="preserve"> FF seasonality indices</w:t>
      </w:r>
      <w:r w:rsidR="006A0665" w:rsidRPr="006A0665">
        <w:rPr>
          <w:rFonts w:eastAsiaTheme="majorEastAsia"/>
          <w:sz w:val="24"/>
          <w:szCs w:val="24"/>
        </w:rPr>
        <w:t xml:space="preserve"> </w:t>
      </w:r>
      <m:oMath>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FF</m:t>
            </m:r>
          </m:sub>
        </m:sSub>
        <m:r>
          <w:rPr>
            <w:rFonts w:ascii="Cambria Math" w:eastAsiaTheme="majorEastAsia" w:hAnsi="Cambria Math"/>
            <w:sz w:val="24"/>
            <w:szCs w:val="24"/>
          </w:rPr>
          <m:t>|</m:t>
        </m:r>
      </m:oMath>
      <w:r w:rsidR="006A0665" w:rsidRPr="006A0665">
        <w:rPr>
          <w:rFonts w:eastAsiaTheme="majorEastAsia"/>
          <w:sz w:val="24"/>
          <w:szCs w:val="24"/>
        </w:rPr>
        <w:t xml:space="preserve"> and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ϑ</m:t>
                </m:r>
              </m:e>
            </m:acc>
          </m:e>
          <m:sub>
            <m:r>
              <w:rPr>
                <w:rFonts w:ascii="Cambria Math" w:eastAsiaTheme="majorEastAsia" w:hAnsi="Cambria Math"/>
                <w:sz w:val="24"/>
                <w:szCs w:val="24"/>
              </w:rPr>
              <m:t>FF</m:t>
            </m:r>
          </m:sub>
        </m:sSub>
      </m:oMath>
      <w:r w:rsidR="006A0665" w:rsidRPr="006A0665">
        <w:rPr>
          <w:rFonts w:eastAsiaTheme="majorEastAsia"/>
          <w:sz w:val="24"/>
          <w:szCs w:val="24"/>
        </w:rPr>
        <w:t xml:space="preserve"> are obtained replacing the components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FF</m:t>
            </m:r>
            <m:r>
              <w:rPr>
                <w:rFonts w:ascii="Cambria Math" w:eastAsiaTheme="majorEastAsia" w:hAnsi="Cambria Math"/>
                <w:sz w:val="24"/>
                <w:szCs w:val="24"/>
              </w:rPr>
              <m:t>,</m:t>
            </m:r>
            <m:r>
              <w:rPr>
                <w:rFonts w:ascii="Cambria Math" w:eastAsiaTheme="majorEastAsia" w:hAnsi="Cambria Math"/>
                <w:sz w:val="24"/>
                <w:szCs w:val="24"/>
              </w:rPr>
              <m:t>x</m:t>
            </m:r>
          </m:sub>
        </m:sSub>
      </m:oMath>
      <w:r w:rsidR="006A0665" w:rsidRPr="006A0665">
        <w:rPr>
          <w:rFonts w:eastAsiaTheme="majorEastAsia"/>
          <w:sz w:val="24"/>
          <w:szCs w:val="24"/>
        </w:rPr>
        <w:t xml:space="preserve"> and </w:t>
      </w:r>
      <m:oMath>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z</m:t>
                </m:r>
              </m:e>
            </m:acc>
          </m:e>
          <m:sub>
            <m:r>
              <w:rPr>
                <w:rFonts w:ascii="Cambria Math" w:eastAsiaTheme="majorEastAsia" w:hAnsi="Cambria Math"/>
                <w:sz w:val="24"/>
                <w:szCs w:val="24"/>
              </w:rPr>
              <m:t>FF</m:t>
            </m:r>
            <m:r>
              <w:rPr>
                <w:rFonts w:ascii="Cambria Math" w:eastAsiaTheme="majorEastAsia" w:hAnsi="Cambria Math"/>
                <w:sz w:val="24"/>
                <w:szCs w:val="24"/>
              </w:rPr>
              <m:t>,</m:t>
            </m:r>
            <m:r>
              <w:rPr>
                <w:rFonts w:ascii="Cambria Math" w:eastAsiaTheme="majorEastAsia" w:hAnsi="Cambria Math"/>
                <w:sz w:val="24"/>
                <w:szCs w:val="24"/>
              </w:rPr>
              <m:t>y</m:t>
            </m:r>
          </m:sub>
        </m:sSub>
        <m:r>
          <w:rPr>
            <w:rFonts w:ascii="Cambria Math" w:eastAsiaTheme="majorEastAsia" w:hAnsi="Cambria Math"/>
            <w:sz w:val="24"/>
            <w:szCs w:val="24"/>
          </w:rPr>
          <m:t xml:space="preserve"> </m:t>
        </m:r>
      </m:oMath>
      <w:r w:rsidR="006A0665" w:rsidRPr="006A0665">
        <w:rPr>
          <w:rFonts w:eastAsiaTheme="majorEastAsia"/>
          <w:sz w:val="24"/>
          <w:szCs w:val="24"/>
        </w:rPr>
        <w:t xml:space="preserve">of </w:t>
      </w:r>
      <m:oMath>
        <m:sSub>
          <m:sSubPr>
            <m:ctrlPr>
              <w:rPr>
                <w:rFonts w:ascii="Cambria Math" w:eastAsiaTheme="majorEastAsia" w:hAnsi="Cambria Math"/>
                <w:i/>
                <w:sz w:val="24"/>
                <w:szCs w:val="24"/>
              </w:rPr>
            </m:ctrlPr>
          </m:sSubPr>
          <m:e>
            <m:acc>
              <m:accPr>
                <m:chr m:val="̅"/>
                <m:ctrlPr>
                  <w:rPr>
                    <w:rFonts w:ascii="Cambria Math" w:eastAsiaTheme="majorEastAsia" w:hAnsi="Cambria Math"/>
                    <w:b/>
                    <w:bCs/>
                    <w:i/>
                    <w:sz w:val="24"/>
                    <w:szCs w:val="24"/>
                  </w:rPr>
                </m:ctrlPr>
              </m:accPr>
              <m:e>
                <m:r>
                  <m:rPr>
                    <m:sty m:val="bi"/>
                  </m:rPr>
                  <w:rPr>
                    <w:rFonts w:ascii="Cambria Math" w:eastAsiaTheme="majorEastAsia" w:hAnsi="Cambria Math"/>
                    <w:sz w:val="24"/>
                    <w:szCs w:val="24"/>
                  </w:rPr>
                  <m:t>z</m:t>
                </m:r>
              </m:e>
            </m:acc>
          </m:e>
          <m:sub>
            <m:r>
              <w:rPr>
                <w:rFonts w:ascii="Cambria Math" w:eastAsiaTheme="majorEastAsia" w:hAnsi="Cambria Math"/>
                <w:sz w:val="24"/>
                <w:szCs w:val="24"/>
              </w:rPr>
              <m:t>FF</m:t>
            </m:r>
          </m:sub>
        </m:sSub>
      </m:oMath>
      <w:r w:rsidR="006A0665" w:rsidRPr="006A0665">
        <w:rPr>
          <w:rFonts w:eastAsiaTheme="majorEastAsia"/>
          <w:sz w:val="24"/>
          <w:szCs w:val="24"/>
        </w:rPr>
        <w:t xml:space="preserve"> in Eqs. 26 and 27, respectively. </w:t>
      </w:r>
    </w:p>
    <w:p w14:paraId="088FCF5F" w14:textId="3071CFE6" w:rsidR="006A0665" w:rsidRPr="006A0665" w:rsidRDefault="006A0665" w:rsidP="006A0665">
      <w:pPr>
        <w:ind w:firstLine="720"/>
        <w:jc w:val="both"/>
        <w:rPr>
          <w:rFonts w:eastAsiaTheme="majorEastAsia"/>
          <w:sz w:val="24"/>
          <w:szCs w:val="24"/>
        </w:rPr>
      </w:pPr>
      <w:r w:rsidRPr="006A0665">
        <w:rPr>
          <w:rFonts w:eastAsiaTheme="majorEastAsia"/>
          <w:sz w:val="24"/>
          <w:szCs w:val="24"/>
        </w:rPr>
        <w:t xml:space="preserve">Unlike the AM seasonality, which only provides insight into the drivers of the largest flood each year, the POT seasonality is expected to incorporate information about all major floods in the record. In addition, the FF seasonality looks at the seasonal distribution of all peaks in the POT series, but emphasizing those that are larger than the reference frequent flood </w:t>
      </w:r>
      <m:oMath>
        <m:sSub>
          <m:sSubPr>
            <m:ctrlPr>
              <w:rPr>
                <w:rFonts w:ascii="Cambria Math" w:eastAsiaTheme="majorEastAsia" w:hAnsi="Cambria Math"/>
                <w:i/>
                <w:sz w:val="24"/>
                <w:szCs w:val="24"/>
              </w:rPr>
            </m:ctrlPr>
          </m:sSubPr>
          <m:e>
            <m:r>
              <w:rPr>
                <w:rFonts w:ascii="Cambria Math" w:eastAsiaTheme="majorEastAsia" w:hAnsi="Cambria Math"/>
                <w:sz w:val="24"/>
                <w:szCs w:val="24"/>
              </w:rPr>
              <m:t>Q</m:t>
            </m:r>
          </m:e>
          <m:sub>
            <m:r>
              <w:rPr>
                <w:rFonts w:ascii="Cambria Math" w:eastAsiaTheme="majorEastAsia" w:hAnsi="Cambria Math"/>
                <w:sz w:val="24"/>
                <w:szCs w:val="24"/>
              </w:rPr>
              <m:t>FF</m:t>
            </m:r>
          </m:sub>
        </m:sSub>
      </m:oMath>
      <w:r w:rsidRPr="006A0665">
        <w:rPr>
          <w:rFonts w:eastAsiaTheme="majorEastAsia"/>
          <w:sz w:val="24"/>
          <w:szCs w:val="24"/>
        </w:rPr>
        <w:t xml:space="preserve">. </w:t>
      </w:r>
    </w:p>
    <w:p w14:paraId="10131B6C" w14:textId="77777777" w:rsidR="006A0665" w:rsidRPr="006A0665" w:rsidRDefault="006A0665" w:rsidP="006A0665">
      <w:pPr>
        <w:ind w:firstLine="720"/>
        <w:jc w:val="both"/>
        <w:rPr>
          <w:rFonts w:eastAsiaTheme="majorEastAsia"/>
          <w:sz w:val="24"/>
          <w:szCs w:val="24"/>
        </w:rPr>
      </w:pPr>
      <w:r w:rsidRPr="006A0665">
        <w:rPr>
          <w:rFonts w:eastAsiaTheme="majorEastAsia"/>
          <w:sz w:val="24"/>
          <w:szCs w:val="24"/>
        </w:rPr>
        <w:t>These descriptors are intended to complement each other;</w:t>
      </w:r>
      <w:r w:rsidRPr="006A0665" w:rsidDel="005B48DE">
        <w:rPr>
          <w:rFonts w:eastAsiaTheme="majorEastAsia"/>
          <w:sz w:val="24"/>
          <w:szCs w:val="24"/>
        </w:rPr>
        <w:t xml:space="preserve"> </w:t>
      </w:r>
      <w:r w:rsidRPr="006A0665">
        <w:rPr>
          <w:rFonts w:eastAsiaTheme="majorEastAsia"/>
          <w:sz w:val="24"/>
          <w:szCs w:val="24"/>
        </w:rPr>
        <w:t xml:space="preserve">from their comparison, one should infer information on the seasonality of events across a range of magnitudes, possibly with different patterns of seasonality. </w:t>
      </w:r>
    </w:p>
    <w:p w14:paraId="25A67941" w14:textId="77777777" w:rsidR="00806AB8" w:rsidRPr="004E04E8" w:rsidRDefault="00806AB8" w:rsidP="004E04E8">
      <w:pPr>
        <w:ind w:firstLine="720"/>
        <w:jc w:val="both"/>
        <w:rPr>
          <w:rFonts w:eastAsiaTheme="majorEastAsia"/>
          <w:sz w:val="24"/>
          <w:szCs w:val="24"/>
        </w:rPr>
      </w:pPr>
    </w:p>
    <w:p w14:paraId="53413E4D" w14:textId="77777777" w:rsidR="00C90A09" w:rsidRPr="00223753" w:rsidRDefault="00C90A09" w:rsidP="00223753">
      <w:pPr>
        <w:ind w:firstLine="720"/>
        <w:jc w:val="both"/>
        <w:rPr>
          <w:rFonts w:eastAsiaTheme="majorEastAsia"/>
          <w:sz w:val="24"/>
          <w:szCs w:val="24"/>
        </w:rPr>
      </w:pPr>
    </w:p>
    <w:p w14:paraId="6952FD20" w14:textId="77777777" w:rsidR="00FE6284" w:rsidRPr="003135F3" w:rsidRDefault="00FE6284" w:rsidP="003135F3">
      <w:pPr>
        <w:ind w:firstLine="720"/>
        <w:jc w:val="both"/>
        <w:rPr>
          <w:rFonts w:eastAsiaTheme="majorEastAsia"/>
          <w:sz w:val="24"/>
          <w:szCs w:val="24"/>
        </w:rPr>
      </w:pPr>
    </w:p>
    <w:p w14:paraId="6888E72E" w14:textId="5ED5309B" w:rsidR="002F3B11" w:rsidRDefault="002F3B11" w:rsidP="00C81368">
      <w:pPr>
        <w:pStyle w:val="Heading-Main"/>
      </w:pPr>
      <w:r>
        <w:lastRenderedPageBreak/>
        <w:t xml:space="preserve">3 </w:t>
      </w:r>
      <w:r w:rsidR="00BF1E83">
        <w:t xml:space="preserve">Case </w:t>
      </w:r>
      <w:r w:rsidR="001F4976">
        <w:t>study basins</w:t>
      </w:r>
    </w:p>
    <w:p w14:paraId="1858AD72" w14:textId="77777777" w:rsidR="002C3291" w:rsidRPr="002C3291" w:rsidRDefault="002C3291" w:rsidP="00092ED3">
      <w:pPr>
        <w:ind w:firstLine="720"/>
        <w:jc w:val="both"/>
        <w:rPr>
          <w:sz w:val="24"/>
          <w:szCs w:val="24"/>
        </w:rPr>
      </w:pPr>
      <w:r w:rsidRPr="002C3291">
        <w:rPr>
          <w:sz w:val="24"/>
          <w:szCs w:val="24"/>
        </w:rPr>
        <w:t>We considered the subset of CONUS watersheds from the well-known CAMELS dataset (</w:t>
      </w:r>
      <w:proofErr w:type="spellStart"/>
      <w:r w:rsidRPr="002C3291">
        <w:rPr>
          <w:sz w:val="24"/>
          <w:szCs w:val="24"/>
        </w:rPr>
        <w:t>Addor</w:t>
      </w:r>
      <w:proofErr w:type="spellEnd"/>
      <w:r w:rsidRPr="002C3291">
        <w:rPr>
          <w:sz w:val="24"/>
          <w:szCs w:val="24"/>
        </w:rPr>
        <w:t xml:space="preserve"> et al., 2017) for which continuous flow data (U.S. Geological Survey, 2022) are available for a minimum of 18 water years. Years with incomplete records were discarded if the gap was larger than 20%.</w:t>
      </w:r>
    </w:p>
    <w:p w14:paraId="1D029C33" w14:textId="77777777" w:rsidR="002C3291" w:rsidRPr="002C3291" w:rsidRDefault="002C3291" w:rsidP="00092ED3">
      <w:pPr>
        <w:ind w:firstLine="720"/>
        <w:jc w:val="both"/>
        <w:rPr>
          <w:sz w:val="24"/>
          <w:szCs w:val="24"/>
        </w:rPr>
      </w:pPr>
      <w:r w:rsidRPr="002C3291">
        <w:rPr>
          <w:sz w:val="24"/>
          <w:szCs w:val="24"/>
        </w:rPr>
        <w:t>Basins with trends in the AM series or in the number of POTs per year, detected through the Mann-Kendall test (</w:t>
      </w:r>
      <w:proofErr w:type="spellStart"/>
      <w:r w:rsidRPr="002C3291">
        <w:rPr>
          <w:sz w:val="24"/>
          <w:szCs w:val="24"/>
        </w:rPr>
        <w:t>Bayazit</w:t>
      </w:r>
      <w:proofErr w:type="spellEnd"/>
      <w:r w:rsidRPr="002C3291">
        <w:rPr>
          <w:sz w:val="24"/>
          <w:szCs w:val="24"/>
        </w:rPr>
        <w:t xml:space="preserve">, 2015), were excluded from the analysis, to ensure stationarity. Potentially influential low flows (PILFs; Cohn et al., 2013) were removed from the AM series using the MGBT algorithm recommended in the USGS Bulletin 17C (England et al., 2019), adopting the R package “MGBT” by Asquith et al. (2021). The methodology assumes that the log-transformed AM follow a normal distribution, and a statistical test is used to identify any low outliers in the series (Cohn et al., 2013). </w:t>
      </w:r>
    </w:p>
    <w:p w14:paraId="082F0355" w14:textId="77777777" w:rsidR="002C3291" w:rsidRPr="002C3291" w:rsidRDefault="002C3291" w:rsidP="00092ED3">
      <w:pPr>
        <w:ind w:firstLine="720"/>
        <w:jc w:val="both"/>
        <w:rPr>
          <w:sz w:val="24"/>
          <w:szCs w:val="24"/>
        </w:rPr>
      </w:pPr>
      <w:r w:rsidRPr="002C3291">
        <w:rPr>
          <w:sz w:val="24"/>
          <w:szCs w:val="24"/>
        </w:rPr>
        <w:t>The final dataset contains 432 basins with minimum human impacts, whose attributes encompass topographic, geomorphologic, climatic, and land-cover (LC) information, as well as hydrologic signatures (</w:t>
      </w:r>
      <w:proofErr w:type="spellStart"/>
      <w:r w:rsidRPr="002C3291">
        <w:rPr>
          <w:sz w:val="24"/>
          <w:szCs w:val="24"/>
        </w:rPr>
        <w:t>Addor</w:t>
      </w:r>
      <w:proofErr w:type="spellEnd"/>
      <w:r w:rsidRPr="002C3291">
        <w:rPr>
          <w:sz w:val="24"/>
          <w:szCs w:val="24"/>
        </w:rPr>
        <w:t xml:space="preserve"> et al., 2017), supplemented with the flood seasonality indices described in Section 2.5. </w:t>
      </w:r>
    </w:p>
    <w:p w14:paraId="0E9F8D34" w14:textId="1B2B6813" w:rsidR="002C3291" w:rsidRPr="002C3291" w:rsidRDefault="002C3291" w:rsidP="00092ED3">
      <w:pPr>
        <w:ind w:firstLine="720"/>
        <w:jc w:val="both"/>
        <w:rPr>
          <w:sz w:val="24"/>
          <w:szCs w:val="24"/>
        </w:rPr>
      </w:pPr>
      <w:r w:rsidRPr="002C3291">
        <w:rPr>
          <w:sz w:val="24"/>
          <w:szCs w:val="24"/>
        </w:rPr>
        <w:t xml:space="preserve">In what follows, basin attributes from the CAMELS dataset are referenced using the same names as in </w:t>
      </w:r>
      <w:proofErr w:type="spellStart"/>
      <w:r w:rsidRPr="002C3291">
        <w:rPr>
          <w:sz w:val="24"/>
          <w:szCs w:val="24"/>
        </w:rPr>
        <w:t>Addor</w:t>
      </w:r>
      <w:proofErr w:type="spellEnd"/>
      <w:r w:rsidRPr="002C3291">
        <w:rPr>
          <w:sz w:val="24"/>
          <w:szCs w:val="24"/>
        </w:rPr>
        <w:t xml:space="preserve"> et al. (2017). The only exception is the dominant land-cover (</w:t>
      </w:r>
      <m:oMath>
        <m:r>
          <w:rPr>
            <w:rFonts w:ascii="Cambria Math" w:hAnsi="Cambria Math"/>
            <w:sz w:val="24"/>
            <w:szCs w:val="24"/>
          </w:rPr>
          <m:t>dom_land_cover</m:t>
        </m:r>
      </m:oMath>
      <w:r w:rsidRPr="002C3291">
        <w:rPr>
          <w:sz w:val="24"/>
          <w:szCs w:val="24"/>
        </w:rPr>
        <w:t xml:space="preserve">) categorical variable, from which we derive as many binary variables as the number of categories. Each binary variable takes the value of 1 for basins with that specific dominant land-cover, 0 otherwise. These binary variables are indicated by the “LC-”  prefix, such as, e.g.: </w:t>
      </w:r>
      <m:oMath>
        <m:r>
          <w:rPr>
            <w:rFonts w:ascii="Cambria Math" w:hAnsi="Cambria Math"/>
            <w:sz w:val="24"/>
            <w:szCs w:val="24"/>
          </w:rPr>
          <m:t>LC-Mixed Forests</m:t>
        </m:r>
      </m:oMath>
      <w:r w:rsidRPr="002C3291">
        <w:rPr>
          <w:sz w:val="24"/>
          <w:szCs w:val="24"/>
        </w:rPr>
        <w:t xml:space="preserve">, </w:t>
      </w:r>
      <m:oMath>
        <m:r>
          <w:rPr>
            <w:rFonts w:ascii="Cambria Math" w:hAnsi="Cambria Math"/>
            <w:sz w:val="24"/>
            <w:szCs w:val="24"/>
          </w:rPr>
          <m:t>LC-Decid. BL Forest</m:t>
        </m:r>
      </m:oMath>
      <w:r w:rsidRPr="002C3291">
        <w:rPr>
          <w:sz w:val="24"/>
          <w:szCs w:val="24"/>
        </w:rPr>
        <w:t xml:space="preserve"> (deciduous broadleaf), </w:t>
      </w:r>
      <m:oMath>
        <m:r>
          <w:rPr>
            <w:rFonts w:ascii="Cambria Math" w:hAnsi="Cambria Math"/>
            <w:sz w:val="24"/>
            <w:szCs w:val="24"/>
          </w:rPr>
          <m:t>LC-Croplands</m:t>
        </m:r>
      </m:oMath>
      <w:r w:rsidRPr="002C3291">
        <w:rPr>
          <w:sz w:val="24"/>
          <w:szCs w:val="24"/>
        </w:rPr>
        <w:t>, etc.</w:t>
      </w:r>
    </w:p>
    <w:p w14:paraId="19F8B5A5" w14:textId="4C668306" w:rsidR="002C3291" w:rsidRPr="002C3291" w:rsidRDefault="002C3291" w:rsidP="00092ED3">
      <w:pPr>
        <w:ind w:firstLine="720"/>
        <w:jc w:val="both"/>
        <w:rPr>
          <w:sz w:val="24"/>
          <w:szCs w:val="24"/>
        </w:rPr>
      </w:pPr>
      <w:r w:rsidRPr="002C3291">
        <w:rPr>
          <w:sz w:val="24"/>
          <w:szCs w:val="24"/>
        </w:rPr>
        <w:t>The same approach was adopted for the dominant geologic class (</w:t>
      </w:r>
      <m:oMath>
        <m:r>
          <w:rPr>
            <w:rFonts w:ascii="Cambria Math" w:hAnsi="Cambria Math"/>
            <w:sz w:val="24"/>
            <w:szCs w:val="24"/>
          </w:rPr>
          <m:t>geol_class_1st</m:t>
        </m:r>
      </m:oMath>
      <w:r w:rsidRPr="002C3291">
        <w:rPr>
          <w:sz w:val="24"/>
          <w:szCs w:val="24"/>
        </w:rPr>
        <w:t xml:space="preserve">) categorical variable, but none of the resulting binary variables were optimal predictors according to the wrapper method. </w:t>
      </w:r>
    </w:p>
    <w:p w14:paraId="6D41B027" w14:textId="77777777" w:rsidR="002C3291" w:rsidRPr="002C3291" w:rsidRDefault="002C3291" w:rsidP="002C3291">
      <w:pPr>
        <w:rPr>
          <w:sz w:val="24"/>
          <w:szCs w:val="24"/>
        </w:rPr>
      </w:pPr>
    </w:p>
    <w:p w14:paraId="6EB77176" w14:textId="5624EB2A" w:rsidR="002F3B11" w:rsidRDefault="002F3B11" w:rsidP="00C81368">
      <w:pPr>
        <w:pStyle w:val="Heading-Main"/>
      </w:pPr>
      <w:r>
        <w:t>4 Results</w:t>
      </w:r>
      <w:r w:rsidR="003331BD">
        <w:t xml:space="preserve"> and discussion</w:t>
      </w:r>
    </w:p>
    <w:p w14:paraId="7103A0D0" w14:textId="2CD6B9F8" w:rsidR="00123BB2" w:rsidRDefault="00123BB2" w:rsidP="00C81368">
      <w:pPr>
        <w:pStyle w:val="Heading-Main"/>
      </w:pPr>
      <w:bookmarkStart w:id="1" w:name="_Hlk140051737"/>
      <w:r>
        <w:rPr>
          <w:b w:val="0"/>
          <w:bCs w:val="0"/>
        </w:rPr>
        <w:t>4.1</w:t>
      </w:r>
      <w:r w:rsidRPr="00EF003B">
        <w:rPr>
          <w:b w:val="0"/>
          <w:bCs w:val="0"/>
        </w:rPr>
        <w:t xml:space="preserve"> </w:t>
      </w:r>
      <w:r w:rsidR="003246EA" w:rsidRPr="003246EA">
        <w:t xml:space="preserve">Observed and duality-derived </w:t>
      </w:r>
      <w:proofErr w:type="gramStart"/>
      <w:r w:rsidR="003246EA" w:rsidRPr="003246EA">
        <w:t>underestimation</w:t>
      </w:r>
      <w:bookmarkEnd w:id="1"/>
      <w:proofErr w:type="gramEnd"/>
    </w:p>
    <w:p w14:paraId="74A851CA" w14:textId="77777777" w:rsidR="00C25AF8" w:rsidRDefault="00C6422E" w:rsidP="00092ED3">
      <w:pPr>
        <w:ind w:firstLine="720"/>
        <w:jc w:val="both"/>
        <w:rPr>
          <w:sz w:val="24"/>
          <w:szCs w:val="24"/>
        </w:rPr>
      </w:pPr>
      <w:r w:rsidRPr="00C6422E">
        <w:rPr>
          <w:sz w:val="24"/>
          <w:szCs w:val="24"/>
          <w:lang w:val="en-GB"/>
        </w:rPr>
        <w:t xml:space="preserve">Underestimation of the </w:t>
      </w:r>
      <m:oMath>
        <m:r>
          <w:rPr>
            <w:rFonts w:ascii="Cambria Math" w:hAnsi="Cambria Math"/>
            <w:sz w:val="24"/>
            <w:szCs w:val="24"/>
            <w:lang w:val="en-GB"/>
          </w:rPr>
          <m:t>T</m:t>
        </m:r>
      </m:oMath>
      <w:r w:rsidRPr="00C6422E">
        <w:rPr>
          <w:sz w:val="24"/>
          <w:szCs w:val="24"/>
          <w:lang w:val="en-GB"/>
        </w:rPr>
        <w:t>-year event</w:t>
      </w:r>
      <w:r w:rsidRPr="00C6422E">
        <w:rPr>
          <w:sz w:val="24"/>
          <w:szCs w:val="24"/>
        </w:rPr>
        <w:t xml:space="preserve"> from AM-, with respect to POT-FFA, is obtained from Eq. (2) considering the quantiles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AM</m:t>
            </m:r>
          </m:sub>
        </m:sSub>
        <m:r>
          <w:rPr>
            <w:rFonts w:ascii="Cambria Math" w:hAnsi="Cambria Math"/>
            <w:sz w:val="24"/>
            <w:szCs w:val="24"/>
          </w:rPr>
          <m:t>(T)</m:t>
        </m:r>
      </m:oMath>
      <w:r w:rsidRPr="00C6422E">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POT</m:t>
            </m:r>
          </m:sub>
        </m:sSub>
        <m:r>
          <w:rPr>
            <w:rFonts w:ascii="Cambria Math" w:hAnsi="Cambria Math"/>
            <w:sz w:val="24"/>
            <w:szCs w:val="24"/>
          </w:rPr>
          <m:t>(T)</m:t>
        </m:r>
      </m:oMath>
      <w:r w:rsidRPr="00C6422E">
        <w:rPr>
          <w:sz w:val="24"/>
          <w:szCs w:val="24"/>
        </w:rPr>
        <w:t xml:space="preserve"> from the GEV and GP distributions, respectively. The Kolmogorov-Smirnov GOF test (</w:t>
      </w:r>
      <w:proofErr w:type="spellStart"/>
      <w:r w:rsidRPr="00C6422E">
        <w:rPr>
          <w:sz w:val="24"/>
          <w:szCs w:val="24"/>
        </w:rPr>
        <w:t>Kottegoda</w:t>
      </w:r>
      <w:proofErr w:type="spellEnd"/>
      <w:r w:rsidRPr="00C6422E">
        <w:rPr>
          <w:sz w:val="24"/>
          <w:szCs w:val="24"/>
        </w:rPr>
        <w:t xml:space="preserve"> &amp; Rosso, 1997) indicates a good fit of these two distributions to the AM and POT series, respectively, for all the considered basins. Also, the estimated FF quantiles display no sensitivity to the PDS threshold-selection method. Figure 3a shows the observed spatial pattern of underestimation </w:t>
      </w:r>
      <m:oMath>
        <m:r>
          <w:rPr>
            <w:rFonts w:ascii="Cambria Math" w:hAnsi="Cambria Math"/>
            <w:sz w:val="24"/>
            <w:szCs w:val="24"/>
          </w:rPr>
          <m:t>u(T)</m:t>
        </m:r>
      </m:oMath>
      <w:r w:rsidRPr="00C6422E">
        <w:rPr>
          <w:sz w:val="24"/>
          <w:szCs w:val="24"/>
        </w:rPr>
        <w:t xml:space="preserve"> of FFs from AM-FFA, as compared to POT-FFA (Eq. 2). </w:t>
      </w:r>
    </w:p>
    <w:p w14:paraId="075846F0" w14:textId="278EFA12" w:rsidR="00C25AF8" w:rsidRDefault="00B85525" w:rsidP="00092ED3">
      <w:pPr>
        <w:ind w:firstLine="720"/>
        <w:jc w:val="both"/>
        <w:rPr>
          <w:sz w:val="24"/>
          <w:szCs w:val="24"/>
        </w:rPr>
      </w:pPr>
      <w:r>
        <w:rPr>
          <w:noProof/>
          <w:sz w:val="24"/>
          <w:szCs w:val="24"/>
        </w:rPr>
        <w:lastRenderedPageBreak/>
        <w:drawing>
          <wp:inline distT="0" distB="0" distL="0" distR="0" wp14:anchorId="55EB29F5" wp14:editId="61237010">
            <wp:extent cx="3917950" cy="8229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7950" cy="8229600"/>
                    </a:xfrm>
                    <a:prstGeom prst="rect">
                      <a:avLst/>
                    </a:prstGeom>
                    <a:noFill/>
                    <a:ln>
                      <a:noFill/>
                    </a:ln>
                  </pic:spPr>
                </pic:pic>
              </a:graphicData>
            </a:graphic>
          </wp:inline>
        </w:drawing>
      </w:r>
    </w:p>
    <w:p w14:paraId="37787869" w14:textId="23AE26CE" w:rsidR="009E1765" w:rsidRDefault="00B2051D" w:rsidP="00B2051D">
      <w:pPr>
        <w:pStyle w:val="FigureorTableCaption"/>
        <w:ind w:firstLine="720"/>
      </w:pPr>
      <w:r>
        <w:rPr>
          <w:b/>
        </w:rPr>
        <w:lastRenderedPageBreak/>
        <w:t>Figure</w:t>
      </w:r>
      <w:r w:rsidRPr="007443BB">
        <w:rPr>
          <w:b/>
        </w:rPr>
        <w:t xml:space="preserve"> </w:t>
      </w:r>
      <w:r>
        <w:rPr>
          <w:b/>
        </w:rPr>
        <w:t>3</w:t>
      </w:r>
      <w:r>
        <w:t xml:space="preserve">. </w:t>
      </w:r>
      <w:r w:rsidRPr="00B2051D">
        <w:t xml:space="preserve">a) Spatial pattern of observed FF underestimation </w:t>
      </w:r>
      <m:oMath>
        <m:r>
          <w:rPr>
            <w:rFonts w:ascii="Cambria Math" w:hAnsi="Cambria Math"/>
          </w:rPr>
          <m:t>u</m:t>
        </m:r>
        <m:d>
          <m:dPr>
            <m:ctrlPr>
              <w:rPr>
                <w:rFonts w:ascii="Cambria Math" w:hAnsi="Cambria Math"/>
                <w:i/>
                <w:iCs/>
              </w:rPr>
            </m:ctrlPr>
          </m:dPr>
          <m:e>
            <m:r>
              <w:rPr>
                <w:rFonts w:ascii="Cambria Math" w:hAnsi="Cambria Math"/>
              </w:rPr>
              <m:t>T</m:t>
            </m:r>
          </m:e>
        </m:d>
      </m:oMath>
      <w:r w:rsidRPr="00B2051D">
        <w:t xml:space="preserve"> for the 1.5-year event; b) absolute deviation between the observed and duality-derived underestimation, </w:t>
      </w:r>
      <m:oMath>
        <m:d>
          <m:dPr>
            <m:begChr m:val="|"/>
            <m:endChr m:val="|"/>
            <m:ctrlPr>
              <w:rPr>
                <w:rFonts w:ascii="Cambria Math" w:hAnsi="Cambria Math"/>
                <w:i/>
                <w:iCs/>
              </w:rPr>
            </m:ctrlPr>
          </m:dPr>
          <m:e>
            <m:r>
              <w:rPr>
                <w:rFonts w:ascii="Cambria Math" w:hAnsi="Cambria Math"/>
              </w:rPr>
              <m:t>u</m:t>
            </m:r>
            <m:d>
              <m:dPr>
                <m:ctrlPr>
                  <w:rPr>
                    <w:rFonts w:ascii="Cambria Math" w:hAnsi="Cambria Math"/>
                    <w:i/>
                    <w:iCs/>
                  </w:rPr>
                </m:ctrlPr>
              </m:dPr>
              <m:e>
                <m:r>
                  <w:rPr>
                    <w:rFonts w:ascii="Cambria Math" w:hAnsi="Cambria Math"/>
                  </w:rPr>
                  <m:t>T</m:t>
                </m:r>
              </m:e>
            </m:d>
            <m:r>
              <w:rPr>
                <w:rFonts w:ascii="Cambria Math" w:hAnsi="Cambria Math"/>
              </w:rPr>
              <m:t>-</m:t>
            </m:r>
            <m:acc>
              <m:accPr>
                <m:ctrlPr>
                  <w:rPr>
                    <w:rFonts w:ascii="Cambria Math" w:hAnsi="Cambria Math"/>
                    <w:i/>
                    <w:iCs/>
                  </w:rPr>
                </m:ctrlPr>
              </m:accPr>
              <m:e>
                <m:r>
                  <w:rPr>
                    <w:rFonts w:ascii="Cambria Math" w:hAnsi="Cambria Math"/>
                  </w:rPr>
                  <m:t>u</m:t>
                </m:r>
              </m:e>
            </m:acc>
            <m:d>
              <m:dPr>
                <m:ctrlPr>
                  <w:rPr>
                    <w:rFonts w:ascii="Cambria Math" w:hAnsi="Cambria Math"/>
                    <w:i/>
                    <w:iCs/>
                  </w:rPr>
                </m:ctrlPr>
              </m:dPr>
              <m:e>
                <m:r>
                  <w:rPr>
                    <w:rFonts w:ascii="Cambria Math" w:hAnsi="Cambria Math"/>
                  </w:rPr>
                  <m:t>T</m:t>
                </m:r>
              </m:e>
            </m:d>
          </m:e>
        </m:d>
      </m:oMath>
      <w:r w:rsidRPr="00B2051D">
        <w:t xml:space="preserve"> for the 1.5-year event under the assumption of PSN count model (Eq. 21); catchments where the deviation exceeds 8% are marked with triangles, pointing either up or down depending on the sign of the deviation; c) same as b), but with BIN or NEG count model (Eq. 23); d) Absolute deviation of Langbein-estimated</w:t>
      </w:r>
      <w:r w:rsidR="00707CBC">
        <w:t xml:space="preserve"> return period</w:t>
      </w:r>
      <w:r w:rsidRPr="00B2051D">
        <w:t xml:space="preserve"> </w:t>
      </w:r>
      <m:oMath>
        <m:sSub>
          <m:sSubPr>
            <m:ctrlPr>
              <w:rPr>
                <w:rFonts w:ascii="Cambria Math" w:hAnsi="Cambria Math"/>
                <w:i/>
                <w:iCs/>
              </w:rPr>
            </m:ctrlPr>
          </m:sSubPr>
          <m:e>
            <m:r>
              <w:rPr>
                <w:rFonts w:ascii="Cambria Math" w:hAnsi="Cambria Math"/>
              </w:rPr>
              <m:t>R</m:t>
            </m:r>
          </m:e>
          <m:sub>
            <m:r>
              <w:rPr>
                <w:rFonts w:ascii="Cambria Math" w:hAnsi="Cambria Math"/>
              </w:rPr>
              <m:t>L</m:t>
            </m:r>
          </m:sub>
        </m:sSub>
      </m:oMath>
      <w:r w:rsidRPr="00B2051D">
        <w:t xml:space="preserve"> from the GEV-derived </w:t>
      </w:r>
      <m:oMath>
        <m:r>
          <w:rPr>
            <w:rFonts w:ascii="Cambria Math" w:hAnsi="Cambria Math"/>
          </w:rPr>
          <m:t>R</m:t>
        </m:r>
      </m:oMath>
      <w:r w:rsidRPr="00B2051D">
        <w:t xml:space="preserve"> of the POT-quantile with </w:t>
      </w:r>
      <m:oMath>
        <m:r>
          <w:rPr>
            <w:rFonts w:ascii="Cambria Math" w:hAnsi="Cambria Math"/>
          </w:rPr>
          <m:t>ARI</m:t>
        </m:r>
      </m:oMath>
      <w:r w:rsidRPr="00B2051D">
        <w:t xml:space="preserve"> of 1.5 years; catchments where the deviation exceeds 0.35 years are marked with triangles, pointing either up or down depending on the sign of the deviation. In b), c), and d), clusters A-H of basins with large deviations are circled. </w:t>
      </w:r>
    </w:p>
    <w:p w14:paraId="4A8C8F46" w14:textId="77777777" w:rsidR="009E1765" w:rsidRDefault="009E1765" w:rsidP="00092ED3">
      <w:pPr>
        <w:ind w:firstLine="720"/>
        <w:jc w:val="both"/>
        <w:rPr>
          <w:sz w:val="24"/>
          <w:szCs w:val="24"/>
        </w:rPr>
      </w:pPr>
    </w:p>
    <w:p w14:paraId="25999151" w14:textId="24DB2CF4" w:rsidR="00C6422E" w:rsidRPr="00C6422E" w:rsidRDefault="00C6422E" w:rsidP="00092ED3">
      <w:pPr>
        <w:ind w:firstLine="720"/>
        <w:jc w:val="both"/>
        <w:rPr>
          <w:sz w:val="24"/>
          <w:szCs w:val="24"/>
        </w:rPr>
      </w:pPr>
      <w:r w:rsidRPr="00C6422E">
        <w:rPr>
          <w:sz w:val="24"/>
          <w:szCs w:val="24"/>
        </w:rPr>
        <w:t xml:space="preserve">There is a clear spatial structure in the degree of underestimation of the 1.5-year quantile. Minima of 10-20% are observed in many northern and some north-central states. A band of minima runs from the states of Washington and Oregon, on the west coast, moving south-east down to Colorado and northern New Mexico. There are few observations in the north-central U.S., due to the lack of CAMELS stations with sufficiently long flow records for the Dakotas, Nebraska, and Minnesota. Moving east, minima are also observed in the strip of territory starting from New England, on the east coast, and in states around the Great Lakes, down to Kentucky and West Virginia, on the west side of the Appalachian range. </w:t>
      </w:r>
    </w:p>
    <w:p w14:paraId="0F689297" w14:textId="77777777" w:rsidR="00C6422E" w:rsidRPr="00C6422E" w:rsidRDefault="00C6422E" w:rsidP="00092ED3">
      <w:pPr>
        <w:ind w:firstLine="720"/>
        <w:jc w:val="both"/>
        <w:rPr>
          <w:sz w:val="24"/>
          <w:szCs w:val="24"/>
        </w:rPr>
      </w:pPr>
      <w:r w:rsidRPr="00C6422E">
        <w:rPr>
          <w:sz w:val="24"/>
          <w:szCs w:val="24"/>
        </w:rPr>
        <w:t xml:space="preserve">The Appalachian range is a clear dividing line on the map, as the land east of it, to the Atlantic coast, is characterized by rates of FF underestimation of about 25-30%, with some peaks up to 45%, in contrast with the 10-20%, that prevails on its western side. </w:t>
      </w:r>
    </w:p>
    <w:p w14:paraId="39CC6D3E" w14:textId="77777777" w:rsidR="00C6422E" w:rsidRPr="00C6422E" w:rsidRDefault="00C6422E" w:rsidP="00092ED3">
      <w:pPr>
        <w:ind w:firstLine="720"/>
        <w:jc w:val="both"/>
        <w:rPr>
          <w:sz w:val="24"/>
          <w:szCs w:val="24"/>
        </w:rPr>
      </w:pPr>
      <w:r w:rsidRPr="00C6422E">
        <w:rPr>
          <w:sz w:val="24"/>
          <w:szCs w:val="24"/>
        </w:rPr>
        <w:t>Moving down to Florida, most watersheds still present a 25-30% underestimation, but there are also a few basins characterized by 50% or more, resulting in greater heterogeneity overall. A discontinuity along the eastern coast can be observed, north of Florida, with a few basins between Georgia and South Carolina (i.e., the Savannah River) showcasing underestimation rates of 60%, and a few others in the south of Georgia with rates of 45-50%. These are higher values of underestimation than those generally observed for other watersheds close to the Atlantic, all clustered in the same region. Interestingly, this area also represents a singularity from a climatic perspective, with respect to the rest of the eastern coast. More precisely, it is the only region not significantly affected by precipitation from tropical cyclones (</w:t>
      </w:r>
      <w:proofErr w:type="spellStart"/>
      <w:r w:rsidRPr="00C6422E">
        <w:rPr>
          <w:sz w:val="24"/>
          <w:szCs w:val="24"/>
        </w:rPr>
        <w:t>Villarini</w:t>
      </w:r>
      <w:proofErr w:type="spellEnd"/>
      <w:r w:rsidRPr="00C6422E">
        <w:rPr>
          <w:sz w:val="24"/>
          <w:szCs w:val="24"/>
        </w:rPr>
        <w:t xml:space="preserve"> &amp; Smith, 2010). </w:t>
      </w:r>
    </w:p>
    <w:p w14:paraId="7287BAD0" w14:textId="77777777" w:rsidR="00C6422E" w:rsidRPr="00C6422E" w:rsidRDefault="00C6422E" w:rsidP="00092ED3">
      <w:pPr>
        <w:ind w:firstLine="720"/>
        <w:jc w:val="both"/>
        <w:rPr>
          <w:sz w:val="24"/>
          <w:szCs w:val="24"/>
        </w:rPr>
      </w:pPr>
      <w:r w:rsidRPr="00C6422E">
        <w:rPr>
          <w:sz w:val="24"/>
          <w:szCs w:val="24"/>
        </w:rPr>
        <w:t xml:space="preserve">Basins close to the Gulf coast and in the hinterland above it, up to Tennessee and Arkansas, present a gradual increase in the rate of underestimation, moving from east to west. A similar east-west pattern is also observed when moving from south of the Great Lakes to Kansas, through Illinois and Missouri. This spatial trend of increasing underestimation reaches a local peak in the central and south-central U.S. (i.e., Texas, Oklahoma, and Kansas), where some of the highest underestimation rates in the country are observed, above 40%, although with great heterogeneity due to the occasional presence of catchments with only moderate underestimation, particularly in coastal Texas. High values of underestimation are also observed in the south-west US (New Mexico, Arizona, central and southern California). </w:t>
      </w:r>
    </w:p>
    <w:p w14:paraId="5C16AEDA" w14:textId="77777777" w:rsidR="00C6422E" w:rsidRPr="00C6422E" w:rsidRDefault="00C6422E" w:rsidP="00092ED3">
      <w:pPr>
        <w:ind w:firstLine="720"/>
        <w:jc w:val="both"/>
        <w:rPr>
          <w:sz w:val="24"/>
          <w:szCs w:val="24"/>
        </w:rPr>
      </w:pPr>
      <w:r w:rsidRPr="00C6422E">
        <w:rPr>
          <w:sz w:val="24"/>
          <w:szCs w:val="24"/>
        </w:rPr>
        <w:t xml:space="preserve">Along the west coast of California, moving from south to north, a gradual decrease of the degree of underestimation occurs, from 50-55% to 30%. The underestimation further decreases northward, reaching minima of 10-20% along the coasts of Oregon and Washington. </w:t>
      </w:r>
    </w:p>
    <w:p w14:paraId="6D3ED39C" w14:textId="2E312035" w:rsidR="00C6422E" w:rsidRPr="00C6422E" w:rsidRDefault="00C6422E" w:rsidP="00092ED3">
      <w:pPr>
        <w:ind w:firstLine="720"/>
        <w:jc w:val="both"/>
        <w:rPr>
          <w:sz w:val="24"/>
          <w:szCs w:val="24"/>
        </w:rPr>
      </w:pPr>
      <w:r w:rsidRPr="00C6422E">
        <w:rPr>
          <w:sz w:val="24"/>
          <w:szCs w:val="24"/>
        </w:rPr>
        <w:t xml:space="preserve">Figures 3b and 3c show the absolute deviations of duality-derived underestimation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(T)</m:t>
        </m:r>
      </m:oMath>
      <w:r w:rsidRPr="00C6422E">
        <w:rPr>
          <w:sz w:val="24"/>
          <w:szCs w:val="24"/>
        </w:rPr>
        <w:t xml:space="preserve"> (</w:t>
      </w:r>
      <w:proofErr w:type="spellStart"/>
      <w:r w:rsidRPr="00C6422E">
        <w:rPr>
          <w:sz w:val="24"/>
          <w:szCs w:val="24"/>
        </w:rPr>
        <w:t>Eqs</w:t>
      </w:r>
      <w:proofErr w:type="spellEnd"/>
      <w:r w:rsidRPr="00C6422E">
        <w:rPr>
          <w:sz w:val="24"/>
          <w:szCs w:val="24"/>
        </w:rPr>
        <w:t xml:space="preserve">. 21 and 23) from the observed </w:t>
      </w:r>
      <m:oMath>
        <m:r>
          <w:rPr>
            <w:rFonts w:ascii="Cambria Math" w:hAnsi="Cambria Math"/>
            <w:sz w:val="24"/>
            <w:szCs w:val="24"/>
          </w:rPr>
          <m:t>u(T)</m:t>
        </m:r>
      </m:oMath>
      <w:r w:rsidRPr="00C6422E">
        <w:rPr>
          <w:sz w:val="24"/>
          <w:szCs w:val="24"/>
        </w:rPr>
        <w:t xml:space="preserve">.  Filled circular markers indicate deviations not larger than 8%, showing that very accurate predictions of underestimation can be derived from the duality in those basins. Slight differences are imputable to sample variability in parameter estimation. </w:t>
      </w:r>
      <w:r w:rsidRPr="00C6422E">
        <w:rPr>
          <w:sz w:val="24"/>
          <w:szCs w:val="24"/>
        </w:rPr>
        <w:lastRenderedPageBreak/>
        <w:t xml:space="preserve">About 20% of the basins are categorized as anomalous, i.e., the deviation exceeds 8%; these are marked with a triangle, pointing either up or down to indicate that </w:t>
      </w:r>
      <m:oMath>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&gt;u(T)</m:t>
        </m:r>
      </m:oMath>
      <w:r w:rsidRPr="00C6422E">
        <w:rPr>
          <w:sz w:val="24"/>
          <w:szCs w:val="24"/>
        </w:rPr>
        <w:t xml:space="preserve"> or </w:t>
      </w:r>
      <m:oMath>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&lt;u(T)</m:t>
        </m:r>
      </m:oMath>
      <w:r w:rsidRPr="00C6422E">
        <w:rPr>
          <w:sz w:val="24"/>
          <w:szCs w:val="24"/>
        </w:rPr>
        <w:t>, respectively. Figure 3b shows deviations when the PSN count model is adopted (Eq. 21) while Figure 3c depicts results for BIN or NEG count models (Eq. 23). It is interesting to note that anomalous catchments with high deviations are strongly clustered in space. The most striking groups are in the south-central and south-western U.S., as well as in the area that encompasses northern Florida and southern Georgia, with deviations above 10-15% (Figures 3b-c). Another cluster of anomalous deviations, although not as strong, is observed along the Appalachian range. All these clusters are observed independently of the assumption on the distribution of the yearly number of exceedances, since a similar structure is observed for both a PSN (Figure 3b) and BIN or NEG (Figure 3c) count model. However, in the latter case, some clusters are more widespread (e.g., clusters B and E in Figure 3c), and more anomalous watersheds are observed, including in regions that are not affected when considering a PSN count model (e.g., group H in Figure 3c).</w:t>
      </w:r>
    </w:p>
    <w:p w14:paraId="1E48EF86" w14:textId="77777777" w:rsidR="00C6422E" w:rsidRPr="00C6422E" w:rsidRDefault="00C6422E" w:rsidP="00092ED3">
      <w:pPr>
        <w:ind w:firstLine="720"/>
        <w:jc w:val="both"/>
        <w:rPr>
          <w:sz w:val="24"/>
          <w:szCs w:val="24"/>
        </w:rPr>
      </w:pPr>
      <w:r w:rsidRPr="00C6422E">
        <w:rPr>
          <w:sz w:val="24"/>
          <w:szCs w:val="24"/>
        </w:rPr>
        <w:t>A BIN or NEG count model results in overall larger deviations. For instance, for the clusters observed in Kansas and Texas, the duality-derived estimates under BIN (or NEG) count model often predict levels of underestimation 25% larger than the observed (Figure 3c), while under the assumption of a PSN count model absolute deviations typically do not exceed 10% (Figure 3b). There are a few catchments in the Sierra Nevada/Great Basin and at the boundary between Georgia and South Carolina where an opposite behavior is observed, i.e., deviations are larger when a PSN count model is considered. It is worth noting that in these few watersheds the hypothesis that the number of exceedances is PSN distributed can be rejected, based on the Chi-square GOF test (</w:t>
      </w:r>
      <w:proofErr w:type="spellStart"/>
      <w:r w:rsidRPr="00C6422E">
        <w:rPr>
          <w:sz w:val="24"/>
          <w:szCs w:val="24"/>
        </w:rPr>
        <w:t>Kottegoda</w:t>
      </w:r>
      <w:proofErr w:type="spellEnd"/>
      <w:r w:rsidRPr="00C6422E">
        <w:rPr>
          <w:sz w:val="24"/>
          <w:szCs w:val="24"/>
        </w:rPr>
        <w:t xml:space="preserve"> &amp; Rosso, 1997; open circles in Figure 3b), but not the hypotheses of a BIN or NEG count model (open circles and open triangles in Figure 3c, respectively). </w:t>
      </w:r>
    </w:p>
    <w:p w14:paraId="6F19B83A" w14:textId="677E8A27" w:rsidR="00C6422E" w:rsidRPr="00C6422E" w:rsidRDefault="00C6422E" w:rsidP="00092ED3">
      <w:pPr>
        <w:ind w:firstLine="720"/>
        <w:jc w:val="both"/>
        <w:rPr>
          <w:sz w:val="24"/>
          <w:szCs w:val="24"/>
        </w:rPr>
      </w:pPr>
      <w:r w:rsidRPr="00C6422E">
        <w:rPr>
          <w:sz w:val="24"/>
          <w:szCs w:val="24"/>
        </w:rPr>
        <w:t xml:space="preserve">However, from a broader perspective, looking at the distribution of the number of exceedances is not decisive to choose the most accurate expression for duality-based predictions of underestimation. The point biserial correlation between watersheds where, e.g., PSN can be rejected and catchments where </w:t>
      </w:r>
      <m:oMath>
        <m:d>
          <m:dPr>
            <m:begChr m:val="|"/>
            <m:endChr m:val="|"/>
            <m:ctrlPr>
              <w:rPr>
                <w:rFonts w:ascii="Cambria Math" w:hAnsi="Cambria Math"/>
                <w:i/>
                <w:sz w:val="24"/>
                <w:szCs w:val="24"/>
              </w:rPr>
            </m:ctrlPr>
          </m:dPr>
          <m:e>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e>
        </m:d>
      </m:oMath>
      <w:r w:rsidRPr="00C6422E">
        <w:rPr>
          <w:sz w:val="24"/>
          <w:szCs w:val="24"/>
        </w:rPr>
        <w:t xml:space="preserve"> exceeds 8% is a modest 0.40. The p-value of the Chi-square test and the magnitude of the deviation are also poorly correlated. Furthermore, there is some overlap between basins where all the three considered count models should be rejected, and interestingly all these watersheds belong to the clusters of basins with large deviations (Figures 3b-c). Thus, the reasons for the poor performance of the duality-based predictions of underestimation must be identified by looking at what other theoretical assumptions are violated in regions with large deviations, beyond what distribution best fits the series of the annual count of exceedances. We propose an explanation in Subsection 4.4.</w:t>
      </w:r>
    </w:p>
    <w:p w14:paraId="48BD6D06" w14:textId="179CF23C" w:rsidR="00C6422E" w:rsidRDefault="00C6422E" w:rsidP="00092ED3">
      <w:pPr>
        <w:ind w:firstLine="720"/>
        <w:jc w:val="both"/>
        <w:rPr>
          <w:sz w:val="24"/>
          <w:szCs w:val="24"/>
          <w:lang w:val="en-GB"/>
        </w:rPr>
      </w:pPr>
      <w:r w:rsidRPr="00C6422E">
        <w:rPr>
          <w:sz w:val="24"/>
          <w:szCs w:val="24"/>
          <w:lang w:val="en-GB"/>
        </w:rPr>
        <w:t xml:space="preserve">So far, all comparisons between observed and theoretical underestimation have focused on the 1.5-year event, taken as a representative FF. Figure 4 shows the observed and duality-derived underestimation for other FF quantiles, considering values of </w:t>
      </w:r>
      <m:oMath>
        <m:r>
          <w:rPr>
            <w:rFonts w:ascii="Cambria Math" w:hAnsi="Cambria Math"/>
            <w:sz w:val="24"/>
            <w:szCs w:val="24"/>
            <w:lang w:val="en-GB"/>
          </w:rPr>
          <m:t>T</m:t>
        </m:r>
      </m:oMath>
      <w:r w:rsidRPr="00C6422E">
        <w:rPr>
          <w:sz w:val="24"/>
          <w:szCs w:val="24"/>
          <w:lang w:val="en-GB"/>
        </w:rPr>
        <w:t xml:space="preserve"> up to 5 years. As expected, the underestimation tends to decrease for larger </w:t>
      </w:r>
      <m:oMath>
        <m:r>
          <w:rPr>
            <w:rFonts w:ascii="Cambria Math" w:hAnsi="Cambria Math"/>
            <w:sz w:val="24"/>
            <w:szCs w:val="24"/>
            <w:lang w:val="en-GB"/>
          </w:rPr>
          <m:t>T</m:t>
        </m:r>
      </m:oMath>
      <w:r w:rsidRPr="00C6422E">
        <w:rPr>
          <w:sz w:val="24"/>
          <w:szCs w:val="24"/>
          <w:lang w:val="en-GB"/>
        </w:rPr>
        <w:t xml:space="preserve">s, indicating that predictions from AM and POT-FFA converge for increasingly less frequent floods. This is consistent with Langbein’s equation (Eq. 1), which predicts smaller differences between </w:t>
      </w:r>
      <m:oMath>
        <m:r>
          <w:rPr>
            <w:rFonts w:ascii="Cambria Math" w:hAnsi="Cambria Math"/>
            <w:sz w:val="24"/>
            <w:szCs w:val="24"/>
            <w:lang w:val="en-GB"/>
          </w:rPr>
          <m:t>R</m:t>
        </m:r>
      </m:oMath>
      <w:r w:rsidRPr="00C6422E">
        <w:rPr>
          <w:sz w:val="24"/>
          <w:szCs w:val="24"/>
          <w:lang w:val="en-GB"/>
        </w:rPr>
        <w:t xml:space="preserve"> and </w:t>
      </w:r>
      <m:oMath>
        <m:r>
          <w:rPr>
            <w:rFonts w:ascii="Cambria Math" w:hAnsi="Cambria Math"/>
            <w:sz w:val="24"/>
            <w:szCs w:val="24"/>
            <w:lang w:val="en-GB"/>
          </w:rPr>
          <m:t>ARI</m:t>
        </m:r>
      </m:oMath>
      <w:r w:rsidRPr="00C6422E">
        <w:rPr>
          <w:sz w:val="24"/>
          <w:szCs w:val="24"/>
          <w:lang w:val="en-GB"/>
        </w:rPr>
        <w:t xml:space="preserve"> for increasing </w:t>
      </w:r>
      <m:oMath>
        <m:r>
          <w:rPr>
            <w:rFonts w:ascii="Cambria Math" w:hAnsi="Cambria Math"/>
            <w:sz w:val="24"/>
            <w:szCs w:val="24"/>
            <w:lang w:val="en-GB"/>
          </w:rPr>
          <m:t>T</m:t>
        </m:r>
      </m:oMath>
      <w:r w:rsidRPr="00C6422E">
        <w:rPr>
          <w:sz w:val="24"/>
          <w:szCs w:val="24"/>
          <w:lang w:val="en-GB"/>
        </w:rPr>
        <w:t xml:space="preserve"> (Wang &amp; Holmes, 2020). </w:t>
      </w:r>
    </w:p>
    <w:p w14:paraId="39138C71" w14:textId="50CA1C7C" w:rsidR="00147BD7" w:rsidRPr="00C6422E" w:rsidRDefault="00147BD7" w:rsidP="00147BD7">
      <w:pPr>
        <w:jc w:val="both"/>
        <w:rPr>
          <w:sz w:val="24"/>
          <w:szCs w:val="24"/>
          <w:lang w:val="en-GB"/>
        </w:rPr>
      </w:pPr>
      <w:r>
        <w:rPr>
          <w:noProof/>
          <w:sz w:val="24"/>
          <w:szCs w:val="24"/>
          <w:lang w:val="en-GB"/>
        </w:rPr>
        <w:lastRenderedPageBreak/>
        <w:drawing>
          <wp:inline distT="0" distB="0" distL="0" distR="0" wp14:anchorId="68A7039A" wp14:editId="47BDA0AE">
            <wp:extent cx="5937250" cy="71056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7250" cy="7105650"/>
                    </a:xfrm>
                    <a:prstGeom prst="rect">
                      <a:avLst/>
                    </a:prstGeom>
                    <a:noFill/>
                    <a:ln>
                      <a:noFill/>
                    </a:ln>
                  </pic:spPr>
                </pic:pic>
              </a:graphicData>
            </a:graphic>
          </wp:inline>
        </w:drawing>
      </w:r>
    </w:p>
    <w:p w14:paraId="7C6E2321" w14:textId="3ADE9C2C" w:rsidR="00B2051D" w:rsidRDefault="00B2051D" w:rsidP="00B2051D">
      <w:pPr>
        <w:pStyle w:val="FigureorTableCaption"/>
        <w:ind w:firstLine="720"/>
      </w:pPr>
      <w:r>
        <w:rPr>
          <w:b/>
        </w:rPr>
        <w:t>Figure</w:t>
      </w:r>
      <w:r w:rsidRPr="007443BB">
        <w:rPr>
          <w:b/>
        </w:rPr>
        <w:t xml:space="preserve"> </w:t>
      </w:r>
      <w:r w:rsidR="0089665B">
        <w:rPr>
          <w:b/>
        </w:rPr>
        <w:t>4</w:t>
      </w:r>
      <w:r>
        <w:t xml:space="preserve">. </w:t>
      </w:r>
      <w:r w:rsidR="0089665B" w:rsidRPr="0089665B">
        <w:t xml:space="preserve">Spatial distribution of the observed underestimation </w:t>
      </w:r>
      <m:oMath>
        <m:r>
          <w:rPr>
            <w:rFonts w:ascii="Cambria Math" w:hAnsi="Cambria Math"/>
          </w:rPr>
          <m:t>u</m:t>
        </m:r>
        <m:d>
          <m:dPr>
            <m:ctrlPr>
              <w:rPr>
                <w:rFonts w:ascii="Cambria Math" w:hAnsi="Cambria Math"/>
                <w:i/>
                <w:iCs/>
              </w:rPr>
            </m:ctrlPr>
          </m:dPr>
          <m:e>
            <m:r>
              <w:rPr>
                <w:rFonts w:ascii="Cambria Math" w:hAnsi="Cambria Math"/>
              </w:rPr>
              <m:t>T</m:t>
            </m:r>
          </m:e>
        </m:d>
      </m:oMath>
      <w:r w:rsidR="0089665B" w:rsidRPr="0089665B">
        <w:t xml:space="preserve">, and duality-derived underestimations </w:t>
      </w:r>
      <m:oMath>
        <m:acc>
          <m:accPr>
            <m:ctrlPr>
              <w:rPr>
                <w:rFonts w:ascii="Cambria Math" w:hAnsi="Cambria Math"/>
                <w:i/>
                <w:iCs/>
              </w:rPr>
            </m:ctrlPr>
          </m:accPr>
          <m:e>
            <m:r>
              <w:rPr>
                <w:rFonts w:ascii="Cambria Math" w:hAnsi="Cambria Math"/>
              </w:rPr>
              <m:t>u</m:t>
            </m:r>
          </m:e>
        </m:acc>
        <m:d>
          <m:dPr>
            <m:ctrlPr>
              <w:rPr>
                <w:rFonts w:ascii="Cambria Math" w:hAnsi="Cambria Math"/>
                <w:i/>
                <w:iCs/>
              </w:rPr>
            </m:ctrlPr>
          </m:dPr>
          <m:e>
            <m:sSub>
              <m:sSubPr>
                <m:ctrlPr>
                  <w:rPr>
                    <w:rFonts w:ascii="Cambria Math" w:hAnsi="Cambria Math"/>
                    <w:i/>
                    <w:iCs/>
                  </w:rPr>
                </m:ctrlPr>
              </m:sSubPr>
              <m:e>
                <m:sSub>
                  <m:sSubPr>
                    <m:ctrlPr>
                      <w:rPr>
                        <w:rFonts w:ascii="Cambria Math" w:hAnsi="Cambria Math"/>
                        <w:i/>
                        <w:iCs/>
                      </w:rPr>
                    </m:ctrlPr>
                  </m:sSubPr>
                  <m:e>
                    <m:r>
                      <w:rPr>
                        <w:rFonts w:ascii="Cambria Math" w:hAnsi="Cambria Math"/>
                      </w:rPr>
                      <m:t>ξ</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 μ</m:t>
                </m:r>
              </m:e>
              <m:sub>
                <m:r>
                  <w:rPr>
                    <w:rFonts w:ascii="Cambria Math" w:hAnsi="Cambria Math"/>
                  </w:rPr>
                  <m:t>g</m:t>
                </m:r>
              </m:sub>
            </m:sSub>
            <m:r>
              <w:rPr>
                <w:rFonts w:ascii="Cambria Math" w:hAnsi="Cambria Math"/>
              </w:rPr>
              <m:t>,T</m:t>
            </m:r>
          </m:e>
        </m:d>
      </m:oMath>
      <w:r w:rsidR="0089665B" w:rsidRPr="0089665B">
        <w:t xml:space="preserve">, and </w:t>
      </w:r>
      <m:oMath>
        <m:acc>
          <m:accPr>
            <m:ctrlPr>
              <w:rPr>
                <w:rFonts w:ascii="Cambria Math" w:hAnsi="Cambria Math"/>
                <w:i/>
                <w:iCs/>
              </w:rPr>
            </m:ctrlPr>
          </m:accPr>
          <m:e>
            <m:r>
              <w:rPr>
                <w:rFonts w:ascii="Cambria Math" w:hAnsi="Cambria Math"/>
              </w:rPr>
              <m:t>u</m:t>
            </m:r>
          </m:e>
        </m:acc>
        <m:d>
          <m:dPr>
            <m:ctrlPr>
              <w:rPr>
                <w:rFonts w:ascii="Cambria Math" w:hAnsi="Cambria Math"/>
                <w:i/>
                <w:iCs/>
              </w:rPr>
            </m:ctrlPr>
          </m:dPr>
          <m:e>
            <m:sSub>
              <m:sSubPr>
                <m:ctrlPr>
                  <w:rPr>
                    <w:rFonts w:ascii="Cambria Math" w:hAnsi="Cambria Math"/>
                    <w:i/>
                    <w:iCs/>
                  </w:rPr>
                </m:ctrlPr>
              </m:sSubPr>
              <m:e>
                <m:sSub>
                  <m:sSubPr>
                    <m:ctrlPr>
                      <w:rPr>
                        <w:rFonts w:ascii="Cambria Math" w:hAnsi="Cambria Math"/>
                        <w:i/>
                        <w:iCs/>
                      </w:rPr>
                    </m:ctrlPr>
                  </m:sSubPr>
                  <m:e>
                    <m:r>
                      <w:rPr>
                        <w:rFonts w:ascii="Cambria Math" w:hAnsi="Cambria Math"/>
                      </w:rPr>
                      <m:t>ξ</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p</m:t>
                    </m:r>
                  </m:sub>
                </m:sSub>
                <m:r>
                  <w:rPr>
                    <w:rFonts w:ascii="Cambria Math" w:hAnsi="Cambria Math"/>
                  </w:rPr>
                  <m:t>, μ</m:t>
                </m:r>
              </m:e>
              <m:sub>
                <m:r>
                  <w:rPr>
                    <w:rFonts w:ascii="Cambria Math" w:hAnsi="Cambria Math"/>
                  </w:rPr>
                  <m:t>p</m:t>
                </m:r>
              </m:sub>
            </m:sSub>
            <m:r>
              <w:rPr>
                <w:rFonts w:ascii="Cambria Math" w:hAnsi="Cambria Math"/>
              </w:rPr>
              <m:t>,λ,η,T</m:t>
            </m:r>
          </m:e>
        </m:d>
      </m:oMath>
      <w:r w:rsidR="0089665B" w:rsidRPr="0089665B">
        <w:t xml:space="preserve">, for a range of </w:t>
      </w:r>
      <m:oMath>
        <m:r>
          <w:rPr>
            <w:rFonts w:ascii="Cambria Math" w:hAnsi="Cambria Math"/>
          </w:rPr>
          <m:t>T</m:t>
        </m:r>
      </m:oMath>
      <w:r w:rsidR="0089665B" w:rsidRPr="0089665B">
        <w:t>s</w:t>
      </w:r>
      <w:r w:rsidRPr="00B2051D">
        <w:t xml:space="preserve">. </w:t>
      </w:r>
    </w:p>
    <w:p w14:paraId="4CCE804B" w14:textId="77777777" w:rsidR="00B2051D" w:rsidRDefault="00B2051D" w:rsidP="007C62D4">
      <w:pPr>
        <w:ind w:firstLine="720"/>
        <w:jc w:val="both"/>
        <w:rPr>
          <w:b/>
          <w:bCs/>
          <w:sz w:val="24"/>
          <w:szCs w:val="24"/>
        </w:rPr>
      </w:pPr>
    </w:p>
    <w:p w14:paraId="6C3D67AC" w14:textId="77777777" w:rsidR="00AB5BA0" w:rsidRPr="007C62D4" w:rsidRDefault="00AB5BA0" w:rsidP="00092ED3">
      <w:pPr>
        <w:ind w:firstLine="720"/>
        <w:jc w:val="both"/>
        <w:rPr>
          <w:sz w:val="24"/>
          <w:szCs w:val="24"/>
        </w:rPr>
      </w:pPr>
    </w:p>
    <w:p w14:paraId="260C6502" w14:textId="688C5FA0" w:rsidR="00C6422E" w:rsidRPr="00C6422E" w:rsidRDefault="00C6422E" w:rsidP="00092ED3">
      <w:pPr>
        <w:ind w:firstLine="720"/>
        <w:jc w:val="both"/>
        <w:rPr>
          <w:sz w:val="24"/>
          <w:szCs w:val="24"/>
        </w:rPr>
      </w:pPr>
      <w:r w:rsidRPr="00C6422E">
        <w:rPr>
          <w:sz w:val="24"/>
          <w:szCs w:val="24"/>
          <w:lang w:val="en-GB"/>
        </w:rPr>
        <w:lastRenderedPageBreak/>
        <w:t xml:space="preserve">Relatively higher underestimation rates are still observed in south-central and south-western U.S., independently of </w:t>
      </w:r>
      <m:oMath>
        <m:r>
          <w:rPr>
            <w:rFonts w:ascii="Cambria Math" w:hAnsi="Cambria Math"/>
            <w:sz w:val="24"/>
            <w:szCs w:val="24"/>
            <w:lang w:val="en-GB"/>
          </w:rPr>
          <m:t>T</m:t>
        </m:r>
      </m:oMath>
      <w:r w:rsidRPr="00C6422E">
        <w:rPr>
          <w:sz w:val="24"/>
          <w:szCs w:val="24"/>
          <w:lang w:val="en-GB"/>
        </w:rPr>
        <w:t xml:space="preserve">, so that the spatial structure of </w:t>
      </w:r>
      <m:oMath>
        <m:r>
          <w:rPr>
            <w:rFonts w:ascii="Cambria Math" w:hAnsi="Cambria Math"/>
            <w:sz w:val="24"/>
            <w:szCs w:val="24"/>
          </w:rPr>
          <m:t>u(T)</m:t>
        </m:r>
      </m:oMath>
      <w:r w:rsidRPr="00C6422E">
        <w:rPr>
          <w:sz w:val="24"/>
          <w:szCs w:val="24"/>
        </w:rPr>
        <w:t xml:space="preserve"> is preserved. Both duality-derived underestimations,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C6422E">
        <w:rPr>
          <w:sz w:val="24"/>
          <w:szCs w:val="24"/>
        </w:rPr>
        <w:t xml:space="preserve"> and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p</m:t>
            </m:r>
          </m:sub>
        </m:sSub>
        <m:r>
          <w:rPr>
            <w:rFonts w:ascii="Cambria Math" w:hAnsi="Cambria Math"/>
            <w:sz w:val="24"/>
            <w:szCs w:val="24"/>
          </w:rPr>
          <m:t>, λ, η,T)</m:t>
        </m:r>
      </m:oMath>
      <w:r w:rsidRPr="00C6422E">
        <w:rPr>
          <w:sz w:val="24"/>
          <w:szCs w:val="24"/>
        </w:rPr>
        <w:t xml:space="preserve">,  match the observed underestimation, overall.  </w:t>
      </w:r>
    </w:p>
    <w:p w14:paraId="06438A95" w14:textId="4ECB5395" w:rsidR="000D1940" w:rsidRPr="00DC1507" w:rsidRDefault="000D1940" w:rsidP="000D1940">
      <w:pPr>
        <w:pStyle w:val="Heading-Main"/>
        <w:ind w:firstLine="720"/>
        <w:rPr>
          <w:lang w:val="en-GB"/>
        </w:rPr>
      </w:pPr>
      <w:r>
        <w:rPr>
          <w:b w:val="0"/>
          <w:bCs w:val="0"/>
        </w:rPr>
        <w:t>4.2</w:t>
      </w:r>
      <w:r w:rsidRPr="00EF003B">
        <w:rPr>
          <w:b w:val="0"/>
          <w:bCs w:val="0"/>
        </w:rPr>
        <w:t xml:space="preserve"> </w:t>
      </w:r>
      <w:r w:rsidR="00DC1507" w:rsidRPr="00DC1507">
        <w:t xml:space="preserve">Duality as a tool to adjust AM-based FF </w:t>
      </w:r>
      <w:proofErr w:type="gramStart"/>
      <w:r w:rsidR="00DC1507" w:rsidRPr="00DC1507">
        <w:t>estimates</w:t>
      </w:r>
      <w:proofErr w:type="gramEnd"/>
    </w:p>
    <w:p w14:paraId="341FEFF0" w14:textId="7B1EAC92" w:rsidR="002B676D" w:rsidRPr="002B676D" w:rsidRDefault="002B676D" w:rsidP="00092ED3">
      <w:pPr>
        <w:ind w:firstLine="720"/>
        <w:jc w:val="both"/>
        <w:rPr>
          <w:sz w:val="24"/>
          <w:szCs w:val="24"/>
        </w:rPr>
      </w:pPr>
      <w:r w:rsidRPr="002B676D">
        <w:rPr>
          <w:sz w:val="24"/>
          <w:szCs w:val="24"/>
        </w:rPr>
        <w:t xml:space="preserve">From a practical standpoint, Eq. (21) can be used to estimate the amount of FF underestimation by AM-FFA without the need to compare the AM-based estimate of the </w:t>
      </w:r>
      <m:oMath>
        <m:r>
          <w:rPr>
            <w:rFonts w:ascii="Cambria Math" w:hAnsi="Cambria Math"/>
            <w:sz w:val="24"/>
            <w:szCs w:val="24"/>
          </w:rPr>
          <m:t>T</m:t>
        </m:r>
      </m:oMath>
      <w:r w:rsidRPr="002B676D">
        <w:rPr>
          <w:sz w:val="24"/>
          <w:szCs w:val="24"/>
        </w:rPr>
        <w:t xml:space="preserve">-year event to the corresponding POT value. Like Langbein’s equation (Eq. 1), Eq. (21) is valid under the assumption of a PSN count model for the annual number of exceedances. The duality-derived quantile ratio </w:t>
      </w:r>
      <m:oMath>
        <m:acc>
          <m:accPr>
            <m:ctrlPr>
              <w:rPr>
                <w:rFonts w:ascii="Cambria Math" w:hAnsi="Cambria Math"/>
                <w:i/>
                <w:sz w:val="24"/>
                <w:szCs w:val="24"/>
              </w:rPr>
            </m:ctrlPr>
          </m:accPr>
          <m:e>
            <m:r>
              <w:rPr>
                <w:rFonts w:ascii="Cambria Math" w:hAnsi="Cambria Math"/>
                <w:sz w:val="24"/>
                <w:szCs w:val="24"/>
              </w:rPr>
              <m:t>r</m:t>
            </m:r>
          </m:e>
        </m:acc>
        <m:d>
          <m:dPr>
            <m:ctrlPr>
              <w:rPr>
                <w:rFonts w:ascii="Cambria Math" w:hAnsi="Cambria Math"/>
                <w:i/>
                <w:sz w:val="24"/>
                <w:szCs w:val="24"/>
              </w:rPr>
            </m:ctrlPr>
          </m:dPr>
          <m:e>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 μ</m:t>
                </m:r>
              </m:e>
              <m:sub>
                <m:r>
                  <w:rPr>
                    <w:rFonts w:ascii="Cambria Math" w:hAnsi="Cambria Math"/>
                    <w:sz w:val="24"/>
                    <w:szCs w:val="24"/>
                  </w:rPr>
                  <m:t>g</m:t>
                </m:r>
              </m:sub>
            </m:sSub>
            <m:r>
              <w:rPr>
                <w:rFonts w:ascii="Cambria Math" w:hAnsi="Cambria Math"/>
                <w:sz w:val="24"/>
                <w:szCs w:val="24"/>
              </w:rPr>
              <m:t>,T</m:t>
            </m:r>
          </m:e>
        </m:d>
      </m:oMath>
      <w:r w:rsidRPr="002B676D">
        <w:rPr>
          <w:sz w:val="24"/>
          <w:szCs w:val="24"/>
        </w:rPr>
        <w:t xml:space="preserve"> can be regarded as a correction coefficient of the </w:t>
      </w:r>
      <m:oMath>
        <m:r>
          <w:rPr>
            <w:rFonts w:ascii="Cambria Math" w:hAnsi="Cambria Math"/>
            <w:sz w:val="24"/>
            <w:szCs w:val="24"/>
          </w:rPr>
          <m:t>T</m:t>
        </m:r>
      </m:oMath>
      <w:r w:rsidRPr="002B676D">
        <w:rPr>
          <w:sz w:val="24"/>
          <w:szCs w:val="24"/>
        </w:rPr>
        <w:t xml:space="preserve">-year quantile obtained from AM-FFA, function of </w:t>
      </w:r>
      <m:oMath>
        <m:r>
          <w:rPr>
            <w:rFonts w:ascii="Cambria Math" w:hAnsi="Cambria Math"/>
            <w:sz w:val="24"/>
            <w:szCs w:val="24"/>
          </w:rPr>
          <m:t>T</m:t>
        </m:r>
      </m:oMath>
      <w:r w:rsidRPr="002B676D">
        <w:rPr>
          <w:sz w:val="24"/>
          <w:szCs w:val="24"/>
        </w:rPr>
        <w:t xml:space="preserve"> and the GEV parameters. The corrected, duality-based </w:t>
      </w:r>
      <m:oMath>
        <m:r>
          <w:rPr>
            <w:rFonts w:ascii="Cambria Math" w:hAnsi="Cambria Math"/>
            <w:sz w:val="24"/>
            <w:szCs w:val="24"/>
          </w:rPr>
          <m:t>T</m:t>
        </m:r>
      </m:oMath>
      <w:r w:rsidRPr="002B676D">
        <w:rPr>
          <w:sz w:val="24"/>
          <w:szCs w:val="24"/>
        </w:rPr>
        <w:t xml:space="preserve">-year quantile </w:t>
      </w:r>
      <m:oMath>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POT</m:t>
            </m:r>
          </m:sub>
          <m:sup>
            <m:r>
              <w:rPr>
                <w:rFonts w:ascii="Cambria Math" w:hAnsi="Cambria Math"/>
                <w:sz w:val="24"/>
                <w:szCs w:val="24"/>
              </w:rPr>
              <m:t>*</m:t>
            </m:r>
          </m:sup>
        </m:sSubSup>
        <m:d>
          <m:dPr>
            <m:ctrlPr>
              <w:rPr>
                <w:rFonts w:ascii="Cambria Math" w:hAnsi="Cambria Math"/>
                <w:i/>
                <w:sz w:val="24"/>
                <w:szCs w:val="24"/>
              </w:rPr>
            </m:ctrlPr>
          </m:dPr>
          <m:e>
            <m:r>
              <w:rPr>
                <w:rFonts w:ascii="Cambria Math" w:hAnsi="Cambria Math"/>
                <w:sz w:val="24"/>
                <w:szCs w:val="24"/>
              </w:rPr>
              <m:t>T</m:t>
            </m:r>
          </m:e>
        </m:d>
      </m:oMath>
      <w:r w:rsidRPr="002B676D">
        <w:rPr>
          <w:sz w:val="24"/>
          <w:szCs w:val="24"/>
        </w:rPr>
        <w:t xml:space="preserve"> can be obtained from the AM-based quantile using Eq. (30), without the need to perform POT-FFA.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4"/>
        <w:gridCol w:w="1336"/>
      </w:tblGrid>
      <w:tr w:rsidR="002B676D" w:rsidRPr="002B676D" w14:paraId="42E66318" w14:textId="77777777" w:rsidTr="002B676D">
        <w:tc>
          <w:tcPr>
            <w:tcW w:w="8444" w:type="dxa"/>
            <w:vAlign w:val="center"/>
          </w:tcPr>
          <w:p w14:paraId="4844AB12" w14:textId="507C3809" w:rsidR="002B676D" w:rsidRPr="002B676D" w:rsidRDefault="00990971" w:rsidP="00092ED3">
            <w:pPr>
              <w:ind w:firstLine="720"/>
              <w:jc w:val="both"/>
              <w:rPr>
                <w:sz w:val="24"/>
                <w:szCs w:val="24"/>
              </w:rPr>
            </w:pPr>
            <m:oMathPara>
              <m:oMathParaPr>
                <m:jc m:val="center"/>
              </m:oMathParaPr>
              <m:oMath>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POT</m:t>
                    </m:r>
                  </m:sub>
                  <m:sup>
                    <m:r>
                      <w:rPr>
                        <w:rFonts w:ascii="Cambria Math" w:hAnsi="Cambria Math"/>
                        <w:sz w:val="24"/>
                        <w:szCs w:val="24"/>
                      </w:rPr>
                      <m:t>*</m:t>
                    </m:r>
                  </m:sup>
                </m:sSub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acc>
                      <m:accPr>
                        <m:ctrlPr>
                          <w:rPr>
                            <w:rFonts w:ascii="Cambria Math" w:hAnsi="Cambria Math"/>
                            <w:i/>
                            <w:sz w:val="24"/>
                            <w:szCs w:val="24"/>
                          </w:rPr>
                        </m:ctrlPr>
                      </m:accPr>
                      <m:e>
                        <m:r>
                          <w:rPr>
                            <w:rFonts w:ascii="Cambria Math" w:hAnsi="Cambria Math"/>
                            <w:sz w:val="24"/>
                            <w:szCs w:val="24"/>
                          </w:rPr>
                          <m:t>r</m:t>
                        </m:r>
                      </m:e>
                    </m:acc>
                    <m:d>
                      <m:dPr>
                        <m:ctrlPr>
                          <w:rPr>
                            <w:rFonts w:ascii="Cambria Math" w:hAnsi="Cambria Math"/>
                            <w:i/>
                            <w:sz w:val="24"/>
                            <w:szCs w:val="24"/>
                          </w:rPr>
                        </m:ctrlPr>
                      </m:dPr>
                      <m:e>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 xml:space="preserve">, </m:t>
                            </m:r>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m:t>
                        </m:r>
                        <m:r>
                          <w:rPr>
                            <w:rFonts w:ascii="Cambria Math" w:hAnsi="Cambria Math"/>
                            <w:sz w:val="24"/>
                            <w:szCs w:val="24"/>
                          </w:rPr>
                          <m:t>T</m:t>
                        </m:r>
                      </m:e>
                    </m:d>
                  </m:den>
                </m:f>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AM</m:t>
                    </m:r>
                  </m:sub>
                </m:sSub>
                <m:r>
                  <w:rPr>
                    <w:rFonts w:ascii="Cambria Math" w:hAnsi="Cambria Math"/>
                    <w:sz w:val="24"/>
                    <w:szCs w:val="24"/>
                  </w:rPr>
                  <m:t>(</m:t>
                </m:r>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 xml:space="preserve">, </m:t>
                    </m:r>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m:t>
                </m:r>
                <m:r>
                  <w:rPr>
                    <w:rFonts w:ascii="Cambria Math" w:hAnsi="Cambria Math"/>
                    <w:sz w:val="24"/>
                    <w:szCs w:val="24"/>
                  </w:rPr>
                  <m:t>T</m:t>
                </m:r>
                <m:r>
                  <w:rPr>
                    <w:rFonts w:ascii="Cambria Math" w:hAnsi="Cambria Math"/>
                    <w:sz w:val="24"/>
                    <w:szCs w:val="24"/>
                  </w:rPr>
                  <m:t>)</m:t>
                </m:r>
              </m:oMath>
            </m:oMathPara>
          </w:p>
        </w:tc>
        <w:tc>
          <w:tcPr>
            <w:tcW w:w="616" w:type="dxa"/>
            <w:vAlign w:val="center"/>
          </w:tcPr>
          <w:p w14:paraId="0D63A610" w14:textId="77777777" w:rsidR="002B676D" w:rsidRPr="002B676D" w:rsidRDefault="002B676D" w:rsidP="00092ED3">
            <w:pPr>
              <w:ind w:firstLine="720"/>
              <w:jc w:val="both"/>
              <w:rPr>
                <w:sz w:val="24"/>
                <w:szCs w:val="24"/>
              </w:rPr>
            </w:pPr>
            <w:r w:rsidRPr="002B676D">
              <w:rPr>
                <w:sz w:val="24"/>
                <w:szCs w:val="24"/>
              </w:rPr>
              <w:t>(</w:t>
            </w:r>
            <w:r w:rsidRPr="002B676D">
              <w:rPr>
                <w:sz w:val="24"/>
                <w:szCs w:val="24"/>
              </w:rPr>
              <w:fldChar w:fldCharType="begin"/>
            </w:r>
            <w:r w:rsidRPr="002B676D">
              <w:rPr>
                <w:sz w:val="24"/>
                <w:szCs w:val="24"/>
              </w:rPr>
              <w:instrText xml:space="preserve"> SEQ Equazione \* ARABIC </w:instrText>
            </w:r>
            <w:r w:rsidRPr="002B676D">
              <w:rPr>
                <w:sz w:val="24"/>
                <w:szCs w:val="24"/>
              </w:rPr>
              <w:fldChar w:fldCharType="separate"/>
            </w:r>
            <w:r w:rsidRPr="002B676D">
              <w:rPr>
                <w:sz w:val="24"/>
                <w:szCs w:val="24"/>
              </w:rPr>
              <w:t>30</w:t>
            </w:r>
            <w:r w:rsidRPr="002B676D">
              <w:rPr>
                <w:sz w:val="24"/>
                <w:szCs w:val="24"/>
              </w:rPr>
              <w:fldChar w:fldCharType="end"/>
            </w:r>
            <w:r w:rsidRPr="002B676D">
              <w:rPr>
                <w:sz w:val="24"/>
                <w:szCs w:val="24"/>
              </w:rPr>
              <w:t>)</w:t>
            </w:r>
          </w:p>
        </w:tc>
      </w:tr>
    </w:tbl>
    <w:p w14:paraId="1B745ACD" w14:textId="77777777" w:rsidR="002B676D" w:rsidRPr="002B676D" w:rsidRDefault="002B676D" w:rsidP="00092ED3">
      <w:pPr>
        <w:ind w:firstLine="720"/>
        <w:jc w:val="both"/>
        <w:rPr>
          <w:sz w:val="24"/>
          <w:szCs w:val="24"/>
        </w:rPr>
      </w:pPr>
      <w:r w:rsidRPr="002B676D">
        <w:rPr>
          <w:sz w:val="24"/>
          <w:szCs w:val="24"/>
        </w:rPr>
        <w:t xml:space="preserve">Although the accuracy of the predicted underestimation is lower in some regions (Figure 3b), the errors between observed and predicted underestimation are relatively small, so that </w:t>
      </w:r>
      <w:proofErr w:type="gramStart"/>
      <w:r w:rsidRPr="002B676D">
        <w:rPr>
          <w:sz w:val="24"/>
          <w:szCs w:val="24"/>
        </w:rPr>
        <w:t>overall</w:t>
      </w:r>
      <w:proofErr w:type="gramEnd"/>
      <w:r w:rsidRPr="002B676D">
        <w:rPr>
          <w:sz w:val="24"/>
          <w:szCs w:val="24"/>
        </w:rPr>
        <w:t xml:space="preserve"> the bias from applying an “incorrect correction” will still be much smaller than considering the AM-based FF quantile without any correction. </w:t>
      </w:r>
    </w:p>
    <w:p w14:paraId="59CC1E19" w14:textId="08477479" w:rsidR="002B676D" w:rsidRDefault="002B676D" w:rsidP="00092ED3">
      <w:pPr>
        <w:ind w:firstLine="720"/>
        <w:jc w:val="both"/>
        <w:rPr>
          <w:sz w:val="24"/>
          <w:szCs w:val="24"/>
        </w:rPr>
      </w:pPr>
      <w:r w:rsidRPr="002B676D">
        <w:rPr>
          <w:sz w:val="24"/>
          <w:szCs w:val="24"/>
        </w:rPr>
        <w:t xml:space="preserve"> It is preferable to use the GP-GEV duality and resulting </w:t>
      </w:r>
      <m:oMath>
        <m:acc>
          <m:accPr>
            <m:ctrlPr>
              <w:rPr>
                <w:rFonts w:ascii="Cambria Math" w:hAnsi="Cambria Math"/>
                <w:i/>
                <w:sz w:val="24"/>
                <w:szCs w:val="24"/>
              </w:rPr>
            </m:ctrlPr>
          </m:accPr>
          <m:e>
            <m:r>
              <w:rPr>
                <w:rFonts w:ascii="Cambria Math" w:hAnsi="Cambria Math"/>
                <w:sz w:val="24"/>
                <w:szCs w:val="24"/>
              </w:rPr>
              <m:t>r</m:t>
            </m:r>
          </m:e>
        </m:acc>
        <m:d>
          <m:dPr>
            <m:ctrlPr>
              <w:rPr>
                <w:rFonts w:ascii="Cambria Math" w:hAnsi="Cambria Math"/>
                <w:i/>
                <w:sz w:val="24"/>
                <w:szCs w:val="24"/>
              </w:rPr>
            </m:ctrlPr>
          </m:dPr>
          <m:e>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 μ</m:t>
                </m:r>
              </m:e>
              <m:sub>
                <m:r>
                  <w:rPr>
                    <w:rFonts w:ascii="Cambria Math" w:hAnsi="Cambria Math"/>
                    <w:sz w:val="24"/>
                    <w:szCs w:val="24"/>
                  </w:rPr>
                  <m:t>g</m:t>
                </m:r>
              </m:sub>
            </m:sSub>
            <m:r>
              <w:rPr>
                <w:rFonts w:ascii="Cambria Math" w:hAnsi="Cambria Math"/>
                <w:sz w:val="24"/>
                <w:szCs w:val="24"/>
              </w:rPr>
              <m:t>,T</m:t>
            </m:r>
          </m:e>
        </m:d>
      </m:oMath>
      <w:r w:rsidRPr="002B676D">
        <w:rPr>
          <w:sz w:val="24"/>
          <w:szCs w:val="24"/>
        </w:rPr>
        <w:t xml:space="preserve"> (Eq. 21) instead of the GP-K5E duality with its correction coefficient </w:t>
      </w:r>
      <m:oMath>
        <m:acc>
          <m:accPr>
            <m:ctrlPr>
              <w:rPr>
                <w:rFonts w:ascii="Cambria Math" w:hAnsi="Cambria Math"/>
                <w:i/>
                <w:sz w:val="24"/>
                <w:szCs w:val="24"/>
              </w:rPr>
            </m:ctrlPr>
          </m:accPr>
          <m:e>
            <m:r>
              <w:rPr>
                <w:rFonts w:ascii="Cambria Math" w:hAnsi="Cambria Math"/>
                <w:sz w:val="24"/>
                <w:szCs w:val="24"/>
              </w:rPr>
              <m:t>r</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p</m:t>
            </m:r>
          </m:sub>
        </m:sSub>
        <m:r>
          <w:rPr>
            <w:rFonts w:ascii="Cambria Math" w:hAnsi="Cambria Math"/>
            <w:sz w:val="24"/>
            <w:szCs w:val="24"/>
          </w:rPr>
          <m:t>, λ, η,T)</m:t>
        </m:r>
      </m:oMath>
      <w:r w:rsidRPr="002B676D">
        <w:rPr>
          <w:sz w:val="24"/>
          <w:szCs w:val="24"/>
        </w:rPr>
        <w:t xml:space="preserve"> (Eq. 23), because 1) the GP-GEV duality leads to smaller absolute errors than the GP-K5E duality, overall (Figure 3b-c); and 2) the GEV is a commonly used 3-parameter distribution, in contrast to the 5-parameter K5E required for computing </w:t>
      </w:r>
      <m:oMath>
        <m:acc>
          <m:accPr>
            <m:ctrlPr>
              <w:rPr>
                <w:rFonts w:ascii="Cambria Math" w:hAnsi="Cambria Math"/>
                <w:i/>
                <w:sz w:val="24"/>
                <w:szCs w:val="24"/>
              </w:rPr>
            </m:ctrlPr>
          </m:accPr>
          <m:e>
            <m:r>
              <w:rPr>
                <w:rFonts w:ascii="Cambria Math" w:hAnsi="Cambria Math"/>
                <w:sz w:val="24"/>
                <w:szCs w:val="24"/>
              </w:rPr>
              <m:t>r</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p</m:t>
            </m:r>
          </m:sub>
        </m:sSub>
        <m:r>
          <w:rPr>
            <w:rFonts w:ascii="Cambria Math" w:hAnsi="Cambria Math"/>
            <w:sz w:val="24"/>
            <w:szCs w:val="24"/>
          </w:rPr>
          <m:t>, λ, η,T)</m:t>
        </m:r>
      </m:oMath>
      <w:r w:rsidRPr="002B676D">
        <w:rPr>
          <w:sz w:val="24"/>
          <w:szCs w:val="24"/>
        </w:rPr>
        <w:t xml:space="preserve">. </w:t>
      </w:r>
    </w:p>
    <w:p w14:paraId="72557D81" w14:textId="363E74BA" w:rsidR="002B676D" w:rsidRPr="00DC1507" w:rsidRDefault="002B676D" w:rsidP="002B676D">
      <w:pPr>
        <w:pStyle w:val="Heading-Main"/>
        <w:ind w:firstLine="720"/>
        <w:rPr>
          <w:lang w:val="en-GB"/>
        </w:rPr>
      </w:pPr>
      <w:r>
        <w:rPr>
          <w:b w:val="0"/>
          <w:bCs w:val="0"/>
        </w:rPr>
        <w:t>4.</w:t>
      </w:r>
      <w:r w:rsidR="00E50A15">
        <w:rPr>
          <w:b w:val="0"/>
          <w:bCs w:val="0"/>
        </w:rPr>
        <w:t xml:space="preserve">3 </w:t>
      </w:r>
      <w:r w:rsidR="00E50A15" w:rsidRPr="00E50A15">
        <w:t>Theoretical and physical drivers of underestimation</w:t>
      </w:r>
    </w:p>
    <w:p w14:paraId="678A3380" w14:textId="77777777" w:rsidR="000E0245" w:rsidRDefault="00D43C8F" w:rsidP="00092ED3">
      <w:pPr>
        <w:ind w:firstLine="720"/>
        <w:jc w:val="both"/>
        <w:rPr>
          <w:sz w:val="24"/>
          <w:szCs w:val="24"/>
        </w:rPr>
      </w:pPr>
      <w:r w:rsidRPr="00D43C8F">
        <w:rPr>
          <w:sz w:val="24"/>
          <w:szCs w:val="24"/>
        </w:rPr>
        <w:t xml:space="preserve">Eq. (21) also affords to study the effects that GEV parameters have on the level of underestimation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D43C8F">
        <w:rPr>
          <w:sz w:val="24"/>
          <w:szCs w:val="24"/>
        </w:rPr>
        <w:t xml:space="preserve">. Figure 5 maps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D43C8F">
        <w:rPr>
          <w:sz w:val="24"/>
          <w:szCs w:val="24"/>
        </w:rPr>
        <w:t xml:space="preserve"> in the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oMath>
      <w:r w:rsidRPr="00D43C8F">
        <w:rPr>
          <w:sz w:val="24"/>
          <w:szCs w:val="24"/>
        </w:rPr>
        <w:t>-</w:t>
      </w:r>
      <m:oMath>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planes, for two values of </w:t>
      </w:r>
      <m:oMath>
        <m:r>
          <w:rPr>
            <w:rFonts w:ascii="Cambria Math" w:hAnsi="Cambria Math"/>
            <w:sz w:val="24"/>
            <w:szCs w:val="24"/>
          </w:rPr>
          <m:t>T</m:t>
        </m:r>
      </m:oMath>
      <w:r w:rsidRPr="00D43C8F">
        <w:rPr>
          <w:sz w:val="24"/>
          <w:szCs w:val="24"/>
        </w:rPr>
        <w:t xml:space="preserve">. </w:t>
      </w:r>
    </w:p>
    <w:p w14:paraId="5C3782D7" w14:textId="53E0B4B2" w:rsidR="000E0245" w:rsidRDefault="000E0245" w:rsidP="000E0245">
      <w:pPr>
        <w:jc w:val="both"/>
        <w:rPr>
          <w:sz w:val="24"/>
          <w:szCs w:val="24"/>
        </w:rPr>
      </w:pPr>
      <w:r>
        <w:rPr>
          <w:noProof/>
          <w:sz w:val="24"/>
          <w:szCs w:val="24"/>
        </w:rPr>
        <w:lastRenderedPageBreak/>
        <w:drawing>
          <wp:inline distT="0" distB="0" distL="0" distR="0" wp14:anchorId="54D3F381" wp14:editId="4A91BBDC">
            <wp:extent cx="5937250" cy="37401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7250" cy="3740150"/>
                    </a:xfrm>
                    <a:prstGeom prst="rect">
                      <a:avLst/>
                    </a:prstGeom>
                    <a:noFill/>
                    <a:ln>
                      <a:noFill/>
                    </a:ln>
                  </pic:spPr>
                </pic:pic>
              </a:graphicData>
            </a:graphic>
          </wp:inline>
        </w:drawing>
      </w:r>
    </w:p>
    <w:p w14:paraId="7BF80DF5" w14:textId="0A02246C" w:rsidR="00BC7776" w:rsidRPr="00BC7776" w:rsidRDefault="00665E4A" w:rsidP="00BC7776">
      <w:pPr>
        <w:pStyle w:val="FigureorTableCaption"/>
        <w:ind w:firstLine="720"/>
      </w:pPr>
      <w:r>
        <w:rPr>
          <w:b/>
        </w:rPr>
        <w:t>Figure</w:t>
      </w:r>
      <w:r w:rsidRPr="007443BB">
        <w:rPr>
          <w:b/>
        </w:rPr>
        <w:t xml:space="preserve"> </w:t>
      </w:r>
      <w:r w:rsidR="00BC7776">
        <w:rPr>
          <w:b/>
        </w:rPr>
        <w:t>5</w:t>
      </w:r>
      <w:r>
        <w:t xml:space="preserve">. </w:t>
      </w:r>
      <w:r w:rsidR="00BC7776" w:rsidRPr="00BC7776">
        <w:t>Case study basins mapped in the</w:t>
      </w:r>
      <m:oMath>
        <m:sSub>
          <m:sSubPr>
            <m:ctrlPr>
              <w:rPr>
                <w:rFonts w:ascii="Cambria Math" w:hAnsi="Cambria Math"/>
                <w:i/>
                <w:iCs/>
              </w:rPr>
            </m:ctrlPr>
          </m:sSubPr>
          <m:e>
            <m:r>
              <w:rPr>
                <w:rFonts w:ascii="Cambria Math" w:hAnsi="Cambria Math"/>
              </w:rPr>
              <m:t> μ</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g</m:t>
            </m:r>
          </m:sub>
        </m:sSub>
      </m:oMath>
      <w:r w:rsidR="00BC7776" w:rsidRPr="00BC7776">
        <w:t xml:space="preserve"> and </w:t>
      </w:r>
      <m:oMath>
        <m:sSub>
          <m:sSubPr>
            <m:ctrlPr>
              <w:rPr>
                <w:rFonts w:ascii="Cambria Math" w:hAnsi="Cambria Math"/>
                <w:i/>
                <w:iCs/>
              </w:rPr>
            </m:ctrlPr>
          </m:sSubPr>
          <m:e>
            <m:sSub>
              <m:sSubPr>
                <m:ctrlPr>
                  <w:rPr>
                    <w:rFonts w:ascii="Cambria Math" w:hAnsi="Cambria Math"/>
                    <w:i/>
                    <w:iCs/>
                  </w:rPr>
                </m:ctrlPr>
              </m:sSubPr>
              <m:e>
                <m:r>
                  <w:rPr>
                    <w:rFonts w:ascii="Cambria Math" w:hAnsi="Cambria Math"/>
                  </w:rPr>
                  <m:t>ξ</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/μ</m:t>
            </m:r>
          </m:e>
          <m:sub>
            <m:r>
              <w:rPr>
                <w:rFonts w:ascii="Cambria Math" w:hAnsi="Cambria Math"/>
              </w:rPr>
              <m:t>g</m:t>
            </m:r>
          </m:sub>
        </m:sSub>
      </m:oMath>
      <w:r w:rsidR="00BC7776" w:rsidRPr="00BC7776">
        <w:t xml:space="preserve"> planes. The color gradient shows the computed underestimation </w:t>
      </w:r>
      <m:oMath>
        <m:acc>
          <m:accPr>
            <m:ctrlPr>
              <w:rPr>
                <w:rFonts w:ascii="Cambria Math" w:hAnsi="Cambria Math"/>
                <w:i/>
                <w:iCs/>
              </w:rPr>
            </m:ctrlPr>
          </m:accPr>
          <m:e>
            <m:r>
              <w:rPr>
                <w:rFonts w:ascii="Cambria Math" w:hAnsi="Cambria Math"/>
              </w:rPr>
              <m:t>u</m:t>
            </m:r>
          </m:e>
        </m:acc>
        <m:d>
          <m:dPr>
            <m:ctrlPr>
              <w:rPr>
                <w:rFonts w:ascii="Cambria Math" w:hAnsi="Cambria Math"/>
                <w:i/>
                <w:iCs/>
              </w:rPr>
            </m:ctrlPr>
          </m:dPr>
          <m:e>
            <m:sSub>
              <m:sSubPr>
                <m:ctrlPr>
                  <w:rPr>
                    <w:rFonts w:ascii="Cambria Math" w:hAnsi="Cambria Math"/>
                    <w:i/>
                    <w:iCs/>
                  </w:rPr>
                </m:ctrlPr>
              </m:sSubPr>
              <m:e>
                <m:sSub>
                  <m:sSubPr>
                    <m:ctrlPr>
                      <w:rPr>
                        <w:rFonts w:ascii="Cambria Math" w:hAnsi="Cambria Math"/>
                        <w:i/>
                        <w:iCs/>
                      </w:rPr>
                    </m:ctrlPr>
                  </m:sSubPr>
                  <m:e>
                    <m:r>
                      <w:rPr>
                        <w:rFonts w:ascii="Cambria Math" w:hAnsi="Cambria Math"/>
                      </w:rPr>
                      <m:t>ξ</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 μ</m:t>
                </m:r>
              </m:e>
              <m:sub>
                <m:r>
                  <w:rPr>
                    <w:rFonts w:ascii="Cambria Math" w:hAnsi="Cambria Math"/>
                  </w:rPr>
                  <m:t>g</m:t>
                </m:r>
              </m:sub>
            </m:sSub>
            <m:r>
              <w:rPr>
                <w:rFonts w:ascii="Cambria Math" w:hAnsi="Cambria Math"/>
              </w:rPr>
              <m:t>,T</m:t>
            </m:r>
          </m:e>
        </m:d>
      </m:oMath>
      <w:r w:rsidR="00BC7776" w:rsidRPr="00BC7776">
        <w:t xml:space="preserve"> for </w:t>
      </w:r>
      <m:oMath>
        <m:r>
          <w:rPr>
            <w:rFonts w:ascii="Cambria Math" w:hAnsi="Cambria Math"/>
          </w:rPr>
          <m:t>T=1.5 </m:t>
        </m:r>
      </m:oMath>
      <w:r w:rsidR="00BC7776" w:rsidRPr="00BC7776">
        <w:t xml:space="preserve">(a and b) and </w:t>
      </w:r>
      <m:oMath>
        <m:r>
          <w:rPr>
            <w:rFonts w:ascii="Cambria Math" w:hAnsi="Cambria Math"/>
          </w:rPr>
          <m:t>T=3</m:t>
        </m:r>
      </m:oMath>
      <w:r w:rsidR="00BC7776" w:rsidRPr="00BC7776">
        <w:t xml:space="preserve"> years (c and d).</w:t>
      </w:r>
    </w:p>
    <w:p w14:paraId="31E1FCEB" w14:textId="77777777" w:rsidR="000E0245" w:rsidRDefault="000E0245" w:rsidP="00422F93">
      <w:pPr>
        <w:jc w:val="both"/>
        <w:rPr>
          <w:sz w:val="24"/>
          <w:szCs w:val="24"/>
        </w:rPr>
      </w:pPr>
    </w:p>
    <w:p w14:paraId="0592F198" w14:textId="055A27D9" w:rsidR="00D43C8F" w:rsidRPr="00D43C8F" w:rsidRDefault="00D43C8F" w:rsidP="00092ED3">
      <w:pPr>
        <w:ind w:firstLine="720"/>
        <w:jc w:val="both"/>
        <w:rPr>
          <w:sz w:val="24"/>
          <w:szCs w:val="24"/>
        </w:rPr>
      </w:pPr>
      <w:r w:rsidRPr="00D43C8F">
        <w:rPr>
          <w:sz w:val="24"/>
          <w:szCs w:val="24"/>
        </w:rPr>
        <w:t xml:space="preserve">For small </w:t>
      </w:r>
      <m:oMath>
        <m:r>
          <w:rPr>
            <w:rFonts w:ascii="Cambria Math" w:hAnsi="Cambria Math"/>
            <w:sz w:val="24"/>
            <w:szCs w:val="24"/>
          </w:rPr>
          <m:t>T</m:t>
        </m:r>
      </m:oMath>
      <w:r w:rsidRPr="00D43C8F">
        <w:rPr>
          <w:sz w:val="24"/>
          <w:szCs w:val="24"/>
        </w:rPr>
        <w:t xml:space="preserve">s (e.g., 1.5 years; Figure 5a-b) the scale-location ratio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 xml:space="preserve"> </m:t>
        </m:r>
      </m:oMath>
      <w:r w:rsidRPr="00D43C8F">
        <w:rPr>
          <w:sz w:val="24"/>
          <w:szCs w:val="24"/>
        </w:rPr>
        <w:t xml:space="preserve">is the main control over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D43C8F">
        <w:rPr>
          <w:sz w:val="24"/>
          <w:szCs w:val="24"/>
        </w:rPr>
        <w:t xml:space="preserve">, with larger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associated to greater underestimation while the effect of the shape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is negligible. For larger </w:t>
      </w:r>
      <m:oMath>
        <m:r>
          <w:rPr>
            <w:rFonts w:ascii="Cambria Math" w:hAnsi="Cambria Math"/>
            <w:sz w:val="24"/>
            <w:szCs w:val="24"/>
          </w:rPr>
          <m:t>T</m:t>
        </m:r>
      </m:oMath>
      <w:r w:rsidRPr="00D43C8F">
        <w:rPr>
          <w:sz w:val="24"/>
          <w:szCs w:val="24"/>
        </w:rPr>
        <w:t xml:space="preserve">s (e.g., 3 years; Figure 5c-d) though, the shape parameter also contributes to the amount of underestimation, with larger (positive)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associated to larger </w:t>
      </w:r>
      <m:oMath>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D43C8F">
        <w:rPr>
          <w:sz w:val="24"/>
          <w:szCs w:val="24"/>
        </w:rPr>
        <w:t xml:space="preserve">, for a given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ratio. Hence, the convergence of quantiles estimated from AM- and POT-FFA for increasing </w:t>
      </w:r>
      <m:oMath>
        <m:r>
          <w:rPr>
            <w:rFonts w:ascii="Cambria Math" w:hAnsi="Cambria Math"/>
            <w:sz w:val="24"/>
            <w:szCs w:val="24"/>
          </w:rPr>
          <m:t>T</m:t>
        </m:r>
      </m:oMath>
      <w:r w:rsidRPr="00D43C8F">
        <w:rPr>
          <w:sz w:val="24"/>
          <w:szCs w:val="24"/>
        </w:rPr>
        <w:t xml:space="preserve">s is slower at sites with larger shape parameters. For our case study, the largest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are all paired with large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values, indicating that U.S. basins most affected by FF underestimation tend to experience this issue for a wider range of </w:t>
      </w:r>
      <m:oMath>
        <m:r>
          <w:rPr>
            <w:rFonts w:ascii="Cambria Math" w:hAnsi="Cambria Math"/>
            <w:sz w:val="24"/>
            <w:szCs w:val="24"/>
          </w:rPr>
          <m:t>T</m:t>
        </m:r>
      </m:oMath>
      <w:r w:rsidRPr="00D43C8F">
        <w:rPr>
          <w:sz w:val="24"/>
          <w:szCs w:val="24"/>
        </w:rPr>
        <w:t xml:space="preserve">s, as compared to watersheds with modest underestimation (also see Figure 4). </w:t>
      </w:r>
    </w:p>
    <w:p w14:paraId="6C488BC2" w14:textId="77777777" w:rsidR="00437B10" w:rsidRDefault="00D43C8F" w:rsidP="00092ED3">
      <w:pPr>
        <w:ind w:firstLine="720"/>
        <w:jc w:val="both"/>
        <w:rPr>
          <w:sz w:val="24"/>
          <w:szCs w:val="24"/>
        </w:rPr>
      </w:pPr>
      <w:r w:rsidRPr="00D43C8F">
        <w:rPr>
          <w:sz w:val="24"/>
          <w:szCs w:val="24"/>
        </w:rPr>
        <w:t xml:space="preserve">Optimal predictors for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show that arid climates are associated to larger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ratios (Figures 6-7), and therefore greater FF underestimation. </w:t>
      </w:r>
    </w:p>
    <w:p w14:paraId="7CC49FB0" w14:textId="77777777" w:rsidR="00437B10" w:rsidRDefault="00437B10" w:rsidP="00092ED3">
      <w:pPr>
        <w:ind w:firstLine="720"/>
        <w:jc w:val="both"/>
        <w:rPr>
          <w:sz w:val="24"/>
          <w:szCs w:val="24"/>
        </w:rPr>
      </w:pPr>
    </w:p>
    <w:p w14:paraId="7D81C82C" w14:textId="5A3ACFCF" w:rsidR="00437B10" w:rsidRDefault="00E33671" w:rsidP="00E33671">
      <w:pPr>
        <w:jc w:val="both"/>
        <w:rPr>
          <w:sz w:val="24"/>
          <w:szCs w:val="24"/>
        </w:rPr>
      </w:pPr>
      <w:r>
        <w:rPr>
          <w:noProof/>
          <w:sz w:val="24"/>
          <w:szCs w:val="24"/>
        </w:rPr>
        <w:lastRenderedPageBreak/>
        <w:drawing>
          <wp:inline distT="0" distB="0" distL="0" distR="0" wp14:anchorId="1318FE1B" wp14:editId="09D087E6">
            <wp:extent cx="5929384" cy="7970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2051"/>
                    <a:stretch/>
                  </pic:blipFill>
                  <pic:spPr bwMode="auto">
                    <a:xfrm>
                      <a:off x="0" y="0"/>
                      <a:ext cx="5930307" cy="7971761"/>
                    </a:xfrm>
                    <a:prstGeom prst="rect">
                      <a:avLst/>
                    </a:prstGeom>
                    <a:noFill/>
                    <a:ln>
                      <a:noFill/>
                    </a:ln>
                    <a:extLst>
                      <a:ext uri="{53640926-AAD7-44D8-BBD7-CCE9431645EC}">
                        <a14:shadowObscured xmlns:a14="http://schemas.microsoft.com/office/drawing/2010/main"/>
                      </a:ext>
                    </a:extLst>
                  </pic:spPr>
                </pic:pic>
              </a:graphicData>
            </a:graphic>
          </wp:inline>
        </w:drawing>
      </w:r>
    </w:p>
    <w:p w14:paraId="4FFD9E26" w14:textId="382788CD" w:rsidR="00B76EA8" w:rsidRPr="00B76EA8" w:rsidRDefault="00422F93" w:rsidP="00952457">
      <w:pPr>
        <w:pStyle w:val="FigureorTableCaption"/>
        <w:ind w:firstLine="720"/>
        <w:jc w:val="both"/>
      </w:pPr>
      <w:r>
        <w:rPr>
          <w:b/>
        </w:rPr>
        <w:lastRenderedPageBreak/>
        <w:t>Figure</w:t>
      </w:r>
      <w:r w:rsidRPr="007443BB">
        <w:rPr>
          <w:b/>
        </w:rPr>
        <w:t xml:space="preserve"> </w:t>
      </w:r>
      <w:r>
        <w:rPr>
          <w:b/>
        </w:rPr>
        <w:t>6</w:t>
      </w:r>
      <w:r>
        <w:t xml:space="preserve">. </w:t>
      </w:r>
      <w:r w:rsidRPr="00422F93">
        <w:t xml:space="preserve">a) Pareto front of optimal trade-off solutions among three competing objectives to minimize: number of predictors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422F93">
        <w:t xml:space="preserve">, mean absolute error MAE, and width of the interquartile range IQR. Each point corresponds to a learning machine trained to estimate </w:t>
      </w:r>
      <m:oMath>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g</m:t>
            </m:r>
          </m:sub>
        </m:sSub>
      </m:oMath>
      <w:r w:rsidRPr="00422F93">
        <w:t xml:space="preserve"> with a set of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422F93">
        <w:t xml:space="preserve"> basin characteristics; b) heatmap with the frequency of usage of variables as optimal predictors in different solutions with same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422F93">
        <w:t xml:space="preserve">; </w:t>
      </w:r>
      <w:r w:rsidR="007966EE" w:rsidRPr="00544A96">
        <w:t>solutions with</w:t>
      </w:r>
      <m:oMath>
        <m:r>
          <m:rPr>
            <m:sty m:val="p"/>
          </m:rPr>
          <w:rPr>
            <w:rFonts w:ascii="Cambria Math" w:hAnsi="Cambria Math"/>
          </w:rPr>
          <m:t> </m:t>
        </m:r>
        <m:sSub>
          <m:sSubPr>
            <m:ctrlPr>
              <w:rPr>
                <w:rFonts w:ascii="Cambria Math" w:hAnsi="Cambria Math"/>
                <w:i/>
                <w:iCs/>
              </w:rPr>
            </m:ctrlPr>
          </m:sSubPr>
          <m:e>
            <m:r>
              <w:rPr>
                <w:rFonts w:ascii="Cambria Math" w:hAnsi="Cambria Math"/>
              </w:rPr>
              <m:t>N</m:t>
            </m:r>
          </m:e>
          <m:sub>
            <m:r>
              <w:rPr>
                <w:rFonts w:ascii="Cambria Math" w:hAnsi="Cambria Math"/>
              </w:rPr>
              <m:t>f</m:t>
            </m:r>
          </m:sub>
        </m:sSub>
      </m:oMath>
      <w:r w:rsidR="007966EE" w:rsidRPr="00544A96">
        <w:t xml:space="preserve"> up to 10 are considered</w:t>
      </w:r>
      <w:r w:rsidR="007966EE">
        <w:t xml:space="preserve"> (see online Supporting information for the full heatmap)</w:t>
      </w:r>
      <w:r w:rsidR="007966EE" w:rsidRPr="00544A96">
        <w:t>.</w:t>
      </w:r>
      <w:r>
        <w:t xml:space="preserve"> </w:t>
      </w:r>
    </w:p>
    <w:p w14:paraId="79C61CAF" w14:textId="77777777" w:rsidR="00437B10" w:rsidRDefault="00437B10" w:rsidP="00092ED3">
      <w:pPr>
        <w:ind w:firstLine="720"/>
        <w:jc w:val="both"/>
        <w:rPr>
          <w:sz w:val="24"/>
          <w:szCs w:val="24"/>
        </w:rPr>
      </w:pPr>
    </w:p>
    <w:p w14:paraId="22A36B68" w14:textId="77777777" w:rsidR="00362267" w:rsidRDefault="00362267" w:rsidP="00437B10">
      <w:pPr>
        <w:jc w:val="both"/>
        <w:rPr>
          <w:sz w:val="24"/>
          <w:szCs w:val="24"/>
        </w:rPr>
      </w:pPr>
    </w:p>
    <w:p w14:paraId="3FC2676D" w14:textId="20A8D04F" w:rsidR="00362267" w:rsidRDefault="00362267" w:rsidP="00437B10">
      <w:pPr>
        <w:jc w:val="both"/>
        <w:rPr>
          <w:sz w:val="24"/>
          <w:szCs w:val="24"/>
        </w:rPr>
      </w:pPr>
      <w:r>
        <w:rPr>
          <w:noProof/>
          <w:sz w:val="24"/>
          <w:szCs w:val="24"/>
        </w:rPr>
        <w:drawing>
          <wp:inline distT="0" distB="0" distL="0" distR="0" wp14:anchorId="36F1FED8" wp14:editId="4B94A5C8">
            <wp:extent cx="5928360" cy="49301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8360" cy="4930140"/>
                    </a:xfrm>
                    <a:prstGeom prst="rect">
                      <a:avLst/>
                    </a:prstGeom>
                    <a:noFill/>
                    <a:ln>
                      <a:noFill/>
                    </a:ln>
                  </pic:spPr>
                </pic:pic>
              </a:graphicData>
            </a:graphic>
          </wp:inline>
        </w:drawing>
      </w:r>
    </w:p>
    <w:p w14:paraId="2FAA4B4C" w14:textId="2591CE2D" w:rsidR="00D849BA" w:rsidRPr="00D849BA" w:rsidRDefault="00D849BA" w:rsidP="00952457">
      <w:pPr>
        <w:pStyle w:val="FigureorTableCaption"/>
        <w:ind w:firstLine="720"/>
        <w:jc w:val="both"/>
      </w:pPr>
      <w:r>
        <w:rPr>
          <w:b/>
        </w:rPr>
        <w:t>Figure</w:t>
      </w:r>
      <w:r w:rsidRPr="007443BB">
        <w:rPr>
          <w:b/>
        </w:rPr>
        <w:t xml:space="preserve"> </w:t>
      </w:r>
      <w:r>
        <w:rPr>
          <w:b/>
        </w:rPr>
        <w:t>7</w:t>
      </w:r>
      <w:r>
        <w:t xml:space="preserve">. </w:t>
      </w:r>
      <w:r w:rsidRPr="00D849BA">
        <w:t xml:space="preserve">Lower triangular matrix: bivariate partial-dependence plots that show the relationships between key basin attributes and </w:t>
      </w:r>
      <m:oMath>
        <m:sSub>
          <m:sSubPr>
            <m:ctrlPr>
              <w:rPr>
                <w:rFonts w:ascii="Cambria Math" w:hAnsi="Cambria Math"/>
                <w:i/>
                <w:iCs/>
              </w:rPr>
            </m:ctrlPr>
          </m:sSubPr>
          <m:e>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/μ</m:t>
            </m:r>
          </m:e>
          <m:sub>
            <m:r>
              <w:rPr>
                <w:rFonts w:ascii="Cambria Math" w:hAnsi="Cambria Math"/>
              </w:rPr>
              <m:t>g</m:t>
            </m:r>
          </m:sub>
        </m:sSub>
      </m:oMath>
      <w:r w:rsidRPr="00D849BA">
        <w:t xml:space="preserve"> values. Upper triangular matrix: Spearman correlation of key basin attributes. Diagonal: frequency distribution of the key basin attributes; brown histograms are used for categorical and binary variables, while continuous variables are in blue. </w:t>
      </w:r>
    </w:p>
    <w:p w14:paraId="45CCFC51" w14:textId="77777777" w:rsidR="00D849BA" w:rsidRDefault="00D849BA" w:rsidP="00FE5321">
      <w:pPr>
        <w:ind w:firstLine="720"/>
        <w:rPr>
          <w:b/>
          <w:bCs/>
          <w:sz w:val="24"/>
          <w:szCs w:val="24"/>
        </w:rPr>
      </w:pPr>
    </w:p>
    <w:p w14:paraId="760BF948" w14:textId="77777777" w:rsidR="00FE5321" w:rsidRDefault="00FE5321" w:rsidP="00437B10">
      <w:pPr>
        <w:jc w:val="both"/>
        <w:rPr>
          <w:sz w:val="24"/>
          <w:szCs w:val="24"/>
        </w:rPr>
      </w:pPr>
    </w:p>
    <w:p w14:paraId="714B15A1" w14:textId="696F8346" w:rsidR="00D43C8F" w:rsidRPr="00D43C8F" w:rsidRDefault="00D43C8F" w:rsidP="00437B10">
      <w:pPr>
        <w:jc w:val="both"/>
        <w:rPr>
          <w:sz w:val="24"/>
          <w:szCs w:val="24"/>
        </w:rPr>
      </w:pPr>
      <w:r w:rsidRPr="00D43C8F">
        <w:rPr>
          <w:sz w:val="24"/>
          <w:szCs w:val="24"/>
        </w:rPr>
        <w:t>The number of dry days per year (</w:t>
      </w:r>
      <m:oMath>
        <m:r>
          <w:rPr>
            <w:rFonts w:ascii="Cambria Math" w:hAnsi="Cambria Math"/>
            <w:sz w:val="24"/>
            <w:szCs w:val="24"/>
          </w:rPr>
          <m:t>low_prec_freq</m:t>
        </m:r>
      </m:oMath>
      <w:r w:rsidRPr="00D43C8F">
        <w:rPr>
          <w:sz w:val="24"/>
          <w:szCs w:val="24"/>
        </w:rPr>
        <w:t xml:space="preserve">; Addor et al., 2017) has the strongest predictive power on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as it is used in every optimal solution, including that for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f</m:t>
            </m:r>
          </m:sub>
        </m:sSub>
        <m:r>
          <w:rPr>
            <w:rFonts w:ascii="Cambria Math" w:hAnsi="Cambria Math"/>
            <w:sz w:val="24"/>
            <w:szCs w:val="24"/>
          </w:rPr>
          <m:t>=1</m:t>
        </m:r>
      </m:oMath>
      <w:r w:rsidRPr="00D43C8F">
        <w:rPr>
          <w:sz w:val="24"/>
          <w:szCs w:val="24"/>
        </w:rPr>
        <w:t xml:space="preserve"> (Figure 6). </w:t>
      </w:r>
      <w:r w:rsidRPr="00D43C8F">
        <w:rPr>
          <w:sz w:val="24"/>
          <w:szCs w:val="24"/>
        </w:rPr>
        <w:lastRenderedPageBreak/>
        <w:t>Similar observations have been made for Europe (</w:t>
      </w:r>
      <w:proofErr w:type="spellStart"/>
      <w:r w:rsidRPr="00D43C8F">
        <w:rPr>
          <w:sz w:val="24"/>
          <w:szCs w:val="24"/>
        </w:rPr>
        <w:t>Lun</w:t>
      </w:r>
      <w:proofErr w:type="spellEnd"/>
      <w:r w:rsidRPr="00D43C8F">
        <w:rPr>
          <w:sz w:val="24"/>
          <w:szCs w:val="24"/>
        </w:rPr>
        <w:t xml:space="preserve"> et al., 2021), where the aridity index was identified as the main control on the coefficient of variation of annual maxima (</w:t>
      </w:r>
      <m:oMath>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AM</m:t>
            </m:r>
          </m:sub>
        </m:sSub>
      </m:oMath>
      <w:r w:rsidRPr="00D43C8F">
        <w:rPr>
          <w:sz w:val="24"/>
          <w:szCs w:val="24"/>
        </w:rPr>
        <w:t>). Although the wrapper method never considered the aridity index (</w:t>
      </w:r>
      <m:oMath>
        <m:r>
          <w:rPr>
            <w:rFonts w:ascii="Cambria Math" w:hAnsi="Cambria Math"/>
            <w:sz w:val="24"/>
            <w:szCs w:val="24"/>
          </w:rPr>
          <m:t>aridity</m:t>
        </m:r>
      </m:oMath>
      <w:r w:rsidRPr="00D43C8F">
        <w:rPr>
          <w:sz w:val="24"/>
          <w:szCs w:val="24"/>
        </w:rPr>
        <w:t xml:space="preserve"> in the CAMELS dataset) among the optimal predictors of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our findings are equivalent to those of </w:t>
      </w:r>
      <w:proofErr w:type="spellStart"/>
      <w:r w:rsidRPr="00D43C8F">
        <w:rPr>
          <w:sz w:val="24"/>
          <w:szCs w:val="24"/>
        </w:rPr>
        <w:t>Lun</w:t>
      </w:r>
      <w:proofErr w:type="spellEnd"/>
      <w:r w:rsidRPr="00D43C8F">
        <w:rPr>
          <w:sz w:val="24"/>
          <w:szCs w:val="24"/>
        </w:rPr>
        <w:t xml:space="preserve"> et al. (2021) for Europe, because of the strong positive correlation between </w:t>
      </w:r>
      <m:oMath>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AM</m:t>
            </m:r>
          </m:sub>
        </m:sSub>
      </m:oMath>
      <w:r w:rsidRPr="00D43C8F">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(Pearson correlation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P</m:t>
            </m:r>
          </m:sub>
        </m:sSub>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AM</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 xml:space="preserve">)=0.85 </m:t>
        </m:r>
      </m:oMath>
      <w:r w:rsidRPr="00D43C8F">
        <w:rPr>
          <w:sz w:val="24"/>
          <w:szCs w:val="24"/>
        </w:rPr>
        <w:t xml:space="preserve"> and Spearman correlation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S</m:t>
            </m:r>
          </m:sub>
        </m:sSub>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AM</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)=0.87</m:t>
        </m:r>
      </m:oMath>
      <w:r w:rsidRPr="00D43C8F">
        <w:rPr>
          <w:sz w:val="24"/>
          <w:szCs w:val="24"/>
        </w:rPr>
        <w:t xml:space="preserve">, for our dataset), as well as between </w:t>
      </w:r>
      <m:oMath>
        <m:r>
          <w:rPr>
            <w:rFonts w:ascii="Cambria Math" w:hAnsi="Cambria Math"/>
            <w:sz w:val="24"/>
            <w:szCs w:val="24"/>
          </w:rPr>
          <m:t>low_prec_freq</m:t>
        </m:r>
      </m:oMath>
      <w:r w:rsidRPr="00D43C8F">
        <w:rPr>
          <w:sz w:val="24"/>
          <w:szCs w:val="24"/>
        </w:rPr>
        <w:t xml:space="preserve"> and the aridity index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P</m:t>
            </m:r>
          </m:sub>
        </m:sSub>
        <m:r>
          <w:rPr>
            <w:rFonts w:ascii="Cambria Math" w:hAnsi="Cambria Math"/>
            <w:sz w:val="24"/>
            <w:szCs w:val="24"/>
          </w:rPr>
          <m:t>(aridity, low_prec_freq)=0.74</m:t>
        </m:r>
      </m:oMath>
      <w:r w:rsidRPr="00D43C8F">
        <w:rPr>
          <w:sz w:val="24"/>
          <w:szCs w:val="24"/>
        </w:rPr>
        <w:t xml:space="preserv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S</m:t>
            </m:r>
          </m:sub>
        </m:sSub>
        <m:r>
          <w:rPr>
            <w:rFonts w:ascii="Cambria Math" w:hAnsi="Cambria Math"/>
            <w:sz w:val="24"/>
            <w:szCs w:val="24"/>
          </w:rPr>
          <m:t xml:space="preserve">(aridity, low_prec_freq)=0.82 </m:t>
        </m:r>
      </m:oMath>
      <w:r w:rsidRPr="00D43C8F">
        <w:rPr>
          <w:sz w:val="24"/>
          <w:szCs w:val="24"/>
        </w:rPr>
        <w:t xml:space="preserve">]. </w:t>
      </w:r>
    </w:p>
    <w:p w14:paraId="6889B147" w14:textId="5B4A9B69" w:rsidR="00D43C8F" w:rsidRPr="00D43C8F" w:rsidRDefault="00D43C8F" w:rsidP="00092ED3">
      <w:pPr>
        <w:ind w:firstLine="720"/>
        <w:jc w:val="both"/>
        <w:rPr>
          <w:sz w:val="24"/>
          <w:szCs w:val="24"/>
        </w:rPr>
      </w:pPr>
      <w:r w:rsidRPr="00D43C8F">
        <w:rPr>
          <w:sz w:val="24"/>
          <w:szCs w:val="24"/>
        </w:rPr>
        <w:t xml:space="preserve">Optimal solutions shown by the heatmap in Figure 6b, and PDPs in Figure 7 help identify other basin characteristics that have a strong control over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and, in turn, on FF underestimation by AM-FFA. The type of climate and the size of the river have the strongest influence. E.g., watersheds with low mean daily precipitation values (</w:t>
      </w:r>
      <m:oMath>
        <m:r>
          <w:rPr>
            <w:rFonts w:ascii="Cambria Math" w:hAnsi="Cambria Math"/>
            <w:sz w:val="24"/>
            <w:szCs w:val="24"/>
          </w:rPr>
          <m:t>p_mean</m:t>
        </m:r>
      </m:oMath>
      <w:r w:rsidRPr="00D43C8F">
        <w:rPr>
          <w:sz w:val="24"/>
          <w:szCs w:val="24"/>
        </w:rPr>
        <w:t xml:space="preserve">) are characterized by larger values of the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ratio. This is enhanced at locations that also experience long periods with low flows each year (high </w:t>
      </w:r>
      <m:oMath>
        <m:r>
          <w:rPr>
            <w:rFonts w:ascii="Cambria Math" w:hAnsi="Cambria Math"/>
            <w:sz w:val="24"/>
            <w:szCs w:val="24"/>
          </w:rPr>
          <m:t>low_q_dur</m:t>
        </m:r>
      </m:oMath>
      <w:r w:rsidRPr="00D43C8F">
        <w:rPr>
          <w:sz w:val="24"/>
          <w:szCs w:val="24"/>
        </w:rPr>
        <w:t>). Low average precipitation is typical of an arid climate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S</m:t>
            </m:r>
          </m:sub>
        </m:sSub>
        <m:r>
          <w:rPr>
            <w:rFonts w:ascii="Cambria Math" w:hAnsi="Cambria Math"/>
            <w:sz w:val="24"/>
            <w:szCs w:val="24"/>
          </w:rPr>
          <m:t>(aridity, p_mean)=-0.65</m:t>
        </m:r>
      </m:oMath>
      <w:r w:rsidRPr="00D43C8F">
        <w:rPr>
          <w:sz w:val="24"/>
          <w:szCs w:val="24"/>
        </w:rPr>
        <w:t xml:space="preserve">], and low values of </w:t>
      </w:r>
      <m:oMath>
        <m:r>
          <w:rPr>
            <w:rFonts w:ascii="Cambria Math" w:hAnsi="Cambria Math"/>
            <w:sz w:val="24"/>
            <w:szCs w:val="24"/>
          </w:rPr>
          <m:t>p_mean</m:t>
        </m:r>
      </m:oMath>
      <w:r w:rsidRPr="00D43C8F">
        <w:rPr>
          <w:sz w:val="24"/>
          <w:szCs w:val="24"/>
        </w:rPr>
        <w:t xml:space="preserve"> may be associated to large numbers of dry days (</w:t>
      </w:r>
      <m:oMath>
        <m:r>
          <w:rPr>
            <w:rFonts w:ascii="Cambria Math" w:hAnsi="Cambria Math"/>
            <w:sz w:val="24"/>
            <w:szCs w:val="24"/>
          </w:rPr>
          <m:t>low_prec_freq</m:t>
        </m:r>
      </m:oMath>
      <w:r w:rsidRPr="00D43C8F">
        <w:rPr>
          <w:sz w:val="24"/>
          <w:szCs w:val="24"/>
        </w:rPr>
        <w:t xml:space="preserve">). Having long periods with low flows in this kind of climate may be a sign of intermittent, flashy behavior, reflected by larger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ratios. This explains the prediction of higher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at locations that display both signs of an arid climate (e.g., large values of </w:t>
      </w:r>
      <m:oMath>
        <m:r>
          <w:rPr>
            <w:rFonts w:ascii="Cambria Math" w:hAnsi="Cambria Math"/>
            <w:sz w:val="24"/>
            <w:szCs w:val="24"/>
          </w:rPr>
          <m:t>low_prec_freq</m:t>
        </m:r>
      </m:oMath>
      <w:r w:rsidRPr="00D43C8F">
        <w:rPr>
          <w:sz w:val="24"/>
          <w:szCs w:val="24"/>
        </w:rPr>
        <w:t xml:space="preserve"> and small values of </w:t>
      </w:r>
      <m:oMath>
        <m:r>
          <w:rPr>
            <w:rFonts w:ascii="Cambria Math" w:hAnsi="Cambria Math"/>
            <w:sz w:val="24"/>
            <w:szCs w:val="24"/>
          </w:rPr>
          <m:t>p_mean</m:t>
        </m:r>
      </m:oMath>
      <w:r w:rsidRPr="00D43C8F">
        <w:rPr>
          <w:sz w:val="24"/>
          <w:szCs w:val="24"/>
        </w:rPr>
        <w:t xml:space="preserve">) as well as persistent low flows. </w:t>
      </w:r>
    </w:p>
    <w:p w14:paraId="0562F14D" w14:textId="3D5D72D0" w:rsidR="00D43C8F" w:rsidRPr="00D43C8F" w:rsidRDefault="00D43C8F" w:rsidP="00092ED3">
      <w:pPr>
        <w:ind w:firstLine="720"/>
        <w:jc w:val="both"/>
        <w:rPr>
          <w:sz w:val="24"/>
          <w:szCs w:val="24"/>
        </w:rPr>
      </w:pPr>
      <w:r w:rsidRPr="00D43C8F">
        <w:rPr>
          <w:sz w:val="24"/>
          <w:szCs w:val="24"/>
        </w:rPr>
        <w:t xml:space="preserve">Large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are also predicted at basins with long durations of high precipitation events (i.e., with large </w:t>
      </w:r>
      <m:oMath>
        <m:r>
          <w:rPr>
            <w:rFonts w:ascii="Cambria Math" w:hAnsi="Cambria Math"/>
            <w:sz w:val="24"/>
            <w:szCs w:val="24"/>
          </w:rPr>
          <m:t>high_prec_dur</m:t>
        </m:r>
      </m:oMath>
      <w:r w:rsidRPr="00D43C8F">
        <w:rPr>
          <w:sz w:val="24"/>
          <w:szCs w:val="24"/>
        </w:rPr>
        <w:t xml:space="preserve"> values) and persistent low flows during the year (large </w:t>
      </w:r>
      <m:oMath>
        <m:r>
          <w:rPr>
            <w:rFonts w:ascii="Cambria Math" w:hAnsi="Cambria Math"/>
            <w:sz w:val="24"/>
            <w:szCs w:val="24"/>
          </w:rPr>
          <m:t>low_q_dur</m:t>
        </m:r>
      </m:oMath>
      <w:r w:rsidRPr="00D43C8F">
        <w:rPr>
          <w:sz w:val="24"/>
          <w:szCs w:val="24"/>
        </w:rPr>
        <w:t xml:space="preserve"> values). These are typical in regions dominated by synoptic-scale weather systems (</w:t>
      </w:r>
      <w:proofErr w:type="spellStart"/>
      <w:r w:rsidRPr="00D43C8F">
        <w:rPr>
          <w:sz w:val="24"/>
          <w:szCs w:val="24"/>
        </w:rPr>
        <w:t>Addor</w:t>
      </w:r>
      <w:proofErr w:type="spellEnd"/>
      <w:r w:rsidRPr="00D43C8F">
        <w:rPr>
          <w:sz w:val="24"/>
          <w:szCs w:val="24"/>
        </w:rPr>
        <w:t xml:space="preserve"> et al., 2017), where annual precipitation and flow cycles display strong seasonality, with maxima concentrated in winter and minima in summer. Watersheds from these locations are characterized by </w:t>
      </w:r>
      <m:oMath>
        <m:r>
          <w:rPr>
            <w:rFonts w:ascii="Cambria Math" w:hAnsi="Cambria Math"/>
            <w:sz w:val="24"/>
            <w:szCs w:val="24"/>
          </w:rPr>
          <m:t>high_prec_timing</m:t>
        </m:r>
      </m:oMath>
      <w:r w:rsidRPr="00D43C8F">
        <w:rPr>
          <w:sz w:val="24"/>
          <w:szCs w:val="24"/>
        </w:rPr>
        <w:t xml:space="preserve"> in the December-February (DJF) period, and negative </w:t>
      </w:r>
      <m:oMath>
        <m:r>
          <w:rPr>
            <w:rFonts w:ascii="Cambria Math" w:hAnsi="Cambria Math"/>
            <w:sz w:val="24"/>
            <w:szCs w:val="24"/>
          </w:rPr>
          <m:t>p_seasonality</m:t>
        </m:r>
      </m:oMath>
      <w:r w:rsidRPr="00D43C8F">
        <w:rPr>
          <w:sz w:val="24"/>
          <w:szCs w:val="24"/>
        </w:rPr>
        <w:t xml:space="preserve"> values, which both indicate that precipitation events occur predominantly in winter. The range of variability of floods</w:t>
      </w:r>
      <w:r w:rsidR="00812102">
        <w:rPr>
          <w:sz w:val="24"/>
          <w:szCs w:val="24"/>
        </w:rPr>
        <w:t xml:space="preserve"> (reflected by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oMath>
      <w:r w:rsidR="00812102">
        <w:rPr>
          <w:sz w:val="24"/>
          <w:szCs w:val="24"/>
        </w:rPr>
        <w:t>)</w:t>
      </w:r>
      <w:r w:rsidRPr="00D43C8F">
        <w:rPr>
          <w:sz w:val="24"/>
          <w:szCs w:val="24"/>
        </w:rPr>
        <w:t xml:space="preserve"> associated to this kind of climate can be wide, which explains why the learning machine predicts large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when the precipitation cycle displays strong winter seasonality concurrent with large average duration of high precipitation events (</w:t>
      </w:r>
      <m:oMath>
        <m:r>
          <w:rPr>
            <w:rFonts w:ascii="Cambria Math" w:hAnsi="Cambria Math"/>
            <w:sz w:val="24"/>
            <w:szCs w:val="24"/>
          </w:rPr>
          <m:t>high_prec_dur</m:t>
        </m:r>
      </m:oMath>
      <w:r w:rsidRPr="00D43C8F">
        <w:rPr>
          <w:sz w:val="24"/>
          <w:szCs w:val="24"/>
        </w:rPr>
        <w:t>).</w:t>
      </w:r>
    </w:p>
    <w:p w14:paraId="3FCFB7CB" w14:textId="699554DA" w:rsidR="00D43C8F" w:rsidRPr="00D43C8F" w:rsidRDefault="00D43C8F" w:rsidP="00092ED3">
      <w:pPr>
        <w:ind w:firstLine="720"/>
        <w:jc w:val="both"/>
        <w:rPr>
          <w:sz w:val="24"/>
          <w:szCs w:val="24"/>
        </w:rPr>
      </w:pPr>
      <w:r w:rsidRPr="00D43C8F">
        <w:rPr>
          <w:sz w:val="24"/>
          <w:szCs w:val="24"/>
        </w:rPr>
        <w:t xml:space="preserve">Indicators of river size relative to basin area, such as the mean and the 95-percentile of daily flow per unit area (i.e., </w:t>
      </w:r>
      <m:oMath>
        <m:r>
          <w:rPr>
            <w:rFonts w:ascii="Cambria Math" w:hAnsi="Cambria Math"/>
            <w:sz w:val="24"/>
            <w:szCs w:val="24"/>
          </w:rPr>
          <m:t>q_mean</m:t>
        </m:r>
      </m:oMath>
      <w:r w:rsidRPr="00D43C8F">
        <w:rPr>
          <w:sz w:val="24"/>
          <w:szCs w:val="24"/>
        </w:rPr>
        <w:t xml:space="preserve"> and </w:t>
      </w:r>
      <m:oMath>
        <m:r>
          <w:rPr>
            <w:rFonts w:ascii="Cambria Math" w:hAnsi="Cambria Math"/>
            <w:sz w:val="24"/>
            <w:szCs w:val="24"/>
          </w:rPr>
          <m:t>q95</m:t>
        </m:r>
      </m:oMath>
      <w:r w:rsidRPr="00D43C8F">
        <w:rPr>
          <w:sz w:val="24"/>
          <w:szCs w:val="24"/>
        </w:rPr>
        <w:t xml:space="preserve">, respectively) also represent strong controls over the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ratio. This was expected, as rivers with greater flows have larger </w:t>
      </w:r>
      <m:oMath>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and are generally more stable (Dell’Aira et al., 2022), resulting in narrower ranges of variability (therefore, smaller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oMath>
      <w:r w:rsidRPr="00D43C8F">
        <w:rPr>
          <w:sz w:val="24"/>
          <w:szCs w:val="24"/>
        </w:rPr>
        <w:t xml:space="preserve">), and consequentially smaller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w:t>
      </w:r>
    </w:p>
    <w:p w14:paraId="1ECAAFA7" w14:textId="5CDEB80A" w:rsidR="00D43C8F" w:rsidRPr="00D43C8F" w:rsidRDefault="00D43C8F" w:rsidP="00092ED3">
      <w:pPr>
        <w:ind w:firstLine="720"/>
        <w:jc w:val="both"/>
        <w:rPr>
          <w:sz w:val="24"/>
          <w:szCs w:val="24"/>
        </w:rPr>
      </w:pPr>
      <w:r w:rsidRPr="00D43C8F">
        <w:rPr>
          <w:sz w:val="24"/>
          <w:szCs w:val="24"/>
        </w:rPr>
        <w:t xml:space="preserve">Basin attributes of secondary importance for predicting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include vegetation land-cover (e.g., </w:t>
      </w:r>
      <m:oMath>
        <m:r>
          <w:rPr>
            <w:rFonts w:ascii="Cambria Math" w:hAnsi="Cambria Math"/>
            <w:sz w:val="24"/>
            <w:szCs w:val="24"/>
          </w:rPr>
          <m:t>LC_Grassland</m:t>
        </m:r>
      </m:oMath>
      <w:r w:rsidRPr="00D43C8F">
        <w:rPr>
          <w:sz w:val="24"/>
          <w:szCs w:val="24"/>
        </w:rPr>
        <w:t xml:space="preserve">; </w:t>
      </w:r>
      <m:oMath>
        <m:r>
          <w:rPr>
            <w:rFonts w:ascii="Cambria Math" w:hAnsi="Cambria Math"/>
            <w:sz w:val="24"/>
            <w:szCs w:val="24"/>
          </w:rPr>
          <m:t>frac_forest</m:t>
        </m:r>
      </m:oMath>
      <w:r w:rsidRPr="00D43C8F">
        <w:rPr>
          <w:sz w:val="24"/>
          <w:szCs w:val="24"/>
        </w:rPr>
        <w:t xml:space="preserve">) and geomorphic information (e.g., </w:t>
      </w:r>
      <m:oMath>
        <m:r>
          <w:rPr>
            <w:rFonts w:ascii="Cambria Math" w:hAnsi="Cambria Math"/>
            <w:sz w:val="24"/>
            <w:szCs w:val="24"/>
          </w:rPr>
          <m:t>geol_permeability</m:t>
        </m:r>
      </m:oMath>
      <w:r w:rsidRPr="00D43C8F">
        <w:rPr>
          <w:sz w:val="24"/>
          <w:szCs w:val="24"/>
        </w:rPr>
        <w:t xml:space="preserve">; </w:t>
      </w:r>
      <m:oMath>
        <m:r>
          <w:rPr>
            <w:rFonts w:ascii="Cambria Math" w:hAnsi="Cambria Math"/>
            <w:sz w:val="24"/>
            <w:szCs w:val="24"/>
          </w:rPr>
          <m:t>geol_porosity</m:t>
        </m:r>
      </m:oMath>
      <w:r w:rsidRPr="00D43C8F">
        <w:rPr>
          <w:sz w:val="24"/>
          <w:szCs w:val="24"/>
        </w:rPr>
        <w:t xml:space="preserve">). The former may be regarded as a proxy for the type of climate, while the latter may affect the hydrologic response of basins. It is worth noting that, ceteris paribus, the learning machine assigns larger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values to watersheds with grassland dominant land-cover (</w:t>
      </w:r>
      <m:oMath>
        <m:r>
          <w:rPr>
            <w:rFonts w:ascii="Cambria Math" w:hAnsi="Cambria Math"/>
            <w:sz w:val="24"/>
            <w:szCs w:val="24"/>
          </w:rPr>
          <m:t>L</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Grassland</m:t>
            </m:r>
          </m:sub>
        </m:sSub>
        <m:r>
          <w:rPr>
            <w:rFonts w:ascii="Cambria Math" w:hAnsi="Cambria Math"/>
            <w:sz w:val="24"/>
            <w:szCs w:val="24"/>
          </w:rPr>
          <m:t>=1</m:t>
        </m:r>
      </m:oMath>
      <w:r w:rsidRPr="00D43C8F">
        <w:rPr>
          <w:sz w:val="24"/>
          <w:szCs w:val="24"/>
        </w:rPr>
        <w:t>), more frequent in arid and semi-arid regions (</w:t>
      </w:r>
      <w:proofErr w:type="spellStart"/>
      <w:r w:rsidRPr="00D43C8F">
        <w:rPr>
          <w:sz w:val="24"/>
          <w:szCs w:val="24"/>
        </w:rPr>
        <w:t>Addor</w:t>
      </w:r>
      <w:proofErr w:type="spellEnd"/>
      <w:r w:rsidRPr="00D43C8F">
        <w:rPr>
          <w:sz w:val="24"/>
          <w:szCs w:val="24"/>
        </w:rPr>
        <w:t xml:space="preserve"> et al., 2017), than catchments with other dominant land-cover types. This suggests that the learning machine is exploiting the relationships between climate and vegetation type. </w:t>
      </w:r>
    </w:p>
    <w:p w14:paraId="60C16964" w14:textId="0947AE64" w:rsidR="00D43C8F" w:rsidRPr="00D43C8F" w:rsidRDefault="00D43C8F" w:rsidP="00092ED3">
      <w:pPr>
        <w:ind w:firstLine="720"/>
        <w:jc w:val="both"/>
        <w:rPr>
          <w:sz w:val="24"/>
          <w:szCs w:val="24"/>
        </w:rPr>
      </w:pPr>
      <w:r w:rsidRPr="00D43C8F">
        <w:rPr>
          <w:sz w:val="24"/>
          <w:szCs w:val="24"/>
        </w:rPr>
        <w:lastRenderedPageBreak/>
        <w:t xml:space="preserve">Results on the optimal predictors for the shape parameter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show similar dependencies to those for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oMath>
      <w:r w:rsidRPr="00D43C8F">
        <w:rPr>
          <w:sz w:val="24"/>
          <w:szCs w:val="24"/>
        </w:rPr>
        <w:t xml:space="preserve">, with large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values associated to dry regions and small, negative values to humid areas. This </w:t>
      </w:r>
      <w:proofErr w:type="gramStart"/>
      <w:r w:rsidRPr="00D43C8F">
        <w:rPr>
          <w:sz w:val="24"/>
          <w:szCs w:val="24"/>
        </w:rPr>
        <w:t>is in agreement</w:t>
      </w:r>
      <w:proofErr w:type="gramEnd"/>
      <w:r w:rsidRPr="00D43C8F">
        <w:rPr>
          <w:sz w:val="24"/>
          <w:szCs w:val="24"/>
        </w:rPr>
        <w:t xml:space="preserve"> with previous research (e.g., Metzger et al., 2020; </w:t>
      </w:r>
      <w:proofErr w:type="spellStart"/>
      <w:r w:rsidRPr="00D43C8F">
        <w:rPr>
          <w:sz w:val="24"/>
          <w:szCs w:val="24"/>
        </w:rPr>
        <w:t>Villarini</w:t>
      </w:r>
      <w:proofErr w:type="spellEnd"/>
      <w:r w:rsidRPr="00D43C8F">
        <w:rPr>
          <w:sz w:val="24"/>
          <w:szCs w:val="24"/>
        </w:rPr>
        <w:t xml:space="preserve"> &amp; Smith, 2013), matching our observations (Figure 4) that basins in arid and semi-arid regions show slower rates of convergence of quantiles estimated from AM- and POT-FFA, for increasing </w:t>
      </w:r>
      <m:oMath>
        <m:r>
          <w:rPr>
            <w:rFonts w:ascii="Cambria Math" w:hAnsi="Cambria Math"/>
            <w:sz w:val="24"/>
            <w:szCs w:val="24"/>
          </w:rPr>
          <m:t>T</m:t>
        </m:r>
      </m:oMath>
      <w:r w:rsidRPr="00D43C8F">
        <w:rPr>
          <w:sz w:val="24"/>
          <w:szCs w:val="24"/>
        </w:rPr>
        <w:t xml:space="preserve">.  A large, positive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results in a GEV-PDF without upper bound, which may better describe the flashy behavior of rivers in arid catchments, in contrast with the more stable flows in humid regions. The list of basin attributes that affect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includes variables highly correlated to the aridity index, such as </w:t>
      </w:r>
      <m:oMath>
        <m:r>
          <w:rPr>
            <w:rFonts w:ascii="Cambria Math" w:hAnsi="Cambria Math"/>
            <w:sz w:val="24"/>
            <w:szCs w:val="24"/>
          </w:rPr>
          <m:t>runoff_ratio</m:t>
        </m:r>
      </m:oMath>
      <w:r w:rsidRPr="00D43C8F">
        <w:rPr>
          <w:sz w:val="24"/>
          <w:szCs w:val="24"/>
        </w:rPr>
        <w:t xml:space="preserv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S</m:t>
            </m:r>
          </m:sub>
        </m:sSub>
        <m:r>
          <w:rPr>
            <w:rFonts w:ascii="Cambria Math" w:hAnsi="Cambria Math"/>
            <w:sz w:val="24"/>
            <w:szCs w:val="24"/>
          </w:rPr>
          <m:t>(aridity, runoff_ratio)=-0.81</m:t>
        </m:r>
      </m:oMath>
      <w:r w:rsidRPr="00D43C8F">
        <w:rPr>
          <w:sz w:val="24"/>
          <w:szCs w:val="24"/>
        </w:rPr>
        <w:t xml:space="preserve">] and </w:t>
      </w:r>
      <m:oMath>
        <m:r>
          <w:rPr>
            <w:rFonts w:ascii="Cambria Math" w:hAnsi="Cambria Math"/>
            <w:sz w:val="24"/>
            <w:szCs w:val="24"/>
          </w:rPr>
          <m:t>low_prec_dur</m:t>
        </m:r>
      </m:oMath>
      <w:r w:rsidRPr="00D43C8F">
        <w:rPr>
          <w:sz w:val="24"/>
          <w:szCs w:val="24"/>
        </w:rPr>
        <w:t xml:space="preserve"> [</w:t>
      </w:r>
      <m:oMath>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S</m:t>
            </m:r>
          </m:sub>
        </m:sSub>
        <m:r>
          <w:rPr>
            <w:rFonts w:ascii="Cambria Math" w:hAnsi="Cambria Math"/>
            <w:sz w:val="24"/>
            <w:szCs w:val="24"/>
          </w:rPr>
          <m:t>(aridity, low_prec_dur)=0.77</m:t>
        </m:r>
      </m:oMath>
      <w:r w:rsidRPr="00D43C8F">
        <w:rPr>
          <w:sz w:val="24"/>
          <w:szCs w:val="24"/>
        </w:rPr>
        <w:t xml:space="preserve">], as well as information on the type of vegetation, which is a proxy for the type of climate. Heatmaps and PDPs of the optimal basin attributes related to the variability in </w:t>
      </w:r>
      <m:oMath>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oMath>
      <w:r w:rsidRPr="00D43C8F">
        <w:rPr>
          <w:sz w:val="24"/>
          <w:szCs w:val="24"/>
        </w:rPr>
        <w:t xml:space="preserve"> do not add any additional insight; therefore, they are not published in this work. </w:t>
      </w:r>
    </w:p>
    <w:p w14:paraId="510F4845" w14:textId="32182279" w:rsidR="003418D7" w:rsidRPr="00DC1507" w:rsidRDefault="003418D7" w:rsidP="003418D7">
      <w:pPr>
        <w:pStyle w:val="Heading-Main"/>
        <w:ind w:firstLine="720"/>
        <w:rPr>
          <w:lang w:val="en-GB"/>
        </w:rPr>
      </w:pPr>
      <w:r>
        <w:rPr>
          <w:b w:val="0"/>
          <w:bCs w:val="0"/>
        </w:rPr>
        <w:t>4.</w:t>
      </w:r>
      <w:r w:rsidR="00BC151B">
        <w:rPr>
          <w:b w:val="0"/>
          <w:bCs w:val="0"/>
        </w:rPr>
        <w:t>4</w:t>
      </w:r>
      <w:r>
        <w:rPr>
          <w:b w:val="0"/>
          <w:bCs w:val="0"/>
        </w:rPr>
        <w:t xml:space="preserve"> </w:t>
      </w:r>
      <w:r w:rsidR="00BC151B">
        <w:t>Validity of the duality-based quantile ratio and Langbein’s equation</w:t>
      </w:r>
    </w:p>
    <w:p w14:paraId="6D51BC40" w14:textId="3EDE019B" w:rsidR="000B2B24" w:rsidRPr="000B2B24" w:rsidRDefault="000B2B24" w:rsidP="00092ED3">
      <w:pPr>
        <w:ind w:firstLine="720"/>
        <w:jc w:val="both"/>
        <w:rPr>
          <w:sz w:val="24"/>
          <w:szCs w:val="24"/>
        </w:rPr>
      </w:pPr>
      <w:r w:rsidRPr="000B2B24">
        <w:rPr>
          <w:sz w:val="24"/>
          <w:szCs w:val="24"/>
        </w:rPr>
        <w:t xml:space="preserve">We concluded in Section 4.1 that the validity limits of Eq. (21) are not determined by the violation of the hypothesis of a PSN count model.  We speculate here that the clusters of anomalous basins with large </w:t>
      </w:r>
      <m:oMath>
        <m:r>
          <w:rPr>
            <w:rFonts w:ascii="Cambria Math" w:hAnsi="Cambria Math"/>
            <w:sz w:val="24"/>
            <w:szCs w:val="24"/>
          </w:rPr>
          <m:t>|u(T)-</m:t>
        </m:r>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0B2B24">
        <w:rPr>
          <w:sz w:val="24"/>
          <w:szCs w:val="24"/>
        </w:rPr>
        <w:t xml:space="preserve"> deviations (for </w:t>
      </w:r>
      <m:oMath>
        <m:r>
          <w:rPr>
            <w:rFonts w:ascii="Cambria Math" w:hAnsi="Cambria Math"/>
            <w:sz w:val="24"/>
            <w:szCs w:val="24"/>
          </w:rPr>
          <m:t>T</m:t>
        </m:r>
      </m:oMath>
      <w:r w:rsidRPr="000B2B24">
        <w:rPr>
          <w:sz w:val="24"/>
          <w:szCs w:val="24"/>
        </w:rPr>
        <w:t xml:space="preserve"> equal to 1.5 years) can be explained by the occurrence of mixed flood populations. Clusters (indicated with letters A–G in Figure 4b-c) are found in regions where the presence of mixed populations is well-acknowledged. E.g., a large proportion of flood events in the Sierra Nevada (western part of cluster A), coastal California (B), and central Arizona (C) is generated by atmospheric rivers (ARs), resulting in strongly heterogeneous populations (Barth et al., 2017, 2019; </w:t>
      </w:r>
      <w:proofErr w:type="spellStart"/>
      <w:r w:rsidRPr="000B2B24">
        <w:rPr>
          <w:sz w:val="24"/>
          <w:szCs w:val="24"/>
        </w:rPr>
        <w:t>Villarini</w:t>
      </w:r>
      <w:proofErr w:type="spellEnd"/>
      <w:r w:rsidRPr="000B2B24">
        <w:rPr>
          <w:sz w:val="24"/>
          <w:szCs w:val="24"/>
        </w:rPr>
        <w:t>, 2016). In the Sierra, orographically enhanced precipitation in the November-April period and snowfall in winter (with consequent snowmelt floods in April-July) contribute further flood-generating mechanisms (Barth et al., 2017; U.S. Water Resources Council, 1976). In the Great Basin (eastern part of cluster A), snowmelt, frontal storms, and convective precipitation may generate major floods in the springtime, winter, and summer months, respectively (</w:t>
      </w:r>
      <w:proofErr w:type="spellStart"/>
      <w:r w:rsidRPr="000B2B24">
        <w:rPr>
          <w:sz w:val="24"/>
          <w:szCs w:val="24"/>
        </w:rPr>
        <w:t>Burkham</w:t>
      </w:r>
      <w:proofErr w:type="spellEnd"/>
      <w:r w:rsidRPr="000B2B24">
        <w:rPr>
          <w:sz w:val="24"/>
          <w:szCs w:val="24"/>
        </w:rPr>
        <w:t xml:space="preserve">, 1988). In Arizona and New Mexico (cluster C), floods in the summer period may be caused by a variety of different processes, such as convective events (some of these connected to the North American monsoon activity, depending on the region) and eastern North Pacific tropical cyclones (Barth et al., 2017; </w:t>
      </w:r>
      <w:proofErr w:type="spellStart"/>
      <w:r w:rsidRPr="000B2B24">
        <w:rPr>
          <w:sz w:val="24"/>
          <w:szCs w:val="24"/>
        </w:rPr>
        <w:t>Villarini</w:t>
      </w:r>
      <w:proofErr w:type="spellEnd"/>
      <w:r w:rsidRPr="000B2B24">
        <w:rPr>
          <w:sz w:val="24"/>
          <w:szCs w:val="24"/>
        </w:rPr>
        <w:t>, 2016). Coastal Texas, northern Florida/southern Georgia, and the Appalachian range (clusters E, F, and G) present the lowest AM seasonality within the U.S. (</w:t>
      </w:r>
      <w:proofErr w:type="spellStart"/>
      <w:r w:rsidRPr="000B2B24">
        <w:rPr>
          <w:sz w:val="24"/>
          <w:szCs w:val="24"/>
        </w:rPr>
        <w:t>Villarini</w:t>
      </w:r>
      <w:proofErr w:type="spellEnd"/>
      <w:r w:rsidRPr="000B2B24">
        <w:rPr>
          <w:sz w:val="24"/>
          <w:szCs w:val="24"/>
        </w:rPr>
        <w:t>, 2016), indicating that AM may be observed in a different season each year, in turn suggesting the presence of multiple flood-generating mechanisms. Tropical cyclones and extratropical systems (TCs and ETSs, respectively), as well as organized warm-season convective systems (OWSCS) represent some of the possible drivers in those regions (</w:t>
      </w:r>
      <w:proofErr w:type="spellStart"/>
      <w:r w:rsidRPr="000B2B24">
        <w:rPr>
          <w:sz w:val="24"/>
          <w:szCs w:val="24"/>
        </w:rPr>
        <w:t>Villarini</w:t>
      </w:r>
      <w:proofErr w:type="spellEnd"/>
      <w:r w:rsidRPr="000B2B24">
        <w:rPr>
          <w:sz w:val="24"/>
          <w:szCs w:val="24"/>
        </w:rPr>
        <w:t xml:space="preserve">, 2016; </w:t>
      </w:r>
      <w:proofErr w:type="spellStart"/>
      <w:r w:rsidRPr="000B2B24">
        <w:rPr>
          <w:sz w:val="24"/>
          <w:szCs w:val="24"/>
        </w:rPr>
        <w:t>Villarini</w:t>
      </w:r>
      <w:proofErr w:type="spellEnd"/>
      <w:r w:rsidRPr="000B2B24">
        <w:rPr>
          <w:sz w:val="24"/>
          <w:szCs w:val="24"/>
        </w:rPr>
        <w:t xml:space="preserve"> &amp; Smith, 2010, 2013; </w:t>
      </w:r>
      <w:proofErr w:type="spellStart"/>
      <w:r w:rsidRPr="000B2B24">
        <w:rPr>
          <w:sz w:val="24"/>
          <w:szCs w:val="24"/>
        </w:rPr>
        <w:t>Villarini</w:t>
      </w:r>
      <w:proofErr w:type="spellEnd"/>
      <w:r w:rsidRPr="000B2B24">
        <w:rPr>
          <w:sz w:val="24"/>
          <w:szCs w:val="24"/>
        </w:rPr>
        <w:t xml:space="preserve"> et al., 2014). Further heterogeneity is introduced by the sensitivity of TC-generated floods to the phases of the North Atlantic and El Niño-Southern oscillations (</w:t>
      </w:r>
      <w:proofErr w:type="spellStart"/>
      <w:r w:rsidRPr="000B2B24">
        <w:rPr>
          <w:sz w:val="24"/>
          <w:szCs w:val="24"/>
        </w:rPr>
        <w:t>Villarini</w:t>
      </w:r>
      <w:proofErr w:type="spellEnd"/>
      <w:r w:rsidRPr="000B2B24">
        <w:rPr>
          <w:sz w:val="24"/>
          <w:szCs w:val="24"/>
        </w:rPr>
        <w:t xml:space="preserve"> et al., 2014), which may introduce variability in the characteristics of the flood population across years. Bulletin 17B (U.S. Interagency Advisory Committee on Water Data, 1982) already recommends separating TC-generated floods from other peaks of the series, for FFA applications. Southern Georgia displays the largest deviations observed for cluster F, which may be due to the presence of ETS-generated floods in early spring (</w:t>
      </w:r>
      <w:proofErr w:type="spellStart"/>
      <w:r w:rsidRPr="000B2B24">
        <w:rPr>
          <w:sz w:val="24"/>
          <w:szCs w:val="24"/>
        </w:rPr>
        <w:t>Villarini</w:t>
      </w:r>
      <w:proofErr w:type="spellEnd"/>
      <w:r w:rsidRPr="000B2B24">
        <w:rPr>
          <w:sz w:val="24"/>
          <w:szCs w:val="24"/>
        </w:rPr>
        <w:t xml:space="preserve"> &amp; Smith, 2010), which apparently represent most AM events in this region, as suggested by the AM seasonality concentrated in the March-April period (</w:t>
      </w:r>
      <w:proofErr w:type="spellStart"/>
      <w:r w:rsidRPr="000B2B24">
        <w:rPr>
          <w:sz w:val="24"/>
          <w:szCs w:val="24"/>
        </w:rPr>
        <w:t>Villarini</w:t>
      </w:r>
      <w:proofErr w:type="spellEnd"/>
      <w:r w:rsidRPr="000B2B24">
        <w:rPr>
          <w:sz w:val="24"/>
          <w:szCs w:val="24"/>
        </w:rPr>
        <w:t xml:space="preserve">, 2016). This indicates the presence of one dominant AM generating mechanism, related to the occurrence of ETSs, even </w:t>
      </w:r>
      <w:r w:rsidRPr="000B2B24">
        <w:rPr>
          <w:sz w:val="24"/>
          <w:szCs w:val="24"/>
        </w:rPr>
        <w:lastRenderedPageBreak/>
        <w:t>though the POT series may come from heterogeneous flood populations, as exceedances come from a variety of different generating mechanisms. These conditions may lead to a more severe violation of the assumption of identically distributed events because it implies that one generating mechanism produces peaks that are systematically larger than the events produced by other mechanisms, exacerbating bimodality in the flood population. A similar explanation can be provided for clusters D and H, where the medium-to-strong AM seasonality is concentrated in the May-June period (</w:t>
      </w:r>
      <w:proofErr w:type="spellStart"/>
      <w:r w:rsidRPr="000B2B24">
        <w:rPr>
          <w:sz w:val="24"/>
          <w:szCs w:val="24"/>
        </w:rPr>
        <w:t>Villarini</w:t>
      </w:r>
      <w:proofErr w:type="spellEnd"/>
      <w:r w:rsidRPr="000B2B24">
        <w:rPr>
          <w:sz w:val="24"/>
          <w:szCs w:val="24"/>
        </w:rPr>
        <w:t xml:space="preserve">, 2016), concurrently with North Atlantic low-level jets (NALLJs; Weaver et al., 2012). This indicates that NALLJs represent the dominant AM generating mechanism for that region, therefore introducing maxima that come from a notably different distribution as compared to not-NALLJs induced floods. </w:t>
      </w:r>
    </w:p>
    <w:p w14:paraId="73AFDD75" w14:textId="03130CED" w:rsidR="000B2B24" w:rsidRPr="000B2B24" w:rsidRDefault="000B2B24" w:rsidP="00092ED3">
      <w:pPr>
        <w:ind w:firstLine="720"/>
        <w:jc w:val="both"/>
        <w:rPr>
          <w:sz w:val="24"/>
          <w:szCs w:val="24"/>
        </w:rPr>
      </w:pPr>
      <w:r w:rsidRPr="000B2B24">
        <w:rPr>
          <w:sz w:val="24"/>
          <w:szCs w:val="24"/>
        </w:rPr>
        <w:t xml:space="preserve"> Results from optimal feature analysis support our hypothesis that mixed populations affect the validity of Eq. (21), as the key basin attributes for watershed classification are all related to the seasonality of flood and precipitation, as well as the type of vegetation, which in turn can be related to the type of climate. Clusters of anomalous basins are identified considering a threshold </w:t>
      </w:r>
      <m:oMath>
        <m:d>
          <m:dPr>
            <m:begChr m:val="|"/>
            <m:endChr m:val="|"/>
            <m:ctrlPr>
              <w:rPr>
                <w:rFonts w:ascii="Cambria Math" w:hAnsi="Cambria Math"/>
                <w:i/>
                <w:sz w:val="24"/>
                <w:szCs w:val="24"/>
              </w:rPr>
            </m:ctrlPr>
          </m:dPr>
          <m:e>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e>
        </m:d>
        <m:r>
          <w:rPr>
            <w:rFonts w:ascii="Cambria Math" w:hAnsi="Cambria Math"/>
            <w:sz w:val="24"/>
            <w:szCs w:val="24"/>
          </w:rPr>
          <m:t>&gt;8%</m:t>
        </m:r>
      </m:oMath>
      <w:r w:rsidRPr="000B2B24">
        <w:rPr>
          <w:sz w:val="24"/>
          <w:szCs w:val="24"/>
        </w:rPr>
        <w:t xml:space="preserve">. </w:t>
      </w:r>
    </w:p>
    <w:p w14:paraId="3CCFB53C" w14:textId="6008C71E" w:rsidR="000B2B24" w:rsidRDefault="000B2B24" w:rsidP="00092ED3">
      <w:pPr>
        <w:ind w:firstLine="720"/>
        <w:jc w:val="both"/>
        <w:rPr>
          <w:sz w:val="24"/>
          <w:szCs w:val="24"/>
        </w:rPr>
      </w:pPr>
      <w:r w:rsidRPr="000B2B24">
        <w:rPr>
          <w:sz w:val="24"/>
          <w:szCs w:val="24"/>
        </w:rPr>
        <w:t>Figures 8-9 show that flow elasticity (i.e., sensitivity) to changes in precipitation (</w:t>
      </w:r>
      <m:oMath>
        <m:r>
          <w:rPr>
            <w:rFonts w:ascii="Cambria Math" w:hAnsi="Cambria Math"/>
            <w:sz w:val="24"/>
            <w:szCs w:val="24"/>
          </w:rPr>
          <m:t>stream_elas</m:t>
        </m:r>
      </m:oMath>
      <w:r w:rsidRPr="000B2B24">
        <w:rPr>
          <w:sz w:val="24"/>
          <w:szCs w:val="24"/>
        </w:rPr>
        <w:t>), the runoff to precipitation ratio (</w:t>
      </w:r>
      <m:oMath>
        <m:r>
          <w:rPr>
            <w:rFonts w:ascii="Cambria Math" w:hAnsi="Cambria Math"/>
            <w:sz w:val="24"/>
            <w:szCs w:val="24"/>
          </w:rPr>
          <m:t>runoff_ratio</m:t>
        </m:r>
      </m:oMath>
      <w:r w:rsidRPr="000B2B24">
        <w:rPr>
          <w:sz w:val="24"/>
          <w:szCs w:val="24"/>
        </w:rPr>
        <w:t>), as well as measures of flow and precipitation seasonality (</w:t>
      </w:r>
      <m:oMath>
        <m:r>
          <w:rPr>
            <w:rFonts w:ascii="Cambria Math" w:hAnsi="Cambria Math"/>
            <w:sz w:val="24"/>
            <w:szCs w:val="24"/>
          </w:rPr>
          <m:t>high_prec_timing</m:t>
        </m:r>
      </m:oMath>
      <w:r w:rsidRPr="000B2B24">
        <w:rPr>
          <w:sz w:val="24"/>
          <w:szCs w:val="24"/>
        </w:rPr>
        <w:t xml:space="preserve">, </w:t>
      </w:r>
      <m:oMath>
        <m:r>
          <w:rPr>
            <w:rFonts w:ascii="Cambria Math" w:hAnsi="Cambria Math"/>
            <w:sz w:val="24"/>
            <w:szCs w:val="24"/>
          </w:rPr>
          <m:t>low_prec_timing</m:t>
        </m:r>
      </m:oMath>
      <w:r w:rsidRPr="000B2B24">
        <w:rPr>
          <w:sz w:val="24"/>
          <w:szCs w:val="24"/>
        </w:rPr>
        <w:t xml:space="preserve">, </w:t>
      </w:r>
      <m:oMath>
        <m:sSub>
          <m:sSubPr>
            <m:ctrlPr>
              <w:rPr>
                <w:rFonts w:ascii="Cambria Math" w:hAnsi="Cambria Math"/>
                <w:b/>
                <w:bCs/>
                <w:i/>
                <w:sz w:val="24"/>
                <w:szCs w:val="24"/>
              </w:rPr>
            </m:ctrlPr>
          </m:sSubPr>
          <m:e>
            <m:r>
              <w:rPr>
                <w:rFonts w:ascii="Cambria Math" w:hAnsi="Cambria Math"/>
                <w:sz w:val="24"/>
                <w:szCs w:val="24"/>
              </w:rPr>
              <m:t>|</m:t>
            </m:r>
            <m:acc>
              <m:accPr>
                <m:chr m:val="̅"/>
                <m:ctrlPr>
                  <w:rPr>
                    <w:rFonts w:ascii="Cambria Math" w:hAnsi="Cambria Math"/>
                    <w:b/>
                    <w:bCs/>
                    <w:i/>
                    <w:sz w:val="24"/>
                    <w:szCs w:val="24"/>
                  </w:rPr>
                </m:ctrlPr>
              </m:accPr>
              <m:e>
                <m:r>
                  <m:rPr>
                    <m:sty m:val="bi"/>
                  </m:rPr>
                  <w:rPr>
                    <w:rFonts w:ascii="Cambria Math" w:hAnsi="Cambria Math"/>
                    <w:sz w:val="24"/>
                    <w:szCs w:val="24"/>
                  </w:rPr>
                  <m:t>z</m:t>
                </m:r>
              </m:e>
            </m:acc>
          </m:e>
          <m:sub>
            <m:r>
              <m:rPr>
                <m:sty m:val="bi"/>
              </m:rPr>
              <w:rPr>
                <w:rFonts w:ascii="Cambria Math" w:hAnsi="Cambria Math"/>
                <w:sz w:val="24"/>
                <w:szCs w:val="24"/>
              </w:rPr>
              <m:t>FF</m:t>
            </m:r>
          </m:sub>
        </m:sSub>
        <m:r>
          <w:rPr>
            <w:rFonts w:ascii="Cambria Math" w:hAnsi="Cambria Math"/>
            <w:sz w:val="24"/>
            <w:szCs w:val="24"/>
          </w:rPr>
          <m:t>|</m:t>
        </m:r>
      </m:oMath>
      <w:r w:rsidRPr="000B2B24">
        <w:rPr>
          <w:sz w:val="24"/>
          <w:szCs w:val="24"/>
        </w:rPr>
        <w:t xml:space="preserve">, </w:t>
      </w:r>
      <m:oMath>
        <m:r>
          <w:rPr>
            <w:rFonts w:ascii="Cambria Math" w:hAnsi="Cambria Math"/>
            <w:sz w:val="24"/>
            <w:szCs w:val="24"/>
          </w:rPr>
          <m:t>|</m:t>
        </m:r>
        <m:sSub>
          <m:sSubPr>
            <m:ctrlPr>
              <w:rPr>
                <w:rFonts w:ascii="Cambria Math" w:hAnsi="Cambria Math"/>
                <w:b/>
                <w:bCs/>
                <w:i/>
                <w:sz w:val="24"/>
                <w:szCs w:val="24"/>
              </w:rPr>
            </m:ctrlPr>
          </m:sSubPr>
          <m:e>
            <m:acc>
              <m:accPr>
                <m:chr m:val="̅"/>
                <m:ctrlPr>
                  <w:rPr>
                    <w:rFonts w:ascii="Cambria Math" w:hAnsi="Cambria Math"/>
                    <w:b/>
                    <w:bCs/>
                    <w:i/>
                    <w:sz w:val="24"/>
                    <w:szCs w:val="24"/>
                  </w:rPr>
                </m:ctrlPr>
              </m:accPr>
              <m:e>
                <m:r>
                  <m:rPr>
                    <m:sty m:val="bi"/>
                  </m:rPr>
                  <w:rPr>
                    <w:rFonts w:ascii="Cambria Math" w:hAnsi="Cambria Math"/>
                    <w:sz w:val="24"/>
                    <w:szCs w:val="24"/>
                  </w:rPr>
                  <m:t>z</m:t>
                </m:r>
              </m:e>
            </m:acc>
          </m:e>
          <m:sub>
            <m:r>
              <m:rPr>
                <m:sty m:val="bi"/>
              </m:rPr>
              <w:rPr>
                <w:rFonts w:ascii="Cambria Math" w:hAnsi="Cambria Math"/>
                <w:sz w:val="24"/>
                <w:szCs w:val="24"/>
              </w:rPr>
              <m:t>AM</m:t>
            </m:r>
          </m:sub>
        </m:sSub>
        <m:r>
          <m:rPr>
            <m:sty m:val="bi"/>
          </m:rPr>
          <w:rPr>
            <w:rFonts w:ascii="Cambria Math" w:hAnsi="Cambria Math"/>
            <w:sz w:val="24"/>
            <w:szCs w:val="24"/>
          </w:rPr>
          <m:t>|</m:t>
        </m:r>
      </m:oMath>
      <w:r w:rsidRPr="000B2B24">
        <w:rPr>
          <w:sz w:val="24"/>
          <w:szCs w:val="24"/>
        </w:rPr>
        <w:t xml:space="preserve">, and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θ</m:t>
                </m:r>
              </m:e>
            </m:acc>
          </m:e>
          <m:sub>
            <m:r>
              <w:rPr>
                <w:rFonts w:ascii="Cambria Math" w:hAnsi="Cambria Math"/>
                <w:sz w:val="24"/>
                <w:szCs w:val="24"/>
              </w:rPr>
              <m:t>AM</m:t>
            </m:r>
          </m:sub>
        </m:sSub>
      </m:oMath>
      <w:r w:rsidRPr="000B2B24">
        <w:rPr>
          <w:sz w:val="24"/>
          <w:szCs w:val="24"/>
        </w:rPr>
        <w:t xml:space="preserve">) all play an important role in affecting the probability of having a basin with large </w:t>
      </w:r>
      <m:oMath>
        <m:r>
          <w:rPr>
            <w:rFonts w:ascii="Cambria Math" w:hAnsi="Cambria Math"/>
            <w:sz w:val="24"/>
            <w:szCs w:val="24"/>
          </w:rPr>
          <m:t>|u(T)-</m:t>
        </m:r>
        <m:acc>
          <m:accPr>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oMath>
      <w:r w:rsidRPr="000B2B24">
        <w:rPr>
          <w:sz w:val="24"/>
          <w:szCs w:val="24"/>
        </w:rPr>
        <w:t xml:space="preserve"> deviations. </w:t>
      </w:r>
    </w:p>
    <w:p w14:paraId="62519217" w14:textId="1919A195" w:rsidR="0045775E" w:rsidRDefault="00F26B54" w:rsidP="00F26B54">
      <w:pPr>
        <w:jc w:val="both"/>
        <w:rPr>
          <w:sz w:val="24"/>
          <w:szCs w:val="24"/>
        </w:rPr>
      </w:pPr>
      <w:r>
        <w:rPr>
          <w:noProof/>
          <w:sz w:val="24"/>
          <w:szCs w:val="24"/>
        </w:rPr>
        <w:lastRenderedPageBreak/>
        <w:drawing>
          <wp:inline distT="0" distB="0" distL="0" distR="0" wp14:anchorId="0EC0B08C" wp14:editId="3F9C435A">
            <wp:extent cx="5875020" cy="812373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9"/>
                    <a:stretch>
                      <a:fillRect/>
                    </a:stretch>
                  </pic:blipFill>
                  <pic:spPr bwMode="auto">
                    <a:xfrm>
                      <a:off x="0" y="0"/>
                      <a:ext cx="5875020" cy="8123734"/>
                    </a:xfrm>
                    <a:prstGeom prst="rect">
                      <a:avLst/>
                    </a:prstGeom>
                    <a:noFill/>
                    <a:ln>
                      <a:noFill/>
                    </a:ln>
                  </pic:spPr>
                </pic:pic>
              </a:graphicData>
            </a:graphic>
          </wp:inline>
        </w:drawing>
      </w:r>
    </w:p>
    <w:p w14:paraId="392B2AB1" w14:textId="36D07B40" w:rsidR="00544A96" w:rsidRPr="00544A96" w:rsidRDefault="00544A96" w:rsidP="005B4350">
      <w:pPr>
        <w:pStyle w:val="FigureorTableCaption"/>
        <w:ind w:firstLine="720"/>
        <w:jc w:val="both"/>
      </w:pPr>
      <w:r>
        <w:rPr>
          <w:b/>
        </w:rPr>
        <w:lastRenderedPageBreak/>
        <w:t>Figure</w:t>
      </w:r>
      <w:r w:rsidRPr="007443BB">
        <w:rPr>
          <w:b/>
        </w:rPr>
        <w:t xml:space="preserve"> </w:t>
      </w:r>
      <w:r w:rsidR="005B4350">
        <w:rPr>
          <w:b/>
        </w:rPr>
        <w:t>8</w:t>
      </w:r>
      <w:r>
        <w:t xml:space="preserve">. </w:t>
      </w:r>
      <w:r w:rsidRPr="00544A96">
        <w:t xml:space="preserve">a) Pareto front of optimal trade-off solutions among three competing objectives to minimize: number of predictors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544A96">
        <w:t>, ROC area under the curve (ROC_AUC), and Precision-Recall area under the curve (PR</w:t>
      </w:r>
      <w:r w:rsidR="007213E9">
        <w:t>_</w:t>
      </w:r>
      <w:r w:rsidRPr="00544A96">
        <w:t xml:space="preserve">AUC). Each point corresponds to a learning machine trained to classify basins with large deviations </w:t>
      </w:r>
      <m:oMath>
        <m:d>
          <m:dPr>
            <m:begChr m:val="|"/>
            <m:endChr m:val="|"/>
            <m:ctrlPr>
              <w:rPr>
                <w:rFonts w:ascii="Cambria Math" w:hAnsi="Cambria Math"/>
                <w:i/>
                <w:iCs/>
              </w:rPr>
            </m:ctrlPr>
          </m:dPr>
          <m:e>
            <m:r>
              <w:rPr>
                <w:rFonts w:ascii="Cambria Math" w:hAnsi="Cambria Math"/>
              </w:rPr>
              <m:t>u</m:t>
            </m:r>
            <m:d>
              <m:dPr>
                <m:ctrlPr>
                  <w:rPr>
                    <w:rFonts w:ascii="Cambria Math" w:hAnsi="Cambria Math"/>
                    <w:i/>
                    <w:iCs/>
                  </w:rPr>
                </m:ctrlPr>
              </m:dPr>
              <m:e>
                <m:r>
                  <w:rPr>
                    <w:rFonts w:ascii="Cambria Math" w:hAnsi="Cambria Math"/>
                  </w:rPr>
                  <m:t>T</m:t>
                </m:r>
              </m:e>
            </m:d>
            <m:r>
              <w:rPr>
                <w:rFonts w:ascii="Cambria Math" w:hAnsi="Cambria Math"/>
              </w:rPr>
              <m:t>-</m:t>
            </m:r>
            <m:acc>
              <m:accPr>
                <m:ctrlPr>
                  <w:rPr>
                    <w:rFonts w:ascii="Cambria Math" w:hAnsi="Cambria Math"/>
                    <w:i/>
                    <w:iCs/>
                  </w:rPr>
                </m:ctrlPr>
              </m:accPr>
              <m:e>
                <m:r>
                  <w:rPr>
                    <w:rFonts w:ascii="Cambria Math" w:hAnsi="Cambria Math"/>
                  </w:rPr>
                  <m:t>u</m:t>
                </m:r>
              </m:e>
            </m:acc>
            <m:d>
              <m:dPr>
                <m:ctrlPr>
                  <w:rPr>
                    <w:rFonts w:ascii="Cambria Math" w:hAnsi="Cambria Math"/>
                    <w:i/>
                    <w:iCs/>
                  </w:rPr>
                </m:ctrlPr>
              </m:dPr>
              <m:e>
                <m:sSub>
                  <m:sSubPr>
                    <m:ctrlPr>
                      <w:rPr>
                        <w:rFonts w:ascii="Cambria Math" w:hAnsi="Cambria Math"/>
                        <w:i/>
                        <w:iCs/>
                      </w:rPr>
                    </m:ctrlPr>
                  </m:sSubPr>
                  <m:e>
                    <m:r>
                      <w:rPr>
                        <w:rFonts w:ascii="Cambria Math" w:hAnsi="Cambria Math"/>
                      </w:rPr>
                      <m:t>ξ</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g</m:t>
                    </m:r>
                  </m:sub>
                </m:sSub>
                <m:r>
                  <w:rPr>
                    <w:rFonts w:ascii="Cambria Math" w:hAnsi="Cambria Math"/>
                  </w:rPr>
                  <m:t>,T</m:t>
                </m:r>
              </m:e>
            </m:d>
          </m:e>
        </m:d>
      </m:oMath>
      <w:r w:rsidRPr="00544A96">
        <w:t xml:space="preserve">, hence, where the duality-derived Eq. (21) is not valid, using a set of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544A96">
        <w:t xml:space="preserve"> basin characteristics; b) heatmap with the frequency of usage of variables as optimal predictors in different solutions with same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544A96">
        <w:t>; solutions with</w:t>
      </w:r>
      <m:oMath>
        <m:r>
          <m:rPr>
            <m:sty m:val="p"/>
          </m:rPr>
          <w:rPr>
            <w:rFonts w:ascii="Cambria Math" w:hAnsi="Cambria Math"/>
          </w:rPr>
          <m:t> </m:t>
        </m:r>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544A96">
        <w:t xml:space="preserve"> up to 10 are considered</w:t>
      </w:r>
      <w:r w:rsidR="007966EE">
        <w:t xml:space="preserve"> (see online Supporting information for the full heatmap)</w:t>
      </w:r>
      <w:r w:rsidRPr="00544A96">
        <w:t xml:space="preserve">. </w:t>
      </w:r>
    </w:p>
    <w:p w14:paraId="209E4A25" w14:textId="77777777" w:rsidR="009040B7" w:rsidRPr="000B2B24" w:rsidRDefault="009040B7" w:rsidP="00F26B54">
      <w:pPr>
        <w:jc w:val="both"/>
        <w:rPr>
          <w:sz w:val="24"/>
          <w:szCs w:val="24"/>
        </w:rPr>
      </w:pPr>
    </w:p>
    <w:p w14:paraId="3E40B2C5" w14:textId="77777777" w:rsidR="00F26B54" w:rsidRDefault="00F26B54" w:rsidP="00092ED3">
      <w:pPr>
        <w:ind w:firstLine="720"/>
        <w:jc w:val="both"/>
        <w:rPr>
          <w:sz w:val="24"/>
          <w:szCs w:val="24"/>
        </w:rPr>
      </w:pPr>
    </w:p>
    <w:p w14:paraId="3B0CE953" w14:textId="5EBC3468" w:rsidR="00F26B54" w:rsidRDefault="00744917" w:rsidP="00744917">
      <w:pPr>
        <w:jc w:val="both"/>
        <w:rPr>
          <w:sz w:val="24"/>
          <w:szCs w:val="24"/>
        </w:rPr>
      </w:pPr>
      <w:r>
        <w:rPr>
          <w:noProof/>
          <w:sz w:val="24"/>
          <w:szCs w:val="24"/>
        </w:rPr>
        <w:drawing>
          <wp:inline distT="0" distB="0" distL="0" distR="0" wp14:anchorId="72A1E09E" wp14:editId="31E95059">
            <wp:extent cx="5966460" cy="49072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6460" cy="4907280"/>
                    </a:xfrm>
                    <a:prstGeom prst="rect">
                      <a:avLst/>
                    </a:prstGeom>
                    <a:noFill/>
                    <a:ln>
                      <a:noFill/>
                    </a:ln>
                  </pic:spPr>
                </pic:pic>
              </a:graphicData>
            </a:graphic>
          </wp:inline>
        </w:drawing>
      </w:r>
    </w:p>
    <w:p w14:paraId="6747A6C1" w14:textId="3295B1D9" w:rsidR="005B4350" w:rsidRDefault="005B4350" w:rsidP="005B4350">
      <w:pPr>
        <w:pStyle w:val="FigureorTableCaption"/>
        <w:ind w:firstLine="720"/>
        <w:jc w:val="both"/>
      </w:pPr>
      <w:r>
        <w:rPr>
          <w:b/>
        </w:rPr>
        <w:t>Figure</w:t>
      </w:r>
      <w:r w:rsidRPr="007443BB">
        <w:rPr>
          <w:b/>
        </w:rPr>
        <w:t xml:space="preserve"> </w:t>
      </w:r>
      <w:r>
        <w:rPr>
          <w:b/>
        </w:rPr>
        <w:t>9</w:t>
      </w:r>
      <w:r>
        <w:t xml:space="preserve">. </w:t>
      </w:r>
      <w:r w:rsidRPr="005B4350">
        <w:t>Lower triangular matrix: PDPs that show the relationships between key basin attributes and the probability that the deviation between observed and duality-derived underestimation is &gt;8%. This is considered as an empirical indicator that the GP-GEV duality</w:t>
      </w:r>
      <w:r w:rsidR="00671319">
        <w:t xml:space="preserve"> (Eq. 21)</w:t>
      </w:r>
      <w:r w:rsidRPr="005B4350">
        <w:t xml:space="preserve"> is not valid at a given watershed. Upper triangular matrix: Spearman correlation of key basin attributes; correlation of binary variables is not computed because they are different categories of the same categorical variable. Diagonal: frequency distribution of the key basin attributes; brown histograms are used for categorical and binary variables, while blue for continuous variables.  </w:t>
      </w:r>
    </w:p>
    <w:p w14:paraId="6B05CED0" w14:textId="6E922588" w:rsidR="005D2143" w:rsidRPr="00D541CC" w:rsidRDefault="005D2143" w:rsidP="005D2143">
      <w:pPr>
        <w:spacing w:after="160" w:line="259" w:lineRule="auto"/>
        <w:ind w:firstLine="720"/>
        <w:rPr>
          <w:sz w:val="24"/>
          <w:szCs w:val="24"/>
        </w:rPr>
      </w:pPr>
      <w:r w:rsidRPr="005D2143">
        <w:rPr>
          <w:sz w:val="24"/>
          <w:szCs w:val="24"/>
        </w:rPr>
        <w:t xml:space="preserve">  </w:t>
      </w:r>
    </w:p>
    <w:p w14:paraId="09667078" w14:textId="77777777" w:rsidR="005D2143" w:rsidRDefault="005D2143" w:rsidP="00092ED3">
      <w:pPr>
        <w:ind w:firstLine="720"/>
        <w:jc w:val="both"/>
        <w:rPr>
          <w:sz w:val="24"/>
          <w:szCs w:val="24"/>
        </w:rPr>
      </w:pPr>
    </w:p>
    <w:p w14:paraId="07688FA6" w14:textId="35B90735" w:rsidR="000B2B24" w:rsidRPr="000B2B24" w:rsidRDefault="000B2B24" w:rsidP="00092ED3">
      <w:pPr>
        <w:ind w:firstLine="720"/>
        <w:jc w:val="both"/>
        <w:rPr>
          <w:sz w:val="24"/>
          <w:szCs w:val="24"/>
        </w:rPr>
      </w:pPr>
      <w:r w:rsidRPr="000B2B24">
        <w:rPr>
          <w:sz w:val="24"/>
          <w:szCs w:val="24"/>
        </w:rPr>
        <w:t xml:space="preserve">A low FF seasonality (i.e., </w:t>
      </w:r>
      <m:oMath>
        <m:sSub>
          <m:sSubPr>
            <m:ctrlPr>
              <w:rPr>
                <w:rFonts w:ascii="Cambria Math" w:hAnsi="Cambria Math"/>
                <w:b/>
                <w:bCs/>
                <w:i/>
                <w:sz w:val="24"/>
                <w:szCs w:val="24"/>
              </w:rPr>
            </m:ctrlPr>
          </m:sSubPr>
          <m:e>
            <m:r>
              <w:rPr>
                <w:rFonts w:ascii="Cambria Math" w:hAnsi="Cambria Math"/>
                <w:sz w:val="24"/>
                <w:szCs w:val="24"/>
              </w:rPr>
              <m:t>|</m:t>
            </m:r>
            <m:acc>
              <m:accPr>
                <m:chr m:val="̅"/>
                <m:ctrlPr>
                  <w:rPr>
                    <w:rFonts w:ascii="Cambria Math" w:hAnsi="Cambria Math"/>
                    <w:b/>
                    <w:bCs/>
                    <w:i/>
                    <w:sz w:val="24"/>
                    <w:szCs w:val="24"/>
                  </w:rPr>
                </m:ctrlPr>
              </m:accPr>
              <m:e>
                <m:r>
                  <m:rPr>
                    <m:sty m:val="bi"/>
                  </m:rPr>
                  <w:rPr>
                    <w:rFonts w:ascii="Cambria Math" w:hAnsi="Cambria Math"/>
                    <w:sz w:val="24"/>
                    <w:szCs w:val="24"/>
                  </w:rPr>
                  <m:t>z</m:t>
                </m:r>
              </m:e>
            </m:acc>
          </m:e>
          <m:sub>
            <m:r>
              <m:rPr>
                <m:sty m:val="bi"/>
              </m:rPr>
              <w:rPr>
                <w:rFonts w:ascii="Cambria Math" w:hAnsi="Cambria Math"/>
                <w:sz w:val="24"/>
                <w:szCs w:val="24"/>
              </w:rPr>
              <m:t>FF</m:t>
            </m:r>
          </m:sub>
        </m:sSub>
        <m:r>
          <w:rPr>
            <w:rFonts w:ascii="Cambria Math" w:hAnsi="Cambria Math"/>
            <w:sz w:val="24"/>
            <w:szCs w:val="24"/>
          </w:rPr>
          <m:t>|</m:t>
        </m:r>
      </m:oMath>
      <w:r w:rsidRPr="000B2B24">
        <w:rPr>
          <w:sz w:val="24"/>
          <w:szCs w:val="24"/>
        </w:rPr>
        <w:t xml:space="preserve"> close to 0) is generally associated with a </w:t>
      </w:r>
      <w:r w:rsidR="00080C9F">
        <w:rPr>
          <w:sz w:val="24"/>
          <w:szCs w:val="24"/>
        </w:rPr>
        <w:t>high</w:t>
      </w:r>
      <w:r w:rsidRPr="000B2B24">
        <w:rPr>
          <w:sz w:val="24"/>
          <w:szCs w:val="24"/>
        </w:rPr>
        <w:t xml:space="preserve"> probability of having an anomalous watershed. Strong AM seasonality (</w:t>
      </w:r>
      <m:oMath>
        <m:r>
          <w:rPr>
            <w:rFonts w:ascii="Cambria Math" w:hAnsi="Cambria Math"/>
            <w:sz w:val="24"/>
            <w:szCs w:val="24"/>
          </w:rPr>
          <m:t>|</m:t>
        </m:r>
        <m:sSub>
          <m:sSubPr>
            <m:ctrlPr>
              <w:rPr>
                <w:rFonts w:ascii="Cambria Math" w:hAnsi="Cambria Math"/>
                <w:b/>
                <w:bCs/>
                <w:i/>
                <w:sz w:val="24"/>
                <w:szCs w:val="24"/>
              </w:rPr>
            </m:ctrlPr>
          </m:sSubPr>
          <m:e>
            <m:acc>
              <m:accPr>
                <m:chr m:val="̅"/>
                <m:ctrlPr>
                  <w:rPr>
                    <w:rFonts w:ascii="Cambria Math" w:hAnsi="Cambria Math"/>
                    <w:b/>
                    <w:bCs/>
                    <w:i/>
                    <w:sz w:val="24"/>
                    <w:szCs w:val="24"/>
                  </w:rPr>
                </m:ctrlPr>
              </m:accPr>
              <m:e>
                <m:r>
                  <m:rPr>
                    <m:sty m:val="bi"/>
                  </m:rPr>
                  <w:rPr>
                    <w:rFonts w:ascii="Cambria Math" w:hAnsi="Cambria Math"/>
                    <w:sz w:val="24"/>
                    <w:szCs w:val="24"/>
                  </w:rPr>
                  <m:t>z</m:t>
                </m:r>
              </m:e>
            </m:acc>
          </m:e>
          <m:sub>
            <m:r>
              <m:rPr>
                <m:sty m:val="bi"/>
              </m:rPr>
              <w:rPr>
                <w:rFonts w:ascii="Cambria Math" w:hAnsi="Cambria Math"/>
                <w:sz w:val="24"/>
                <w:szCs w:val="24"/>
              </w:rPr>
              <m:t>AM</m:t>
            </m:r>
          </m:sub>
        </m:sSub>
        <m:r>
          <w:rPr>
            <w:rFonts w:ascii="Cambria Math" w:hAnsi="Cambria Math"/>
            <w:sz w:val="24"/>
            <w:szCs w:val="24"/>
          </w:rPr>
          <m:t>|</m:t>
        </m:r>
      </m:oMath>
      <w:r w:rsidRPr="000B2B24">
        <w:rPr>
          <w:sz w:val="24"/>
          <w:szCs w:val="24"/>
        </w:rPr>
        <w:t xml:space="preserve"> close to 1) concurrent with low FF seasonality leads to higher chances of an anomaly, while if both AM and FFs present strong seasonality, the duality equation (Eq. 21) should give a good estimate of the underestimation. A strong AM seasonality coupled with a strong FF seasonality indicates that peaks tend to occur all in the same period of the year, resulting in a homogenous flood population. In contrast, a strong AM seasonality paired to a low FF seasonality suggests that there is one generating mechanism that often results in the largest annual event to occur in the same season, across multiple years, but other types of floods are also present in the peak series. </w:t>
      </w:r>
    </w:p>
    <w:p w14:paraId="515B8668" w14:textId="18E0F749" w:rsidR="000B2B24" w:rsidRPr="000B2B24" w:rsidRDefault="000B2B24" w:rsidP="00092ED3">
      <w:pPr>
        <w:ind w:firstLine="720"/>
        <w:jc w:val="both"/>
        <w:rPr>
          <w:sz w:val="24"/>
          <w:szCs w:val="24"/>
        </w:rPr>
      </w:pPr>
      <w:r w:rsidRPr="000B2B24">
        <w:rPr>
          <w:sz w:val="24"/>
          <w:szCs w:val="24"/>
        </w:rPr>
        <w:t xml:space="preserve">Another sign of large </w:t>
      </w:r>
      <m:oMath>
        <m:d>
          <m:dPr>
            <m:begChr m:val="|"/>
            <m:endChr m:val="|"/>
            <m:ctrlPr>
              <w:rPr>
                <w:rFonts w:ascii="Cambria Math" w:hAnsi="Cambria Math"/>
                <w:i/>
                <w:sz w:val="24"/>
                <w:szCs w:val="24"/>
              </w:rPr>
            </m:ctrlPr>
          </m:dPr>
          <m:e>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e>
        </m:d>
      </m:oMath>
      <w:r w:rsidRPr="000B2B24">
        <w:rPr>
          <w:sz w:val="24"/>
          <w:szCs w:val="24"/>
        </w:rPr>
        <w:t xml:space="preserve"> deviations is a high discharge-precipitation elasticity (</w:t>
      </w:r>
      <m:oMath>
        <m:r>
          <w:rPr>
            <w:rFonts w:ascii="Cambria Math" w:hAnsi="Cambria Math"/>
            <w:sz w:val="24"/>
            <w:szCs w:val="24"/>
          </w:rPr>
          <m:t>stream_elas</m:t>
        </m:r>
      </m:oMath>
      <w:r w:rsidRPr="000B2B24">
        <w:rPr>
          <w:sz w:val="24"/>
          <w:szCs w:val="24"/>
        </w:rPr>
        <w:t>). This is because a strong flood sensitivity to precipitation may result in greater changes of the characteristics of flood distributions across years with different amounts and time distributions of rainfall. The highest values of flow elasticity in the U.S. are observed in arid and semiarid regions (</w:t>
      </w:r>
      <w:proofErr w:type="spellStart"/>
      <w:r w:rsidRPr="000B2B24">
        <w:rPr>
          <w:sz w:val="24"/>
          <w:szCs w:val="24"/>
        </w:rPr>
        <w:t>Sankarasubramanian</w:t>
      </w:r>
      <w:proofErr w:type="spellEnd"/>
      <w:r w:rsidRPr="000B2B24">
        <w:rPr>
          <w:sz w:val="24"/>
          <w:szCs w:val="24"/>
        </w:rPr>
        <w:t xml:space="preserve"> et al., 2001). </w:t>
      </w:r>
    </w:p>
    <w:p w14:paraId="3F4018FA" w14:textId="46877159" w:rsidR="000B2B24" w:rsidRPr="000B2B24" w:rsidRDefault="000B2B24" w:rsidP="00092ED3">
      <w:pPr>
        <w:ind w:firstLine="720"/>
        <w:jc w:val="both"/>
        <w:rPr>
          <w:sz w:val="24"/>
          <w:szCs w:val="24"/>
        </w:rPr>
      </w:pPr>
      <w:r w:rsidRPr="000B2B24">
        <w:rPr>
          <w:sz w:val="24"/>
          <w:szCs w:val="24"/>
        </w:rPr>
        <w:t xml:space="preserve">Regarding the effect of dominant land-cover type, mixed or deciduous-broadleaf-forest catchments, common along the Appalachian range, are less likely to be classified as anomalous than savanna basins, more typical in parts of Texas and California. This reflects the fact that there are both regular and anomalous watersheds in the eastern U.S., characterized either by mixed or deciduous-forest land-cover, while basins in savanna regions present large </w:t>
      </w:r>
      <m:oMath>
        <m:d>
          <m:dPr>
            <m:begChr m:val="|"/>
            <m:endChr m:val="|"/>
            <m:ctrlPr>
              <w:rPr>
                <w:rFonts w:ascii="Cambria Math" w:hAnsi="Cambria Math"/>
                <w:i/>
                <w:sz w:val="24"/>
                <w:szCs w:val="24"/>
              </w:rPr>
            </m:ctrlPr>
          </m:dPr>
          <m:e>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e>
        </m:d>
      </m:oMath>
      <w:r w:rsidRPr="000B2B24">
        <w:rPr>
          <w:sz w:val="24"/>
          <w:szCs w:val="24"/>
        </w:rPr>
        <w:t xml:space="preserve"> deviations more systematically. Cropland LC-dominated watersheds, widespread in central U.S. (including in dry climate regions such as Texas and Kansas), get a high probability of displaying large deviations if the </w:t>
      </w:r>
      <m:oMath>
        <m:r>
          <w:rPr>
            <w:rFonts w:ascii="Cambria Math" w:hAnsi="Cambria Math"/>
            <w:sz w:val="24"/>
            <w:szCs w:val="24"/>
          </w:rPr>
          <m:t>runoff_ratio</m:t>
        </m:r>
      </m:oMath>
      <w:r w:rsidRPr="000B2B24">
        <w:rPr>
          <w:sz w:val="24"/>
          <w:szCs w:val="24"/>
        </w:rPr>
        <w:t xml:space="preserve"> is low (typical of dry climates) or </w:t>
      </w:r>
      <m:oMath>
        <m:r>
          <w:rPr>
            <w:rFonts w:ascii="Cambria Math" w:hAnsi="Cambria Math"/>
            <w:sz w:val="24"/>
            <w:szCs w:val="24"/>
          </w:rPr>
          <m:t>stream_elas</m:t>
        </m:r>
      </m:oMath>
      <w:r w:rsidRPr="000B2B24">
        <w:rPr>
          <w:sz w:val="24"/>
          <w:szCs w:val="24"/>
        </w:rPr>
        <w:t xml:space="preserve"> is high. This may be interpreted as a way of identifying the types of basins observed in Kansas and northern Texas (clusters E and part of D, respectively) by cross-checking multiple characteristics typical of those regions. </w:t>
      </w:r>
    </w:p>
    <w:p w14:paraId="190AF674" w14:textId="1DA3C630" w:rsidR="000B2B24" w:rsidRPr="000B2B24" w:rsidRDefault="000B2B24" w:rsidP="00092ED3">
      <w:pPr>
        <w:ind w:firstLine="720"/>
        <w:jc w:val="both"/>
        <w:rPr>
          <w:sz w:val="24"/>
          <w:szCs w:val="24"/>
        </w:rPr>
      </w:pPr>
      <w:r w:rsidRPr="000B2B24">
        <w:rPr>
          <w:sz w:val="24"/>
          <w:szCs w:val="24"/>
        </w:rPr>
        <w:t xml:space="preserve">To conclude, the highly non-linear relationships shown in Figure 9 between key basin attributes and the probability of large deviation </w:t>
      </w:r>
      <m:oMath>
        <m:d>
          <m:dPr>
            <m:begChr m:val="|"/>
            <m:endChr m:val="|"/>
            <m:ctrlPr>
              <w:rPr>
                <w:rFonts w:ascii="Cambria Math" w:hAnsi="Cambria Math"/>
                <w:i/>
                <w:sz w:val="24"/>
                <w:szCs w:val="24"/>
              </w:rPr>
            </m:ctrlPr>
          </m:dPr>
          <m:e>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e>
        </m:d>
      </m:oMath>
      <w:r w:rsidRPr="000B2B24">
        <w:rPr>
          <w:sz w:val="24"/>
          <w:szCs w:val="24"/>
        </w:rPr>
        <w:t xml:space="preserve"> all have a quite straightforward interpretation if the hypothesis of the influence of mixed populations is deemed correct. Or, at least, they are not in conflict with each other. This may be regarded as an empirical, a posteriori proof in support of this hypothesis. </w:t>
      </w:r>
    </w:p>
    <w:p w14:paraId="549D8C7E" w14:textId="75EAB56A" w:rsidR="000B2B24" w:rsidRPr="000B2B24" w:rsidRDefault="000B2B24" w:rsidP="00092ED3">
      <w:pPr>
        <w:ind w:firstLine="720"/>
        <w:jc w:val="both"/>
        <w:rPr>
          <w:sz w:val="24"/>
          <w:szCs w:val="24"/>
        </w:rPr>
      </w:pPr>
      <w:r w:rsidRPr="000B2B24">
        <w:rPr>
          <w:sz w:val="24"/>
          <w:szCs w:val="24"/>
        </w:rPr>
        <w:t xml:space="preserve">Langbein’s equation is valid under the same two assumptions required by Eq. (21): </w:t>
      </w:r>
      <w:proofErr w:type="spellStart"/>
      <w:r w:rsidRPr="000B2B24">
        <w:rPr>
          <w:sz w:val="24"/>
          <w:szCs w:val="24"/>
        </w:rPr>
        <w:t>i.i.d.</w:t>
      </w:r>
      <w:proofErr w:type="spellEnd"/>
      <w:r w:rsidRPr="000B2B24">
        <w:rPr>
          <w:sz w:val="24"/>
          <w:szCs w:val="24"/>
        </w:rPr>
        <w:t xml:space="preserve"> peaks and that the number of exceedances is PSN distributed. Considering thresholds of 8% for the </w:t>
      </w:r>
      <m:oMath>
        <m:d>
          <m:dPr>
            <m:begChr m:val="|"/>
            <m:endChr m:val="|"/>
            <m:ctrlPr>
              <w:rPr>
                <w:rFonts w:ascii="Cambria Math" w:hAnsi="Cambria Math"/>
                <w:i/>
                <w:sz w:val="24"/>
                <w:szCs w:val="24"/>
              </w:rPr>
            </m:ctrlPr>
          </m:dPr>
          <m:e>
            <m:r>
              <w:rPr>
                <w:rFonts w:ascii="Cambria Math" w:hAnsi="Cambria Math"/>
                <w:sz w:val="24"/>
                <w:szCs w:val="24"/>
              </w:rPr>
              <m:t>u</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u</m:t>
                </m:r>
              </m:e>
            </m:acc>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ξ</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rPr>
                      <m:t>g</m:t>
                    </m:r>
                  </m:sub>
                </m:sSub>
                <m:r>
                  <w:rPr>
                    <w:rFonts w:ascii="Cambria Math" w:hAnsi="Cambria Math"/>
                    <w:sz w:val="24"/>
                    <w:szCs w:val="24"/>
                  </w:rPr>
                  <m:t>,T</m:t>
                </m:r>
              </m:e>
            </m:d>
          </m:e>
        </m:d>
      </m:oMath>
      <w:r w:rsidRPr="000B2B24">
        <w:rPr>
          <w:sz w:val="24"/>
          <w:szCs w:val="24"/>
        </w:rPr>
        <w:t xml:space="preserve"> deviations and 0.35 years for the errors in the Langbein-estimated return period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L</m:t>
            </m:r>
          </m:sub>
        </m:sSub>
      </m:oMath>
      <w:r w:rsidRPr="000B2B24">
        <w:rPr>
          <w:sz w:val="24"/>
          <w:szCs w:val="24"/>
        </w:rPr>
        <w:t xml:space="preserve"> (Figure 3d), the point biserial correlation between watersheds where Eq. (21) and Eq. (1) produce large errors is 0.78. This high correlation suggests that regions where the two theoretical equations are not perfectly valid are overall the same (also compare Figures 4b-d); in both cases, the most likely explanation is the occurrence of mixed populations, violating the assumption of identically distributed events. In practice, for design purposes or any other case where one needs to know the flood magnitude for a given frequency, Eq. (21) should be used together with AM-FFA, as it allows for directly correcting the AM-based flood estimate. In contrast, Langbein’s equation is more useful in a verification framework, i.e., when one is interested in assessing the actual frequency of the design flood computed from AM-FFA. </w:t>
      </w:r>
    </w:p>
    <w:p w14:paraId="64078598" w14:textId="77777777" w:rsidR="000B2B24" w:rsidRPr="000B2B24" w:rsidRDefault="000B2B24" w:rsidP="000B2B24">
      <w:pPr>
        <w:ind w:firstLine="720"/>
        <w:rPr>
          <w:sz w:val="24"/>
          <w:szCs w:val="24"/>
        </w:rPr>
      </w:pPr>
    </w:p>
    <w:p w14:paraId="69D87446" w14:textId="626865D1" w:rsidR="002F3B11" w:rsidRDefault="002F3B11" w:rsidP="00C81368">
      <w:pPr>
        <w:pStyle w:val="Heading-Main"/>
      </w:pPr>
      <w:r>
        <w:lastRenderedPageBreak/>
        <w:t>5 Conclusions</w:t>
      </w:r>
    </w:p>
    <w:p w14:paraId="169F7E43" w14:textId="77777777" w:rsidR="00F77D29" w:rsidRPr="00F77D29" w:rsidRDefault="00F77D29" w:rsidP="00F77D29">
      <w:pPr>
        <w:ind w:firstLine="720"/>
        <w:jc w:val="both"/>
        <w:rPr>
          <w:sz w:val="24"/>
          <w:szCs w:val="24"/>
        </w:rPr>
      </w:pPr>
      <w:r w:rsidRPr="00F77D29">
        <w:rPr>
          <w:sz w:val="24"/>
          <w:szCs w:val="24"/>
        </w:rPr>
        <w:t xml:space="preserve">Frequent flood underestimation by AM-FFA is a well-known phenomenon in engineering practice but is poorly understood from a theoretical standpoint. Probably this is one of the reasons why the issue has been systematically overlooked, with many practitioners across many disciplines using AM to predict FFs such as the 2-year quantile, or even more frequent floods. </w:t>
      </w:r>
    </w:p>
    <w:p w14:paraId="7FBB9891" w14:textId="31673AA0" w:rsidR="00F77D29" w:rsidRPr="00F77D29" w:rsidRDefault="00F77D29" w:rsidP="00F77D29">
      <w:pPr>
        <w:ind w:firstLine="720"/>
        <w:jc w:val="both"/>
        <w:rPr>
          <w:sz w:val="24"/>
          <w:szCs w:val="24"/>
        </w:rPr>
      </w:pPr>
      <w:r w:rsidRPr="00F77D29">
        <w:rPr>
          <w:sz w:val="24"/>
          <w:szCs w:val="24"/>
        </w:rPr>
        <w:t xml:space="preserve">This work considers a large sample of watersheds with minimum human impact to show that the level of FF underestimation can vary widely depending on the GEV parameters, and in turn the type of climate, the size of the river, and other basin characteristics that affect the distributional characteristics of AM. The scale-location ratio is the main control over the amount of underestimation, for a given average interarrival time </w:t>
      </w:r>
      <m:oMath>
        <m:r>
          <w:rPr>
            <w:rFonts w:ascii="Cambria Math" w:hAnsi="Cambria Math"/>
            <w:sz w:val="24"/>
            <w:szCs w:val="24"/>
          </w:rPr>
          <m:t>T</m:t>
        </m:r>
      </m:oMath>
      <w:r w:rsidRPr="00F77D29">
        <w:rPr>
          <w:sz w:val="24"/>
          <w:szCs w:val="24"/>
        </w:rPr>
        <w:t xml:space="preserve">, while the shape parameter determines how quickly AM- and POT-estimated quantiles converge, for increasing </w:t>
      </w:r>
      <m:oMath>
        <m:r>
          <w:rPr>
            <w:rFonts w:ascii="Cambria Math" w:hAnsi="Cambria Math"/>
            <w:sz w:val="24"/>
            <w:szCs w:val="24"/>
          </w:rPr>
          <m:t>T</m:t>
        </m:r>
      </m:oMath>
      <w:r w:rsidRPr="00F77D29">
        <w:rPr>
          <w:sz w:val="24"/>
          <w:szCs w:val="24"/>
        </w:rPr>
        <w:t xml:space="preserve">. </w:t>
      </w:r>
    </w:p>
    <w:p w14:paraId="5AD8F6C6" w14:textId="5D7BB98E" w:rsidR="00F77D29" w:rsidRPr="00F77D29" w:rsidRDefault="00F77D29" w:rsidP="00F77D29">
      <w:pPr>
        <w:ind w:firstLine="720"/>
        <w:jc w:val="both"/>
        <w:rPr>
          <w:sz w:val="24"/>
          <w:szCs w:val="24"/>
        </w:rPr>
      </w:pPr>
      <w:r w:rsidRPr="00F77D29">
        <w:rPr>
          <w:sz w:val="24"/>
          <w:szCs w:val="24"/>
        </w:rPr>
        <w:t xml:space="preserve">We propose a practical relationship, derived from the theoretical duality between the GEV and GP distributions, that can be used to correct AM-based estimates of FFs, considering that their actual frequency is better reflected by the </w:t>
      </w:r>
      <m:oMath>
        <m:r>
          <w:rPr>
            <w:rFonts w:ascii="Cambria Math" w:hAnsi="Cambria Math"/>
            <w:sz w:val="24"/>
            <w:szCs w:val="24"/>
          </w:rPr>
          <m:t>ARI</m:t>
        </m:r>
      </m:oMath>
      <w:r w:rsidRPr="00F77D29">
        <w:rPr>
          <w:sz w:val="24"/>
          <w:szCs w:val="24"/>
        </w:rPr>
        <w:t xml:space="preserve"> predicted by POT-FFA. However, we were able to characterize some regions in the U.S. where this useful tool underperforms, as does the well-known Langbein’s equation, misestimating the gap between </w:t>
      </w:r>
      <m:oMath>
        <m:r>
          <w:rPr>
            <w:rFonts w:ascii="Cambria Math" w:hAnsi="Cambria Math"/>
            <w:sz w:val="24"/>
            <w:szCs w:val="24"/>
          </w:rPr>
          <m:t>R</m:t>
        </m:r>
      </m:oMath>
      <w:r w:rsidRPr="00F77D29">
        <w:rPr>
          <w:sz w:val="24"/>
          <w:szCs w:val="24"/>
        </w:rPr>
        <w:t xml:space="preserve"> (from AM-) and </w:t>
      </w:r>
      <m:oMath>
        <m:r>
          <w:rPr>
            <w:rFonts w:ascii="Cambria Math" w:hAnsi="Cambria Math"/>
            <w:sz w:val="24"/>
            <w:szCs w:val="24"/>
          </w:rPr>
          <m:t>ARI</m:t>
        </m:r>
      </m:oMath>
      <w:r w:rsidRPr="00F77D29">
        <w:rPr>
          <w:sz w:val="24"/>
          <w:szCs w:val="24"/>
        </w:rPr>
        <w:t xml:space="preserve"> (from POT-FFA). We conclude that the poor performance of both approaches is imputable to the occurrence of mixed flood populations. In these regions, the negative bias introduced by using AM-FFA can reach up to 60% for a </w:t>
      </w:r>
      <m:oMath>
        <m:r>
          <w:rPr>
            <w:rFonts w:ascii="Cambria Math" w:hAnsi="Cambria Math"/>
            <w:sz w:val="24"/>
            <w:szCs w:val="24"/>
          </w:rPr>
          <m:t>T</m:t>
        </m:r>
      </m:oMath>
      <w:r w:rsidRPr="00F77D29">
        <w:rPr>
          <w:sz w:val="24"/>
          <w:szCs w:val="24"/>
        </w:rPr>
        <w:t xml:space="preserve"> of 1.5 years. Such levels of underestimation of frequent flood magnitude are of practical concern for a range of river science and engineering fields, so that the use of POT should be mandatory in these cases.</w:t>
      </w:r>
    </w:p>
    <w:p w14:paraId="184C9E92" w14:textId="24A0B904" w:rsidR="00FC37F3" w:rsidRPr="00FC37F3" w:rsidRDefault="00FC37F3" w:rsidP="00FC37F3">
      <w:pPr>
        <w:pStyle w:val="Heading-Main"/>
      </w:pPr>
      <w:r w:rsidRPr="00FC37F3">
        <w:t>Acknowledgments</w:t>
      </w:r>
    </w:p>
    <w:p w14:paraId="6119FAA2" w14:textId="7E1323D5" w:rsidR="00995CAA" w:rsidRPr="00995CAA" w:rsidRDefault="00981372" w:rsidP="00114817">
      <w:pPr>
        <w:shd w:val="clear" w:color="auto" w:fill="FFFFFF"/>
        <w:spacing w:line="480" w:lineRule="auto"/>
        <w:jc w:val="both"/>
        <w:rPr>
          <w:rFonts w:eastAsia="Times New Roman"/>
          <w:sz w:val="24"/>
          <w:szCs w:val="24"/>
        </w:rPr>
      </w:pPr>
      <w:r w:rsidRPr="00981372">
        <w:rPr>
          <w:rFonts w:eastAsia="Times New Roman"/>
          <w:sz w:val="24"/>
          <w:szCs w:val="24"/>
        </w:rPr>
        <w:t>This research was supported by the Tennessee Department of Transportation (TDOT)</w:t>
      </w:r>
      <w:r w:rsidR="0016010B">
        <w:rPr>
          <w:rFonts w:eastAsia="Times New Roman"/>
          <w:sz w:val="24"/>
          <w:szCs w:val="24"/>
        </w:rPr>
        <w:t xml:space="preserve"> </w:t>
      </w:r>
      <w:r w:rsidRPr="00981372">
        <w:rPr>
          <w:rFonts w:eastAsia="Times New Roman"/>
          <w:sz w:val="24"/>
          <w:szCs w:val="24"/>
        </w:rPr>
        <w:t>through the project "Updating equations for peak flow estimation in urban creeks and streams of</w:t>
      </w:r>
      <w:r w:rsidR="0016010B">
        <w:rPr>
          <w:rFonts w:eastAsia="Times New Roman"/>
          <w:sz w:val="24"/>
          <w:szCs w:val="24"/>
        </w:rPr>
        <w:t xml:space="preserve"> </w:t>
      </w:r>
      <w:r w:rsidRPr="00981372">
        <w:rPr>
          <w:rFonts w:eastAsia="Times New Roman"/>
          <w:sz w:val="24"/>
          <w:szCs w:val="24"/>
        </w:rPr>
        <w:t xml:space="preserve">Tennessee", started on September 18, 2020 (State Project Number: RES2020-23). This research was also supported through </w:t>
      </w:r>
      <w:r w:rsidR="007B3D4F">
        <w:rPr>
          <w:rFonts w:eastAsia="Times New Roman"/>
          <w:sz w:val="24"/>
          <w:szCs w:val="24"/>
        </w:rPr>
        <w:t>high performance computing</w:t>
      </w:r>
      <w:r w:rsidR="00756CBC">
        <w:rPr>
          <w:rFonts w:eastAsia="Times New Roman"/>
          <w:sz w:val="24"/>
          <w:szCs w:val="24"/>
        </w:rPr>
        <w:t xml:space="preserve"> (HPC)</w:t>
      </w:r>
      <w:r w:rsidR="007B3D4F">
        <w:rPr>
          <w:rFonts w:eastAsia="Times New Roman"/>
          <w:sz w:val="24"/>
          <w:szCs w:val="24"/>
        </w:rPr>
        <w:t xml:space="preserve"> </w:t>
      </w:r>
      <w:r w:rsidRPr="00981372">
        <w:rPr>
          <w:rFonts w:eastAsia="Times New Roman"/>
          <w:sz w:val="24"/>
          <w:szCs w:val="24"/>
        </w:rPr>
        <w:t>resources</w:t>
      </w:r>
      <w:r w:rsidR="0016010B">
        <w:rPr>
          <w:rFonts w:eastAsia="Times New Roman"/>
          <w:sz w:val="24"/>
          <w:szCs w:val="24"/>
        </w:rPr>
        <w:t xml:space="preserve"> </w:t>
      </w:r>
      <w:r w:rsidR="00732C7D">
        <w:rPr>
          <w:rFonts w:eastAsia="Times New Roman"/>
          <w:sz w:val="24"/>
          <w:szCs w:val="24"/>
        </w:rPr>
        <w:t>at</w:t>
      </w:r>
      <w:r w:rsidRPr="00981372">
        <w:rPr>
          <w:rFonts w:eastAsia="Times New Roman"/>
          <w:sz w:val="24"/>
          <w:szCs w:val="24"/>
        </w:rPr>
        <w:t xml:space="preserve"> The University of Memphis, Memphis, TN.</w:t>
      </w:r>
      <w:r w:rsidR="008A4CCD">
        <w:rPr>
          <w:rFonts w:eastAsia="Times New Roman"/>
          <w:sz w:val="24"/>
          <w:szCs w:val="24"/>
        </w:rPr>
        <w:t xml:space="preserve"> </w:t>
      </w:r>
    </w:p>
    <w:p w14:paraId="4FD790E5" w14:textId="4A2C1C32" w:rsidR="00940AC6" w:rsidRPr="00940AC6" w:rsidRDefault="00940AC6" w:rsidP="00940AC6">
      <w:pPr>
        <w:pStyle w:val="Heading-Main"/>
      </w:pPr>
      <w:r w:rsidRPr="00940AC6">
        <w:t>Data availability statement</w:t>
      </w:r>
    </w:p>
    <w:p w14:paraId="3728410C" w14:textId="03E9D269" w:rsidR="00195AB6" w:rsidRPr="00995CAA" w:rsidRDefault="00312BCA" w:rsidP="00195AB6">
      <w:pPr>
        <w:shd w:val="clear" w:color="auto" w:fill="FFFFFF"/>
        <w:spacing w:line="480" w:lineRule="auto"/>
        <w:rPr>
          <w:rFonts w:eastAsia="Times New Roman"/>
          <w:sz w:val="24"/>
          <w:szCs w:val="24"/>
        </w:rPr>
      </w:pPr>
      <w:r w:rsidRPr="00732BD4">
        <w:rPr>
          <w:rFonts w:eastAsia="Times New Roman"/>
          <w:color w:val="262626"/>
          <w:sz w:val="24"/>
          <w:szCs w:val="24"/>
        </w:rPr>
        <w:t xml:space="preserve">Flow series </w:t>
      </w:r>
      <w:r w:rsidR="000022CA" w:rsidRPr="00732BD4">
        <w:rPr>
          <w:rFonts w:eastAsia="Times New Roman"/>
          <w:color w:val="262626"/>
          <w:sz w:val="24"/>
          <w:szCs w:val="24"/>
        </w:rPr>
        <w:t>used to perform the analyses</w:t>
      </w:r>
      <w:r w:rsidR="00CD5D44">
        <w:rPr>
          <w:rFonts w:eastAsia="Times New Roman"/>
          <w:color w:val="262626"/>
          <w:sz w:val="24"/>
          <w:szCs w:val="24"/>
        </w:rPr>
        <w:t xml:space="preserve"> in this work</w:t>
      </w:r>
      <w:r w:rsidR="000022CA" w:rsidRPr="00732BD4">
        <w:rPr>
          <w:rFonts w:eastAsia="Times New Roman"/>
          <w:color w:val="262626"/>
          <w:sz w:val="24"/>
          <w:szCs w:val="24"/>
        </w:rPr>
        <w:t xml:space="preserve"> are available from the USGS website at the link </w:t>
      </w:r>
      <w:hyperlink r:id="rId21" w:history="1">
        <w:r w:rsidR="00B6774D" w:rsidRPr="00057A0F">
          <w:rPr>
            <w:rStyle w:val="Hyperlink"/>
            <w:i/>
            <w:iCs/>
            <w:color w:val="0070C0"/>
            <w:sz w:val="24"/>
            <w:szCs w:val="24"/>
            <w:shd w:val="clear" w:color="auto" w:fill="FFFFFF"/>
          </w:rPr>
          <w:t>http://dx.doi.org/10.5066/F7P55KJN</w:t>
        </w:r>
      </w:hyperlink>
      <w:r w:rsidR="00B6774D" w:rsidRPr="00732BD4">
        <w:rPr>
          <w:rStyle w:val="Hyperlink"/>
          <w:color w:val="205C90"/>
          <w:sz w:val="24"/>
          <w:szCs w:val="24"/>
          <w:u w:val="none"/>
          <w:shd w:val="clear" w:color="auto" w:fill="FFFFFF"/>
        </w:rPr>
        <w:t xml:space="preserve"> </w:t>
      </w:r>
      <w:r w:rsidR="00B6774D" w:rsidRPr="00732BD4">
        <w:rPr>
          <w:rStyle w:val="Hyperlink"/>
          <w:color w:val="auto"/>
          <w:sz w:val="24"/>
          <w:szCs w:val="24"/>
          <w:u w:val="none"/>
          <w:shd w:val="clear" w:color="auto" w:fill="FFFFFF"/>
        </w:rPr>
        <w:t xml:space="preserve">(U.S. Geological </w:t>
      </w:r>
      <w:r w:rsidR="00732BD4" w:rsidRPr="00732BD4">
        <w:rPr>
          <w:rStyle w:val="Hyperlink"/>
          <w:color w:val="auto"/>
          <w:sz w:val="24"/>
          <w:szCs w:val="24"/>
          <w:u w:val="none"/>
          <w:shd w:val="clear" w:color="auto" w:fill="FFFFFF"/>
        </w:rPr>
        <w:t>Survey 2022)</w:t>
      </w:r>
      <w:r w:rsidR="00CD5D44">
        <w:rPr>
          <w:rStyle w:val="Hyperlink"/>
          <w:color w:val="auto"/>
          <w:sz w:val="24"/>
          <w:szCs w:val="24"/>
          <w:u w:val="none"/>
          <w:shd w:val="clear" w:color="auto" w:fill="FFFFFF"/>
        </w:rPr>
        <w:t>.</w:t>
      </w:r>
      <w:r w:rsidR="009A66CD">
        <w:rPr>
          <w:rStyle w:val="Hyperlink"/>
          <w:color w:val="auto"/>
          <w:sz w:val="24"/>
          <w:szCs w:val="24"/>
          <w:u w:val="none"/>
          <w:shd w:val="clear" w:color="auto" w:fill="FFFFFF"/>
        </w:rPr>
        <w:t xml:space="preserve"> </w:t>
      </w:r>
      <w:proofErr w:type="gramStart"/>
      <w:r w:rsidR="009A66CD">
        <w:rPr>
          <w:rStyle w:val="Hyperlink"/>
          <w:color w:val="auto"/>
          <w:sz w:val="24"/>
          <w:szCs w:val="24"/>
          <w:u w:val="none"/>
          <w:shd w:val="clear" w:color="auto" w:fill="FFFFFF"/>
        </w:rPr>
        <w:t>In order to</w:t>
      </w:r>
      <w:proofErr w:type="gramEnd"/>
      <w:r w:rsidR="009A66CD">
        <w:rPr>
          <w:rStyle w:val="Hyperlink"/>
          <w:color w:val="auto"/>
          <w:sz w:val="24"/>
          <w:szCs w:val="24"/>
          <w:u w:val="none"/>
          <w:shd w:val="clear" w:color="auto" w:fill="FFFFFF"/>
        </w:rPr>
        <w:t xml:space="preserve"> avoid provisional data, </w:t>
      </w:r>
      <w:r w:rsidR="00BB63D4">
        <w:rPr>
          <w:rStyle w:val="Hyperlink"/>
          <w:color w:val="auto"/>
          <w:sz w:val="24"/>
          <w:szCs w:val="24"/>
          <w:u w:val="none"/>
          <w:shd w:val="clear" w:color="auto" w:fill="FFFFFF"/>
        </w:rPr>
        <w:t xml:space="preserve">flow series up </w:t>
      </w:r>
      <w:r w:rsidR="00370948">
        <w:rPr>
          <w:rStyle w:val="Hyperlink"/>
          <w:color w:val="auto"/>
          <w:sz w:val="24"/>
          <w:szCs w:val="24"/>
          <w:u w:val="none"/>
          <w:shd w:val="clear" w:color="auto" w:fill="FFFFFF"/>
        </w:rPr>
        <w:t xml:space="preserve">to </w:t>
      </w:r>
      <w:r w:rsidR="00BB63D4">
        <w:rPr>
          <w:rStyle w:val="Hyperlink"/>
          <w:color w:val="auto"/>
          <w:sz w:val="24"/>
          <w:szCs w:val="24"/>
          <w:u w:val="none"/>
          <w:shd w:val="clear" w:color="auto" w:fill="FFFFFF"/>
        </w:rPr>
        <w:t>2020</w:t>
      </w:r>
      <w:r w:rsidR="00154E52">
        <w:rPr>
          <w:rStyle w:val="Hyperlink"/>
          <w:color w:val="auto"/>
          <w:sz w:val="24"/>
          <w:szCs w:val="24"/>
          <w:u w:val="none"/>
          <w:shd w:val="clear" w:color="auto" w:fill="FFFFFF"/>
        </w:rPr>
        <w:t xml:space="preserve"> </w:t>
      </w:r>
      <w:r w:rsidR="00370948">
        <w:rPr>
          <w:rStyle w:val="Hyperlink"/>
          <w:color w:val="auto"/>
          <w:sz w:val="24"/>
          <w:szCs w:val="24"/>
          <w:u w:val="none"/>
          <w:shd w:val="clear" w:color="auto" w:fill="FFFFFF"/>
        </w:rPr>
        <w:t>water year</w:t>
      </w:r>
      <w:r w:rsidR="00BB63D4">
        <w:rPr>
          <w:rStyle w:val="Hyperlink"/>
          <w:color w:val="auto"/>
          <w:sz w:val="24"/>
          <w:szCs w:val="24"/>
          <w:u w:val="none"/>
          <w:shd w:val="clear" w:color="auto" w:fill="FFFFFF"/>
        </w:rPr>
        <w:t xml:space="preserve"> have been considered. </w:t>
      </w:r>
      <w:r w:rsidR="00AA2275">
        <w:rPr>
          <w:rStyle w:val="Hyperlink"/>
          <w:color w:val="auto"/>
          <w:sz w:val="24"/>
          <w:szCs w:val="24"/>
          <w:u w:val="none"/>
          <w:shd w:val="clear" w:color="auto" w:fill="FFFFFF"/>
        </w:rPr>
        <w:t xml:space="preserve">Basin characteristics come from the </w:t>
      </w:r>
      <w:r w:rsidR="00D43739">
        <w:rPr>
          <w:rStyle w:val="Hyperlink"/>
          <w:color w:val="auto"/>
          <w:sz w:val="24"/>
          <w:szCs w:val="24"/>
          <w:u w:val="none"/>
          <w:shd w:val="clear" w:color="auto" w:fill="FFFFFF"/>
        </w:rPr>
        <w:t>CAMELS dataset</w:t>
      </w:r>
      <w:r w:rsidR="00E76C75">
        <w:rPr>
          <w:rStyle w:val="Hyperlink"/>
          <w:color w:val="auto"/>
          <w:sz w:val="24"/>
          <w:szCs w:val="24"/>
          <w:u w:val="none"/>
          <w:shd w:val="clear" w:color="auto" w:fill="FFFFFF"/>
        </w:rPr>
        <w:t xml:space="preserve"> (</w:t>
      </w:r>
      <w:proofErr w:type="spellStart"/>
      <w:r w:rsidR="00E76C75">
        <w:rPr>
          <w:rStyle w:val="Hyperlink"/>
          <w:color w:val="auto"/>
          <w:sz w:val="24"/>
          <w:szCs w:val="24"/>
          <w:u w:val="none"/>
          <w:shd w:val="clear" w:color="auto" w:fill="FFFFFF"/>
        </w:rPr>
        <w:t>Addor</w:t>
      </w:r>
      <w:proofErr w:type="spellEnd"/>
      <w:r w:rsidR="00E76C75">
        <w:rPr>
          <w:rStyle w:val="Hyperlink"/>
          <w:color w:val="auto"/>
          <w:sz w:val="24"/>
          <w:szCs w:val="24"/>
          <w:u w:val="none"/>
          <w:shd w:val="clear" w:color="auto" w:fill="FFFFFF"/>
        </w:rPr>
        <w:t xml:space="preserve"> et al. 2017)</w:t>
      </w:r>
      <w:r w:rsidR="00BB3A65">
        <w:rPr>
          <w:rStyle w:val="Hyperlink"/>
          <w:color w:val="auto"/>
          <w:sz w:val="24"/>
          <w:szCs w:val="24"/>
          <w:u w:val="none"/>
          <w:shd w:val="clear" w:color="auto" w:fill="FFFFFF"/>
        </w:rPr>
        <w:t xml:space="preserve">, available at the link </w:t>
      </w:r>
      <w:hyperlink r:id="rId22" w:history="1">
        <w:r w:rsidR="00C55922" w:rsidRPr="00057A0F">
          <w:rPr>
            <w:rStyle w:val="Hyperlink"/>
            <w:i/>
            <w:iCs/>
            <w:color w:val="0070C0"/>
            <w:sz w:val="24"/>
            <w:szCs w:val="24"/>
            <w:shd w:val="clear" w:color="auto" w:fill="FFFFFF"/>
          </w:rPr>
          <w:t>https://ral.ucar.edu/solutions/products/camels</w:t>
        </w:r>
      </w:hyperlink>
      <w:r w:rsidR="004C63A3">
        <w:rPr>
          <w:rStyle w:val="Hyperlink"/>
          <w:color w:val="auto"/>
          <w:sz w:val="24"/>
          <w:szCs w:val="24"/>
          <w:u w:val="none"/>
          <w:shd w:val="clear" w:color="auto" w:fill="FFFFFF"/>
        </w:rPr>
        <w:t xml:space="preserve">. </w:t>
      </w:r>
      <w:r w:rsidR="00E35E9B">
        <w:rPr>
          <w:rStyle w:val="Hyperlink"/>
          <w:color w:val="auto"/>
          <w:sz w:val="24"/>
          <w:szCs w:val="24"/>
          <w:u w:val="none"/>
          <w:shd w:val="clear" w:color="auto" w:fill="FFFFFF"/>
        </w:rPr>
        <w:t>Our r</w:t>
      </w:r>
      <w:r w:rsidR="004C63A3">
        <w:rPr>
          <w:rStyle w:val="Hyperlink"/>
          <w:color w:val="auto"/>
          <w:sz w:val="24"/>
          <w:szCs w:val="24"/>
          <w:u w:val="none"/>
          <w:shd w:val="clear" w:color="auto" w:fill="FFFFFF"/>
        </w:rPr>
        <w:t xml:space="preserve">esults </w:t>
      </w:r>
      <w:r w:rsidR="00E35E9B">
        <w:rPr>
          <w:rStyle w:val="Hyperlink"/>
          <w:color w:val="auto"/>
          <w:sz w:val="24"/>
          <w:szCs w:val="24"/>
          <w:u w:val="none"/>
          <w:shd w:val="clear" w:color="auto" w:fill="FFFFFF"/>
        </w:rPr>
        <w:t xml:space="preserve">supporting the findings of this work </w:t>
      </w:r>
      <w:r w:rsidR="00E35E9B">
        <w:rPr>
          <w:rStyle w:val="Hyperlink"/>
          <w:color w:val="auto"/>
          <w:sz w:val="24"/>
          <w:szCs w:val="24"/>
          <w:u w:val="none"/>
          <w:shd w:val="clear" w:color="auto" w:fill="FFFFFF"/>
        </w:rPr>
        <w:lastRenderedPageBreak/>
        <w:t xml:space="preserve">are </w:t>
      </w:r>
      <w:r w:rsidR="007866A1">
        <w:rPr>
          <w:rStyle w:val="Hyperlink"/>
          <w:color w:val="auto"/>
          <w:sz w:val="24"/>
          <w:szCs w:val="24"/>
          <w:u w:val="none"/>
          <w:shd w:val="clear" w:color="auto" w:fill="FFFFFF"/>
        </w:rPr>
        <w:t>accessible through</w:t>
      </w:r>
      <w:r w:rsidR="00F51A7D">
        <w:rPr>
          <w:rStyle w:val="Hyperlink"/>
          <w:color w:val="auto"/>
          <w:sz w:val="24"/>
          <w:szCs w:val="24"/>
          <w:u w:val="none"/>
          <w:shd w:val="clear" w:color="auto" w:fill="FFFFFF"/>
        </w:rPr>
        <w:t xml:space="preserve"> the link:</w:t>
      </w:r>
      <w:r w:rsidR="007866A1">
        <w:rPr>
          <w:rStyle w:val="Hyperlink"/>
          <w:color w:val="auto"/>
          <w:sz w:val="24"/>
          <w:szCs w:val="24"/>
          <w:u w:val="none"/>
          <w:shd w:val="clear" w:color="auto" w:fill="FFFFFF"/>
        </w:rPr>
        <w:t xml:space="preserve"> </w:t>
      </w:r>
      <w:r w:rsidR="00B95F3F" w:rsidRPr="00057A0F">
        <w:rPr>
          <w:rStyle w:val="Hyperlink"/>
          <w:i/>
          <w:iCs/>
          <w:color w:val="0070C0"/>
          <w:sz w:val="24"/>
          <w:szCs w:val="24"/>
          <w:shd w:val="clear" w:color="auto" w:fill="FFFFFF"/>
        </w:rPr>
        <w:t>https://livememphis-my.sharepoint.com/:f:/g/personal/fdllaira_memphis_edu/Eo02kp_GJvpGlDF9ulhmtaQBjlSTmfAahRoLjFtZz-fmaQ?e=zNQWEI</w:t>
      </w:r>
      <w:r w:rsidR="00B95F3F" w:rsidRPr="00B95F3F">
        <w:rPr>
          <w:rStyle w:val="Hyperlink"/>
          <w:color w:val="auto"/>
          <w:sz w:val="24"/>
          <w:szCs w:val="24"/>
          <w:u w:val="none"/>
          <w:shd w:val="clear" w:color="auto" w:fill="FFFFFF"/>
        </w:rPr>
        <w:t xml:space="preserve"> </w:t>
      </w:r>
      <w:r w:rsidR="007866A1">
        <w:rPr>
          <w:rStyle w:val="Hyperlink"/>
          <w:color w:val="auto"/>
          <w:sz w:val="24"/>
          <w:szCs w:val="24"/>
          <w:u w:val="none"/>
          <w:shd w:val="clear" w:color="auto" w:fill="FFFFFF"/>
        </w:rPr>
        <w:t>(this is a temporary link for the peer review process; we will upload the results in a public repository before publication</w:t>
      </w:r>
      <w:r w:rsidR="00365E1C">
        <w:rPr>
          <w:rStyle w:val="Hyperlink"/>
          <w:color w:val="auto"/>
          <w:sz w:val="24"/>
          <w:szCs w:val="24"/>
          <w:u w:val="none"/>
          <w:shd w:val="clear" w:color="auto" w:fill="FFFFFF"/>
        </w:rPr>
        <w:t xml:space="preserve">; please use the password </w:t>
      </w:r>
      <w:r w:rsidR="006B6264">
        <w:rPr>
          <w:rStyle w:val="Hyperlink"/>
          <w:color w:val="auto"/>
          <w:sz w:val="24"/>
          <w:szCs w:val="24"/>
          <w:u w:val="none"/>
          <w:shd w:val="clear" w:color="auto" w:fill="FFFFFF"/>
        </w:rPr>
        <w:t>“4peer-review_only”</w:t>
      </w:r>
      <w:r w:rsidR="007866A1">
        <w:rPr>
          <w:rStyle w:val="Hyperlink"/>
          <w:color w:val="auto"/>
          <w:sz w:val="24"/>
          <w:szCs w:val="24"/>
          <w:u w:val="none"/>
          <w:shd w:val="clear" w:color="auto" w:fill="FFFFFF"/>
        </w:rPr>
        <w:t xml:space="preserve">). </w:t>
      </w:r>
      <w:r w:rsidR="006C5802">
        <w:rPr>
          <w:rStyle w:val="Hyperlink"/>
          <w:color w:val="auto"/>
          <w:sz w:val="24"/>
          <w:szCs w:val="24"/>
          <w:u w:val="none"/>
          <w:shd w:val="clear" w:color="auto" w:fill="FFFFFF"/>
        </w:rPr>
        <w:t xml:space="preserve">Neural network training has been </w:t>
      </w:r>
      <w:r w:rsidR="00955318">
        <w:rPr>
          <w:rStyle w:val="Hyperlink"/>
          <w:color w:val="auto"/>
          <w:sz w:val="24"/>
          <w:szCs w:val="24"/>
          <w:u w:val="none"/>
          <w:shd w:val="clear" w:color="auto" w:fill="FFFFFF"/>
        </w:rPr>
        <w:t xml:space="preserve">performed by the </w:t>
      </w:r>
      <w:r w:rsidR="0054296C">
        <w:rPr>
          <w:rFonts w:eastAsia="Times New Roman"/>
          <w:sz w:val="24"/>
          <w:szCs w:val="24"/>
        </w:rPr>
        <w:t>open-source</w:t>
      </w:r>
      <w:r w:rsidR="0054296C">
        <w:rPr>
          <w:rFonts w:eastAsia="Times New Roman"/>
          <w:sz w:val="24"/>
          <w:szCs w:val="24"/>
        </w:rPr>
        <w:t xml:space="preserve"> </w:t>
      </w:r>
      <w:r w:rsidR="00955318">
        <w:rPr>
          <w:rStyle w:val="Hyperlink"/>
          <w:color w:val="auto"/>
          <w:sz w:val="24"/>
          <w:szCs w:val="24"/>
          <w:u w:val="none"/>
          <w:shd w:val="clear" w:color="auto" w:fill="FFFFFF"/>
        </w:rPr>
        <w:t xml:space="preserve">Python library </w:t>
      </w:r>
      <w:proofErr w:type="spellStart"/>
      <w:r w:rsidR="00955318">
        <w:rPr>
          <w:rStyle w:val="Hyperlink"/>
          <w:color w:val="auto"/>
          <w:sz w:val="24"/>
          <w:szCs w:val="24"/>
          <w:u w:val="none"/>
          <w:shd w:val="clear" w:color="auto" w:fill="FFFFFF"/>
        </w:rPr>
        <w:t>Tensorflow</w:t>
      </w:r>
      <w:proofErr w:type="spellEnd"/>
      <w:r w:rsidR="00955318">
        <w:rPr>
          <w:rStyle w:val="Hyperlink"/>
          <w:color w:val="auto"/>
          <w:sz w:val="24"/>
          <w:szCs w:val="24"/>
          <w:u w:val="none"/>
          <w:shd w:val="clear" w:color="auto" w:fill="FFFFFF"/>
        </w:rPr>
        <w:t xml:space="preserve"> (</w:t>
      </w:r>
      <w:r w:rsidR="0081418D">
        <w:rPr>
          <w:rStyle w:val="Hyperlink"/>
          <w:color w:val="auto"/>
          <w:sz w:val="24"/>
          <w:szCs w:val="24"/>
          <w:u w:val="none"/>
          <w:shd w:val="clear" w:color="auto" w:fill="FFFFFF"/>
        </w:rPr>
        <w:t>Abadi et al., 2016</w:t>
      </w:r>
      <w:r w:rsidR="00955318">
        <w:rPr>
          <w:rStyle w:val="Hyperlink"/>
          <w:color w:val="auto"/>
          <w:sz w:val="24"/>
          <w:szCs w:val="24"/>
          <w:u w:val="none"/>
          <w:shd w:val="clear" w:color="auto" w:fill="FFFFFF"/>
        </w:rPr>
        <w:t xml:space="preserve">). </w:t>
      </w:r>
      <w:proofErr w:type="gramStart"/>
      <w:r w:rsidR="00195AB6">
        <w:rPr>
          <w:rFonts w:eastAsia="Times New Roman"/>
          <w:sz w:val="24"/>
          <w:szCs w:val="24"/>
        </w:rPr>
        <w:t>Figures</w:t>
      </w:r>
      <w:proofErr w:type="gramEnd"/>
      <w:r w:rsidR="00195AB6">
        <w:rPr>
          <w:rFonts w:eastAsia="Times New Roman"/>
          <w:sz w:val="24"/>
          <w:szCs w:val="24"/>
        </w:rPr>
        <w:t xml:space="preserve"> in this work have been produced by </w:t>
      </w:r>
      <w:r w:rsidR="00AB71ED">
        <w:rPr>
          <w:rFonts w:eastAsia="Times New Roman"/>
          <w:sz w:val="24"/>
          <w:szCs w:val="24"/>
        </w:rPr>
        <w:t xml:space="preserve">means of </w:t>
      </w:r>
      <w:r w:rsidR="00195AB6">
        <w:rPr>
          <w:rFonts w:eastAsia="Times New Roman"/>
          <w:sz w:val="24"/>
          <w:szCs w:val="24"/>
        </w:rPr>
        <w:t xml:space="preserve">the </w:t>
      </w:r>
      <w:r w:rsidR="003D4F21">
        <w:rPr>
          <w:rFonts w:eastAsia="Times New Roman"/>
          <w:sz w:val="24"/>
          <w:szCs w:val="24"/>
        </w:rPr>
        <w:t xml:space="preserve">open-source </w:t>
      </w:r>
      <w:r w:rsidR="00195AB6">
        <w:rPr>
          <w:rFonts w:eastAsia="Times New Roman"/>
          <w:sz w:val="24"/>
          <w:szCs w:val="24"/>
        </w:rPr>
        <w:t xml:space="preserve">Python library Matplotlib (Hunter, 2007) and its </w:t>
      </w:r>
      <w:proofErr w:type="spellStart"/>
      <w:r w:rsidR="00195AB6">
        <w:rPr>
          <w:rFonts w:eastAsia="Times New Roman"/>
          <w:sz w:val="24"/>
          <w:szCs w:val="24"/>
        </w:rPr>
        <w:t>Basemap</w:t>
      </w:r>
      <w:proofErr w:type="spellEnd"/>
      <w:r w:rsidR="00195AB6">
        <w:rPr>
          <w:rFonts w:eastAsia="Times New Roman"/>
          <w:sz w:val="24"/>
          <w:szCs w:val="24"/>
        </w:rPr>
        <w:t xml:space="preserve"> toolkit (</w:t>
      </w:r>
      <w:r w:rsidR="00195AB6" w:rsidRPr="00195AB6">
        <w:rPr>
          <w:rFonts w:eastAsia="Times New Roman"/>
          <w:i/>
          <w:iCs/>
          <w:color w:val="0070C0"/>
          <w:sz w:val="24"/>
          <w:szCs w:val="24"/>
          <w:u w:val="single"/>
        </w:rPr>
        <w:t>https://basemaptutorial.readthedocs.io/en/latest/external_resources.html</w:t>
      </w:r>
      <w:r w:rsidR="00195AB6">
        <w:rPr>
          <w:rFonts w:eastAsia="Times New Roman"/>
          <w:sz w:val="24"/>
          <w:szCs w:val="24"/>
        </w:rPr>
        <w:t>).</w:t>
      </w:r>
    </w:p>
    <w:p w14:paraId="3A8023EA" w14:textId="1E542CA6" w:rsidR="00995CAA" w:rsidRPr="00995CAA" w:rsidRDefault="00995CAA" w:rsidP="00195AB6">
      <w:pPr>
        <w:shd w:val="clear" w:color="auto" w:fill="FFFFFF"/>
        <w:spacing w:line="480" w:lineRule="auto"/>
        <w:jc w:val="both"/>
        <w:rPr>
          <w:rFonts w:eastAsia="Times New Roman"/>
          <w:sz w:val="24"/>
          <w:szCs w:val="24"/>
        </w:rPr>
      </w:pPr>
      <w:r w:rsidRPr="00995CAA">
        <w:rPr>
          <w:rFonts w:eastAsia="Times New Roman"/>
          <w:sz w:val="24"/>
          <w:szCs w:val="24"/>
        </w:rPr>
        <w:t> </w:t>
      </w:r>
    </w:p>
    <w:p w14:paraId="09699EA5" w14:textId="7770371C" w:rsidR="005F67A3" w:rsidRPr="00686407" w:rsidRDefault="00686407" w:rsidP="00686407">
      <w:pPr>
        <w:pStyle w:val="Heading-Main"/>
      </w:pPr>
      <w:r w:rsidRPr="00686407">
        <w:t>References</w:t>
      </w:r>
    </w:p>
    <w:p w14:paraId="4F50B07E" w14:textId="381A0F01" w:rsidR="008A092A" w:rsidRDefault="008A092A" w:rsidP="00B12D02">
      <w:pPr>
        <w:spacing w:line="480" w:lineRule="auto"/>
        <w:ind w:left="567" w:hanging="567"/>
        <w:rPr>
          <w:sz w:val="24"/>
          <w:szCs w:val="24"/>
        </w:rPr>
      </w:pPr>
      <w:r w:rsidRPr="008A092A">
        <w:rPr>
          <w:sz w:val="24"/>
          <w:szCs w:val="24"/>
          <w:lang w:val="it-IT"/>
        </w:rPr>
        <w:t>Abadi, M., Agarwal, A., Barham, P., Brevdo, E., Chen, Z., Citro, C.,</w:t>
      </w:r>
      <w:r>
        <w:rPr>
          <w:sz w:val="24"/>
          <w:szCs w:val="24"/>
          <w:lang w:val="it-IT"/>
        </w:rPr>
        <w:t xml:space="preserve"> et al.</w:t>
      </w:r>
      <w:r w:rsidRPr="008A092A">
        <w:rPr>
          <w:sz w:val="24"/>
          <w:szCs w:val="24"/>
          <w:lang w:val="it-IT"/>
        </w:rPr>
        <w:t xml:space="preserve"> </w:t>
      </w:r>
      <w:r w:rsidRPr="008A092A">
        <w:rPr>
          <w:sz w:val="24"/>
          <w:szCs w:val="24"/>
        </w:rPr>
        <w:t xml:space="preserve">(2016). </w:t>
      </w:r>
      <w:proofErr w:type="spellStart"/>
      <w:r w:rsidRPr="008A092A">
        <w:rPr>
          <w:sz w:val="24"/>
          <w:szCs w:val="24"/>
        </w:rPr>
        <w:t>Tensorflow</w:t>
      </w:r>
      <w:proofErr w:type="spellEnd"/>
      <w:r w:rsidRPr="008A092A">
        <w:rPr>
          <w:sz w:val="24"/>
          <w:szCs w:val="24"/>
        </w:rPr>
        <w:t xml:space="preserve">: Large-scale machine learning on heterogeneous distributed systems. </w:t>
      </w:r>
      <w:proofErr w:type="spellStart"/>
      <w:r w:rsidRPr="008A092A">
        <w:rPr>
          <w:sz w:val="24"/>
          <w:szCs w:val="24"/>
        </w:rPr>
        <w:t>arXiv</w:t>
      </w:r>
      <w:proofErr w:type="spellEnd"/>
      <w:r w:rsidRPr="008A092A">
        <w:rPr>
          <w:sz w:val="24"/>
          <w:szCs w:val="24"/>
        </w:rPr>
        <w:t xml:space="preserve"> preprint arXiv:1603.04467.</w:t>
      </w:r>
    </w:p>
    <w:p w14:paraId="47BF6565" w14:textId="15894CB6" w:rsidR="00B12D02" w:rsidRPr="00634020" w:rsidRDefault="00B12D02" w:rsidP="00B12D02">
      <w:pPr>
        <w:spacing w:line="480" w:lineRule="auto"/>
        <w:ind w:left="567" w:hanging="567"/>
        <w:rPr>
          <w:sz w:val="24"/>
          <w:szCs w:val="24"/>
        </w:rPr>
      </w:pPr>
      <w:proofErr w:type="spellStart"/>
      <w:r w:rsidRPr="00634020">
        <w:rPr>
          <w:sz w:val="24"/>
          <w:szCs w:val="24"/>
        </w:rPr>
        <w:t>Adamowski</w:t>
      </w:r>
      <w:proofErr w:type="spellEnd"/>
      <w:r w:rsidRPr="00634020">
        <w:rPr>
          <w:sz w:val="24"/>
          <w:szCs w:val="24"/>
        </w:rPr>
        <w:t xml:space="preserve">, K. (2000). Regional analysis of annual maximum and partial duration flood data by nonparametric and L-moment methods. </w:t>
      </w:r>
      <w:r w:rsidRPr="00634020">
        <w:rPr>
          <w:i/>
          <w:iCs/>
          <w:sz w:val="24"/>
          <w:szCs w:val="24"/>
        </w:rPr>
        <w:t>Journal of Hydrology</w:t>
      </w:r>
      <w:r w:rsidRPr="00634020">
        <w:rPr>
          <w:sz w:val="24"/>
          <w:szCs w:val="24"/>
        </w:rPr>
        <w:t>, 229(3-4), 219-231.</w:t>
      </w:r>
    </w:p>
    <w:p w14:paraId="14A1B52D" w14:textId="77777777" w:rsidR="00B12D02" w:rsidRPr="00634020" w:rsidRDefault="00B12D02" w:rsidP="00B12D02">
      <w:pPr>
        <w:spacing w:line="480" w:lineRule="auto"/>
        <w:ind w:left="567" w:hanging="567"/>
        <w:rPr>
          <w:sz w:val="24"/>
          <w:szCs w:val="24"/>
        </w:rPr>
      </w:pPr>
      <w:proofErr w:type="spellStart"/>
      <w:r w:rsidRPr="00634020">
        <w:rPr>
          <w:sz w:val="24"/>
          <w:szCs w:val="24"/>
        </w:rPr>
        <w:t>Addor</w:t>
      </w:r>
      <w:proofErr w:type="spellEnd"/>
      <w:r w:rsidRPr="00634020">
        <w:rPr>
          <w:sz w:val="24"/>
          <w:szCs w:val="24"/>
        </w:rPr>
        <w:t xml:space="preserve">, N., Newman, A. J., Mizukami, N., &amp; Clark, M. P. (2017). The CAMELS data set: catchment attributes and meteorology for large sample studies. </w:t>
      </w:r>
      <w:r w:rsidRPr="00634020">
        <w:rPr>
          <w:i/>
          <w:iCs/>
          <w:sz w:val="24"/>
          <w:szCs w:val="24"/>
        </w:rPr>
        <w:t>Hydrology and Earth System Sciences</w:t>
      </w:r>
      <w:r w:rsidRPr="00634020">
        <w:rPr>
          <w:sz w:val="24"/>
          <w:szCs w:val="24"/>
        </w:rPr>
        <w:t>, 21 (10), 5293 5313.</w:t>
      </w:r>
    </w:p>
    <w:p w14:paraId="1AB03EE4" w14:textId="77777777" w:rsidR="00B12D02" w:rsidRPr="00634020" w:rsidRDefault="00B12D02" w:rsidP="00B12D02">
      <w:pPr>
        <w:spacing w:line="480" w:lineRule="auto"/>
        <w:ind w:left="567" w:hanging="567"/>
        <w:rPr>
          <w:sz w:val="24"/>
          <w:szCs w:val="24"/>
        </w:rPr>
      </w:pPr>
      <w:r w:rsidRPr="00634020">
        <w:rPr>
          <w:rFonts w:eastAsiaTheme="minorHAnsi"/>
          <w:sz w:val="24"/>
          <w:szCs w:val="24"/>
        </w:rPr>
        <w:t xml:space="preserve">Aggarwal, C. C. (2018). </w:t>
      </w:r>
      <w:r w:rsidRPr="00634020">
        <w:rPr>
          <w:rFonts w:eastAsiaTheme="minorHAnsi"/>
          <w:i/>
          <w:iCs/>
          <w:sz w:val="24"/>
          <w:szCs w:val="24"/>
        </w:rPr>
        <w:t>Neural networks and deep learning</w:t>
      </w:r>
      <w:r w:rsidRPr="00634020">
        <w:rPr>
          <w:rFonts w:eastAsiaTheme="minorHAnsi"/>
          <w:sz w:val="24"/>
          <w:szCs w:val="24"/>
        </w:rPr>
        <w:t>. Springer.</w:t>
      </w:r>
    </w:p>
    <w:p w14:paraId="76696580" w14:textId="77777777" w:rsidR="00B12D02" w:rsidRPr="00634020" w:rsidRDefault="00B12D02" w:rsidP="00B12D02">
      <w:pPr>
        <w:spacing w:line="480" w:lineRule="auto"/>
        <w:ind w:left="567" w:hanging="567"/>
        <w:rPr>
          <w:sz w:val="24"/>
          <w:szCs w:val="24"/>
        </w:rPr>
      </w:pPr>
      <w:r w:rsidRPr="00634020">
        <w:rPr>
          <w:sz w:val="24"/>
          <w:szCs w:val="24"/>
        </w:rPr>
        <w:t xml:space="preserve">Asquith, W.H., England, J.F., and Herrmann, G.R., 2021, MGBT—Multiple Grubbs–Beck low-outlier test: U.S. Geological Survey software release, R package, Reston, Va., </w:t>
      </w:r>
      <w:hyperlink r:id="rId23" w:history="1">
        <w:r w:rsidRPr="00634020">
          <w:rPr>
            <w:rStyle w:val="Hyperlink"/>
            <w:i/>
            <w:iCs/>
            <w:sz w:val="24"/>
            <w:szCs w:val="24"/>
          </w:rPr>
          <w:t>https://doi.org/10.5066/P9CW9EF0</w:t>
        </w:r>
      </w:hyperlink>
      <w:r w:rsidRPr="00634020">
        <w:rPr>
          <w:sz w:val="24"/>
          <w:szCs w:val="24"/>
        </w:rPr>
        <w:t>.</w:t>
      </w:r>
    </w:p>
    <w:p w14:paraId="4467D3F0" w14:textId="77777777" w:rsidR="00B12D02" w:rsidRPr="00634020" w:rsidRDefault="00B12D02" w:rsidP="00B12D02">
      <w:pPr>
        <w:spacing w:line="480" w:lineRule="auto"/>
        <w:ind w:left="567" w:hanging="567"/>
        <w:rPr>
          <w:sz w:val="24"/>
          <w:szCs w:val="24"/>
        </w:rPr>
      </w:pPr>
      <w:proofErr w:type="spellStart"/>
      <w:r w:rsidRPr="00634020">
        <w:rPr>
          <w:sz w:val="24"/>
          <w:szCs w:val="24"/>
        </w:rPr>
        <w:lastRenderedPageBreak/>
        <w:t>Auret</w:t>
      </w:r>
      <w:proofErr w:type="spellEnd"/>
      <w:r w:rsidRPr="00634020">
        <w:rPr>
          <w:sz w:val="24"/>
          <w:szCs w:val="24"/>
        </w:rPr>
        <w:t xml:space="preserve">, L., &amp; Aldrich, C. (2012). Interpretation of nonlinear relationships between process variables by use of random forests. </w:t>
      </w:r>
      <w:r w:rsidRPr="00634020">
        <w:rPr>
          <w:i/>
          <w:iCs/>
          <w:sz w:val="24"/>
          <w:szCs w:val="24"/>
        </w:rPr>
        <w:t>Minerals Engineering</w:t>
      </w:r>
      <w:r w:rsidRPr="00634020">
        <w:rPr>
          <w:sz w:val="24"/>
          <w:szCs w:val="24"/>
        </w:rPr>
        <w:t>, 35, 27-42.</w:t>
      </w:r>
    </w:p>
    <w:p w14:paraId="5E3A8284" w14:textId="77777777" w:rsidR="00B12D02" w:rsidRPr="00634020" w:rsidRDefault="00B12D02" w:rsidP="00B12D02">
      <w:pPr>
        <w:spacing w:line="480" w:lineRule="auto"/>
        <w:ind w:left="567" w:hanging="567"/>
        <w:rPr>
          <w:sz w:val="24"/>
          <w:szCs w:val="24"/>
        </w:rPr>
      </w:pPr>
      <w:r w:rsidRPr="00634020">
        <w:rPr>
          <w:sz w:val="24"/>
          <w:szCs w:val="24"/>
        </w:rPr>
        <w:t xml:space="preserve">Babatunde, O. H., Armstrong, L., </w:t>
      </w:r>
      <w:proofErr w:type="spellStart"/>
      <w:r w:rsidRPr="00634020">
        <w:rPr>
          <w:sz w:val="24"/>
          <w:szCs w:val="24"/>
        </w:rPr>
        <w:t>Leng</w:t>
      </w:r>
      <w:proofErr w:type="spellEnd"/>
      <w:r w:rsidRPr="00634020">
        <w:rPr>
          <w:sz w:val="24"/>
          <w:szCs w:val="24"/>
        </w:rPr>
        <w:t xml:space="preserve">, J., &amp; </w:t>
      </w:r>
      <w:proofErr w:type="spellStart"/>
      <w:r w:rsidRPr="00634020">
        <w:rPr>
          <w:sz w:val="24"/>
          <w:szCs w:val="24"/>
        </w:rPr>
        <w:t>Diepeveen</w:t>
      </w:r>
      <w:proofErr w:type="spellEnd"/>
      <w:r w:rsidRPr="00634020">
        <w:rPr>
          <w:sz w:val="24"/>
          <w:szCs w:val="24"/>
        </w:rPr>
        <w:t xml:space="preserve">, D. (2014). A genetic algorithm-based feature selection. </w:t>
      </w:r>
      <w:r w:rsidRPr="00634020">
        <w:rPr>
          <w:i/>
          <w:iCs/>
          <w:sz w:val="24"/>
          <w:szCs w:val="24"/>
        </w:rPr>
        <w:t>International Journal of Electronics Communication and Computer Engineering</w:t>
      </w:r>
      <w:r w:rsidRPr="00634020">
        <w:rPr>
          <w:sz w:val="24"/>
          <w:szCs w:val="24"/>
        </w:rPr>
        <w:t>, 5(4), 899-905.</w:t>
      </w:r>
    </w:p>
    <w:p w14:paraId="05ADE41D" w14:textId="77777777" w:rsidR="00B12D02" w:rsidRPr="00634020" w:rsidRDefault="00B12D02" w:rsidP="00B12D02">
      <w:pPr>
        <w:spacing w:line="480" w:lineRule="auto"/>
        <w:ind w:left="567" w:hanging="567"/>
        <w:rPr>
          <w:sz w:val="24"/>
          <w:szCs w:val="24"/>
        </w:rPr>
      </w:pPr>
      <w:r w:rsidRPr="00634020">
        <w:rPr>
          <w:sz w:val="24"/>
          <w:szCs w:val="24"/>
        </w:rPr>
        <w:t xml:space="preserve">Ball, J., </w:t>
      </w:r>
      <w:proofErr w:type="spellStart"/>
      <w:r w:rsidRPr="00634020">
        <w:rPr>
          <w:sz w:val="24"/>
          <w:szCs w:val="24"/>
        </w:rPr>
        <w:t>Babister</w:t>
      </w:r>
      <w:proofErr w:type="spellEnd"/>
      <w:r w:rsidRPr="00634020">
        <w:rPr>
          <w:sz w:val="24"/>
          <w:szCs w:val="24"/>
        </w:rPr>
        <w:t xml:space="preserve">, M., Nathan, R., </w:t>
      </w:r>
      <w:proofErr w:type="spellStart"/>
      <w:proofErr w:type="gramStart"/>
      <w:r w:rsidRPr="00634020">
        <w:rPr>
          <w:sz w:val="24"/>
          <w:szCs w:val="24"/>
        </w:rPr>
        <w:t>Weeks,W</w:t>
      </w:r>
      <w:proofErr w:type="spellEnd"/>
      <w:r w:rsidRPr="00634020">
        <w:rPr>
          <w:sz w:val="24"/>
          <w:szCs w:val="24"/>
        </w:rPr>
        <w:t>.</w:t>
      </w:r>
      <w:proofErr w:type="gramEnd"/>
      <w:r w:rsidRPr="00634020">
        <w:rPr>
          <w:sz w:val="24"/>
          <w:szCs w:val="24"/>
        </w:rPr>
        <w:t xml:space="preserve">, </w:t>
      </w:r>
      <w:proofErr w:type="spellStart"/>
      <w:r w:rsidRPr="00634020">
        <w:rPr>
          <w:sz w:val="24"/>
          <w:szCs w:val="24"/>
        </w:rPr>
        <w:t>Weinmann</w:t>
      </w:r>
      <w:proofErr w:type="spellEnd"/>
      <w:r w:rsidRPr="00634020">
        <w:rPr>
          <w:sz w:val="24"/>
          <w:szCs w:val="24"/>
        </w:rPr>
        <w:t xml:space="preserve">, E., Retallick, M., </w:t>
      </w:r>
      <w:proofErr w:type="spellStart"/>
      <w:r w:rsidRPr="00634020">
        <w:rPr>
          <w:sz w:val="24"/>
          <w:szCs w:val="24"/>
        </w:rPr>
        <w:t>Testoni</w:t>
      </w:r>
      <w:proofErr w:type="spellEnd"/>
      <w:r w:rsidRPr="00634020">
        <w:rPr>
          <w:sz w:val="24"/>
          <w:szCs w:val="24"/>
        </w:rPr>
        <w:t xml:space="preserve">, I. (2019) </w:t>
      </w:r>
      <w:r w:rsidRPr="00634020">
        <w:rPr>
          <w:i/>
          <w:iCs/>
          <w:sz w:val="24"/>
          <w:szCs w:val="24"/>
        </w:rPr>
        <w:t>Australian Rainfall and Runoff: A Guide to Flood Estimation</w:t>
      </w:r>
      <w:r w:rsidRPr="00634020">
        <w:rPr>
          <w:sz w:val="24"/>
          <w:szCs w:val="24"/>
        </w:rPr>
        <w:t>; Commonwealth of Australia (Geoscience Australia).</w:t>
      </w:r>
    </w:p>
    <w:p w14:paraId="7B14DE0F" w14:textId="77777777" w:rsidR="00B12D02" w:rsidRPr="00634020" w:rsidRDefault="00B12D02" w:rsidP="00B12D02">
      <w:pPr>
        <w:spacing w:line="480" w:lineRule="auto"/>
        <w:ind w:left="567" w:hanging="567"/>
        <w:rPr>
          <w:sz w:val="24"/>
          <w:szCs w:val="24"/>
        </w:rPr>
      </w:pPr>
      <w:r w:rsidRPr="00634020">
        <w:rPr>
          <w:sz w:val="24"/>
          <w:szCs w:val="24"/>
        </w:rPr>
        <w:t xml:space="preserve">Barth, N. A., G. </w:t>
      </w:r>
      <w:proofErr w:type="spellStart"/>
      <w:r w:rsidRPr="00634020">
        <w:rPr>
          <w:sz w:val="24"/>
          <w:szCs w:val="24"/>
        </w:rPr>
        <w:t>Villarini</w:t>
      </w:r>
      <w:proofErr w:type="spellEnd"/>
      <w:r w:rsidRPr="00634020">
        <w:rPr>
          <w:sz w:val="24"/>
          <w:szCs w:val="24"/>
        </w:rPr>
        <w:t xml:space="preserve">, M. A. Nayak, and K. White (2017), Mixed populations and annual flood frequency estimates in the western United States: The role of atmospheric rivers, </w:t>
      </w:r>
      <w:r w:rsidRPr="00634020">
        <w:rPr>
          <w:i/>
          <w:iCs/>
          <w:sz w:val="24"/>
          <w:szCs w:val="24"/>
        </w:rPr>
        <w:t>Water Resources Research</w:t>
      </w:r>
      <w:r w:rsidRPr="00634020">
        <w:rPr>
          <w:sz w:val="24"/>
          <w:szCs w:val="24"/>
        </w:rPr>
        <w:t>, 53, 257–269.</w:t>
      </w:r>
    </w:p>
    <w:p w14:paraId="6A97E81F" w14:textId="77777777" w:rsidR="00B12D02" w:rsidRPr="00634020" w:rsidRDefault="00B12D02" w:rsidP="00B12D02">
      <w:pPr>
        <w:spacing w:line="480" w:lineRule="auto"/>
        <w:ind w:left="567" w:hanging="567"/>
        <w:rPr>
          <w:sz w:val="24"/>
          <w:szCs w:val="24"/>
        </w:rPr>
      </w:pPr>
      <w:r w:rsidRPr="00634020">
        <w:rPr>
          <w:sz w:val="24"/>
          <w:szCs w:val="24"/>
        </w:rPr>
        <w:t xml:space="preserve">Barth, N. A., </w:t>
      </w:r>
      <w:proofErr w:type="spellStart"/>
      <w:r w:rsidRPr="00634020">
        <w:rPr>
          <w:sz w:val="24"/>
          <w:szCs w:val="24"/>
        </w:rPr>
        <w:t>Villarini</w:t>
      </w:r>
      <w:proofErr w:type="spellEnd"/>
      <w:r w:rsidRPr="00634020">
        <w:rPr>
          <w:sz w:val="24"/>
          <w:szCs w:val="24"/>
        </w:rPr>
        <w:t xml:space="preserve">, G., &amp; White, K. (2019). Accounting for mixed populations in flood frequency analysis: Bulletin 17C perspective. </w:t>
      </w:r>
      <w:r w:rsidRPr="00634020">
        <w:rPr>
          <w:i/>
          <w:iCs/>
          <w:sz w:val="24"/>
          <w:szCs w:val="24"/>
        </w:rPr>
        <w:t>Journal of Hydrologic Engineering</w:t>
      </w:r>
      <w:r w:rsidRPr="00634020">
        <w:rPr>
          <w:sz w:val="24"/>
          <w:szCs w:val="24"/>
        </w:rPr>
        <w:t>, 24(3), 04019002.</w:t>
      </w:r>
    </w:p>
    <w:p w14:paraId="60B0E512" w14:textId="77777777" w:rsidR="00B12D02" w:rsidRPr="00634020" w:rsidRDefault="00B12D02" w:rsidP="00B12D02">
      <w:pPr>
        <w:spacing w:line="480" w:lineRule="auto"/>
        <w:ind w:left="567" w:hanging="567"/>
        <w:rPr>
          <w:sz w:val="24"/>
          <w:szCs w:val="24"/>
        </w:rPr>
      </w:pPr>
      <w:proofErr w:type="spellStart"/>
      <w:r w:rsidRPr="00634020">
        <w:rPr>
          <w:sz w:val="24"/>
          <w:szCs w:val="24"/>
        </w:rPr>
        <w:t>Bayazit</w:t>
      </w:r>
      <w:proofErr w:type="spellEnd"/>
      <w:r w:rsidRPr="00634020">
        <w:rPr>
          <w:sz w:val="24"/>
          <w:szCs w:val="24"/>
        </w:rPr>
        <w:t xml:space="preserve">, M. (2015). </w:t>
      </w:r>
      <w:proofErr w:type="spellStart"/>
      <w:r w:rsidRPr="00634020">
        <w:rPr>
          <w:sz w:val="24"/>
          <w:szCs w:val="24"/>
        </w:rPr>
        <w:t>Nonstationarity</w:t>
      </w:r>
      <w:proofErr w:type="spellEnd"/>
      <w:r w:rsidRPr="00634020">
        <w:rPr>
          <w:sz w:val="24"/>
          <w:szCs w:val="24"/>
        </w:rPr>
        <w:t xml:space="preserve"> of hydrological records and recent trends in trend analysis: a state-of-the-art review. </w:t>
      </w:r>
      <w:r w:rsidRPr="00634020">
        <w:rPr>
          <w:i/>
          <w:iCs/>
          <w:sz w:val="24"/>
          <w:szCs w:val="24"/>
        </w:rPr>
        <w:t>Environmental Processes</w:t>
      </w:r>
      <w:r w:rsidRPr="00634020">
        <w:rPr>
          <w:sz w:val="24"/>
          <w:szCs w:val="24"/>
        </w:rPr>
        <w:t>, 2, 527-542.</w:t>
      </w:r>
    </w:p>
    <w:p w14:paraId="7D50CE62" w14:textId="77777777" w:rsidR="00B12D02" w:rsidRPr="00634020" w:rsidRDefault="00B12D02" w:rsidP="00B12D02">
      <w:pPr>
        <w:spacing w:line="480" w:lineRule="auto"/>
        <w:ind w:left="567" w:hanging="567"/>
        <w:rPr>
          <w:sz w:val="24"/>
          <w:szCs w:val="24"/>
        </w:rPr>
      </w:pPr>
      <w:r w:rsidRPr="00634020">
        <w:rPr>
          <w:sz w:val="24"/>
          <w:szCs w:val="24"/>
        </w:rPr>
        <w:t xml:space="preserve">Bendix, J., &amp; Hupp, C. R. (2000). Hydrological and geomorphological impacts on riparian plant communities. </w:t>
      </w:r>
      <w:r w:rsidRPr="00634020">
        <w:rPr>
          <w:i/>
          <w:iCs/>
          <w:sz w:val="24"/>
          <w:szCs w:val="24"/>
        </w:rPr>
        <w:t>Hydrological Processes</w:t>
      </w:r>
      <w:r w:rsidRPr="00634020">
        <w:rPr>
          <w:sz w:val="24"/>
          <w:szCs w:val="24"/>
        </w:rPr>
        <w:t>, 14(16‐17), 2977-2990.</w:t>
      </w:r>
    </w:p>
    <w:p w14:paraId="200A868E" w14:textId="77777777" w:rsidR="00B12D02" w:rsidRPr="00634020" w:rsidRDefault="00B12D02" w:rsidP="00B12D02">
      <w:pPr>
        <w:spacing w:line="480" w:lineRule="auto"/>
        <w:ind w:left="567" w:hanging="567"/>
        <w:rPr>
          <w:sz w:val="24"/>
          <w:szCs w:val="24"/>
        </w:rPr>
      </w:pPr>
      <w:r w:rsidRPr="00634020">
        <w:rPr>
          <w:sz w:val="24"/>
          <w:szCs w:val="24"/>
        </w:rPr>
        <w:t xml:space="preserve">Benedict, S. T., &amp; Knight, T. P. (2021). Benefits of compiling and analyzing hydraulic-design data for bridges. </w:t>
      </w:r>
      <w:r w:rsidRPr="00634020">
        <w:rPr>
          <w:i/>
          <w:iCs/>
          <w:sz w:val="24"/>
          <w:szCs w:val="24"/>
        </w:rPr>
        <w:t>Transportation Research Record</w:t>
      </w:r>
      <w:r w:rsidRPr="00634020">
        <w:rPr>
          <w:sz w:val="24"/>
          <w:szCs w:val="24"/>
        </w:rPr>
        <w:t>, 2675(11), 1073-1081.</w:t>
      </w:r>
    </w:p>
    <w:p w14:paraId="4ED8C04A" w14:textId="77777777" w:rsidR="00B12D02" w:rsidRPr="00634020" w:rsidRDefault="00B12D02" w:rsidP="00B12D02">
      <w:pPr>
        <w:spacing w:line="480" w:lineRule="auto"/>
        <w:ind w:left="567" w:hanging="567"/>
        <w:rPr>
          <w:sz w:val="24"/>
          <w:szCs w:val="24"/>
        </w:rPr>
      </w:pPr>
      <w:proofErr w:type="spellStart"/>
      <w:r w:rsidRPr="00634020">
        <w:rPr>
          <w:sz w:val="24"/>
          <w:szCs w:val="24"/>
        </w:rPr>
        <w:t>Bezak</w:t>
      </w:r>
      <w:proofErr w:type="spellEnd"/>
      <w:r w:rsidRPr="00634020">
        <w:rPr>
          <w:sz w:val="24"/>
          <w:szCs w:val="24"/>
        </w:rPr>
        <w:t xml:space="preserve">, N., </w:t>
      </w:r>
      <w:proofErr w:type="spellStart"/>
      <w:r w:rsidRPr="00634020">
        <w:rPr>
          <w:sz w:val="24"/>
          <w:szCs w:val="24"/>
        </w:rPr>
        <w:t>Brilly</w:t>
      </w:r>
      <w:proofErr w:type="spellEnd"/>
      <w:r w:rsidRPr="00634020">
        <w:rPr>
          <w:sz w:val="24"/>
          <w:szCs w:val="24"/>
        </w:rPr>
        <w:t xml:space="preserve">, M., &amp; </w:t>
      </w:r>
      <w:proofErr w:type="spellStart"/>
      <w:r w:rsidRPr="00634020">
        <w:rPr>
          <w:sz w:val="24"/>
          <w:szCs w:val="24"/>
        </w:rPr>
        <w:t>Šraj</w:t>
      </w:r>
      <w:proofErr w:type="spellEnd"/>
      <w:r w:rsidRPr="00634020">
        <w:rPr>
          <w:sz w:val="24"/>
          <w:szCs w:val="24"/>
        </w:rPr>
        <w:t xml:space="preserve">, M. (2014). Comparison between the peaks-over-threshold method and the annual maximum method for flood frequency analysis. </w:t>
      </w:r>
      <w:r w:rsidRPr="00634020">
        <w:rPr>
          <w:i/>
          <w:iCs/>
          <w:sz w:val="24"/>
          <w:szCs w:val="24"/>
        </w:rPr>
        <w:t>Hydrological Sciences Journal</w:t>
      </w:r>
      <w:r w:rsidRPr="00634020">
        <w:rPr>
          <w:sz w:val="24"/>
          <w:szCs w:val="24"/>
        </w:rPr>
        <w:t>, 59(5), 959-977.</w:t>
      </w:r>
    </w:p>
    <w:p w14:paraId="6C55B464" w14:textId="77777777" w:rsidR="00B12D02" w:rsidRPr="00634020" w:rsidRDefault="00B12D02" w:rsidP="00B12D02">
      <w:pPr>
        <w:spacing w:line="480" w:lineRule="auto"/>
        <w:ind w:left="567" w:hanging="567"/>
        <w:rPr>
          <w:sz w:val="24"/>
          <w:szCs w:val="24"/>
        </w:rPr>
      </w:pPr>
      <w:proofErr w:type="spellStart"/>
      <w:r w:rsidRPr="00634020">
        <w:rPr>
          <w:sz w:val="24"/>
          <w:szCs w:val="24"/>
        </w:rPr>
        <w:lastRenderedPageBreak/>
        <w:t>Bhunya</w:t>
      </w:r>
      <w:proofErr w:type="spellEnd"/>
      <w:r w:rsidRPr="00634020">
        <w:rPr>
          <w:sz w:val="24"/>
          <w:szCs w:val="24"/>
        </w:rPr>
        <w:t xml:space="preserve">, P. K., </w:t>
      </w:r>
      <w:proofErr w:type="spellStart"/>
      <w:r w:rsidRPr="00634020">
        <w:rPr>
          <w:sz w:val="24"/>
          <w:szCs w:val="24"/>
        </w:rPr>
        <w:t>Berndtsson</w:t>
      </w:r>
      <w:proofErr w:type="spellEnd"/>
      <w:r w:rsidRPr="00634020">
        <w:rPr>
          <w:sz w:val="24"/>
          <w:szCs w:val="24"/>
        </w:rPr>
        <w:t xml:space="preserve">, R., Jain, S. K., &amp; Kumar, R. (2013). Flood analysis using negative binomial and Generalized Pareto models in partial duration series (PDS). </w:t>
      </w:r>
      <w:r w:rsidRPr="00634020">
        <w:rPr>
          <w:i/>
          <w:iCs/>
          <w:sz w:val="24"/>
          <w:szCs w:val="24"/>
        </w:rPr>
        <w:t>Journal of Hydrology</w:t>
      </w:r>
      <w:r w:rsidRPr="00634020">
        <w:rPr>
          <w:sz w:val="24"/>
          <w:szCs w:val="24"/>
        </w:rPr>
        <w:t>, 497, 121-132.</w:t>
      </w:r>
    </w:p>
    <w:p w14:paraId="2EF6548B" w14:textId="77777777" w:rsidR="00B12D02" w:rsidRPr="00634020" w:rsidRDefault="00B12D02" w:rsidP="00B12D02">
      <w:pPr>
        <w:spacing w:line="480" w:lineRule="auto"/>
        <w:ind w:left="567" w:hanging="567"/>
        <w:rPr>
          <w:sz w:val="24"/>
          <w:szCs w:val="24"/>
        </w:rPr>
      </w:pPr>
      <w:proofErr w:type="spellStart"/>
      <w:r w:rsidRPr="00634020">
        <w:rPr>
          <w:sz w:val="24"/>
          <w:szCs w:val="24"/>
        </w:rPr>
        <w:t>Burkham</w:t>
      </w:r>
      <w:proofErr w:type="spellEnd"/>
      <w:r w:rsidRPr="00634020">
        <w:rPr>
          <w:sz w:val="24"/>
          <w:szCs w:val="24"/>
        </w:rPr>
        <w:t xml:space="preserve">, D. E. (1988). </w:t>
      </w:r>
      <w:r w:rsidRPr="00634020">
        <w:rPr>
          <w:i/>
          <w:iCs/>
          <w:sz w:val="24"/>
          <w:szCs w:val="24"/>
        </w:rPr>
        <w:t>Methods for delineating flood-prone areas in the Great Basin of Nevada and adjacent states</w:t>
      </w:r>
      <w:r w:rsidRPr="00634020">
        <w:rPr>
          <w:sz w:val="24"/>
          <w:szCs w:val="24"/>
        </w:rPr>
        <w:t xml:space="preserve">. U.S. Geological Survey Water-Supply Paper 2316. </w:t>
      </w:r>
    </w:p>
    <w:p w14:paraId="3B1627D9" w14:textId="77777777" w:rsidR="00B12D02" w:rsidRPr="00634020" w:rsidRDefault="00B12D02" w:rsidP="00B12D02">
      <w:pPr>
        <w:spacing w:line="480" w:lineRule="auto"/>
        <w:ind w:left="567" w:hanging="567"/>
        <w:rPr>
          <w:sz w:val="24"/>
          <w:szCs w:val="24"/>
        </w:rPr>
      </w:pPr>
      <w:r w:rsidRPr="00634020">
        <w:rPr>
          <w:sz w:val="24"/>
          <w:szCs w:val="24"/>
        </w:rPr>
        <w:t xml:space="preserve">Burn, D. H. (1997). Catchment similarity for regional flood frequency analysis using seasonality measures. </w:t>
      </w:r>
      <w:r w:rsidRPr="00634020">
        <w:rPr>
          <w:i/>
          <w:iCs/>
          <w:sz w:val="24"/>
          <w:szCs w:val="24"/>
        </w:rPr>
        <w:t>Journal of Hydrology</w:t>
      </w:r>
      <w:r w:rsidRPr="00634020">
        <w:rPr>
          <w:sz w:val="24"/>
          <w:szCs w:val="24"/>
        </w:rPr>
        <w:t>, 202(1-4), 212-230.</w:t>
      </w:r>
    </w:p>
    <w:p w14:paraId="5C037105" w14:textId="77777777" w:rsidR="00B12D02" w:rsidRPr="00634020" w:rsidRDefault="00B12D02" w:rsidP="00B12D02">
      <w:pPr>
        <w:spacing w:line="480" w:lineRule="auto"/>
        <w:ind w:left="567" w:hanging="567"/>
        <w:rPr>
          <w:sz w:val="24"/>
          <w:szCs w:val="24"/>
        </w:rPr>
      </w:pPr>
      <w:proofErr w:type="spellStart"/>
      <w:r w:rsidRPr="00634020">
        <w:rPr>
          <w:sz w:val="24"/>
          <w:szCs w:val="24"/>
        </w:rPr>
        <w:t>Caires</w:t>
      </w:r>
      <w:proofErr w:type="spellEnd"/>
      <w:r w:rsidRPr="00634020">
        <w:rPr>
          <w:sz w:val="24"/>
          <w:szCs w:val="24"/>
        </w:rPr>
        <w:t xml:space="preserve">, S. (2009). </w:t>
      </w:r>
      <w:r w:rsidRPr="00634020">
        <w:rPr>
          <w:i/>
          <w:iCs/>
          <w:sz w:val="24"/>
          <w:szCs w:val="24"/>
        </w:rPr>
        <w:t>A Comparative Simulation Study of the Annual Maxima and the Peaks-Over-Threshold Methods</w:t>
      </w:r>
      <w:r w:rsidRPr="00634020">
        <w:rPr>
          <w:sz w:val="24"/>
          <w:szCs w:val="24"/>
        </w:rPr>
        <w:t xml:space="preserve">. </w:t>
      </w:r>
      <w:proofErr w:type="spellStart"/>
      <w:r w:rsidRPr="00634020">
        <w:rPr>
          <w:sz w:val="24"/>
          <w:szCs w:val="24"/>
        </w:rPr>
        <w:t>Deltares</w:t>
      </w:r>
      <w:proofErr w:type="spellEnd"/>
      <w:r w:rsidRPr="00634020">
        <w:rPr>
          <w:sz w:val="24"/>
          <w:szCs w:val="24"/>
        </w:rPr>
        <w:t xml:space="preserve"> Report 1200264-002 for Rijkswaterstaat, </w:t>
      </w:r>
      <w:proofErr w:type="spellStart"/>
      <w:r w:rsidRPr="00634020">
        <w:rPr>
          <w:sz w:val="24"/>
          <w:szCs w:val="24"/>
        </w:rPr>
        <w:t>Waterdienst</w:t>
      </w:r>
      <w:proofErr w:type="spellEnd"/>
      <w:r w:rsidRPr="00634020">
        <w:rPr>
          <w:sz w:val="24"/>
          <w:szCs w:val="24"/>
        </w:rPr>
        <w:t>.</w:t>
      </w:r>
    </w:p>
    <w:p w14:paraId="0B13A7B5" w14:textId="77777777" w:rsidR="00B12D02" w:rsidRPr="00634020" w:rsidRDefault="00B12D02" w:rsidP="00B12D02">
      <w:pPr>
        <w:spacing w:line="480" w:lineRule="auto"/>
        <w:ind w:left="567" w:hanging="567"/>
        <w:rPr>
          <w:sz w:val="24"/>
          <w:szCs w:val="24"/>
        </w:rPr>
      </w:pPr>
      <w:proofErr w:type="spellStart"/>
      <w:r w:rsidRPr="00634020">
        <w:rPr>
          <w:sz w:val="24"/>
          <w:szCs w:val="24"/>
        </w:rPr>
        <w:t>Castellarin</w:t>
      </w:r>
      <w:proofErr w:type="spellEnd"/>
      <w:r w:rsidRPr="00634020">
        <w:rPr>
          <w:sz w:val="24"/>
          <w:szCs w:val="24"/>
        </w:rPr>
        <w:t xml:space="preserve">, A., Burn, D. H., &amp; Brath, A. (2001). Assessing the effectiveness of hydrological similarity measures for flood frequency analysis. </w:t>
      </w:r>
      <w:r w:rsidRPr="00634020">
        <w:rPr>
          <w:i/>
          <w:iCs/>
          <w:sz w:val="24"/>
          <w:szCs w:val="24"/>
        </w:rPr>
        <w:t>Journal of Hydrology</w:t>
      </w:r>
      <w:r w:rsidRPr="00634020">
        <w:rPr>
          <w:sz w:val="24"/>
          <w:szCs w:val="24"/>
        </w:rPr>
        <w:t>, 241(3-4), 270-285.</w:t>
      </w:r>
    </w:p>
    <w:p w14:paraId="0C158AE5" w14:textId="77777777" w:rsidR="00B12D02" w:rsidRPr="00634020" w:rsidRDefault="00B12D02" w:rsidP="00B12D02">
      <w:pPr>
        <w:spacing w:line="480" w:lineRule="auto"/>
        <w:ind w:left="567" w:hanging="567"/>
        <w:rPr>
          <w:sz w:val="24"/>
          <w:szCs w:val="24"/>
        </w:rPr>
      </w:pPr>
      <w:r w:rsidRPr="00634020">
        <w:rPr>
          <w:sz w:val="24"/>
          <w:szCs w:val="24"/>
        </w:rPr>
        <w:t xml:space="preserve">Cipollini, S., Fiori, A., &amp; Volpi, E. (2021). Structure-based framework for the design and risk assessment of hydraulic structures, with application to offline flood detention basins. </w:t>
      </w:r>
      <w:r w:rsidRPr="00634020">
        <w:rPr>
          <w:i/>
          <w:iCs/>
          <w:sz w:val="24"/>
          <w:szCs w:val="24"/>
        </w:rPr>
        <w:t>Journal of Hydrology</w:t>
      </w:r>
      <w:r w:rsidRPr="00634020">
        <w:rPr>
          <w:sz w:val="24"/>
          <w:szCs w:val="24"/>
        </w:rPr>
        <w:t>, 600, 126527.</w:t>
      </w:r>
    </w:p>
    <w:p w14:paraId="317E3940" w14:textId="77777777" w:rsidR="00B12D02" w:rsidRPr="00634020" w:rsidRDefault="00B12D02" w:rsidP="00B12D02">
      <w:pPr>
        <w:spacing w:line="480" w:lineRule="auto"/>
        <w:ind w:left="567" w:hanging="567"/>
        <w:rPr>
          <w:sz w:val="24"/>
          <w:szCs w:val="24"/>
        </w:rPr>
      </w:pPr>
      <w:r w:rsidRPr="00634020">
        <w:rPr>
          <w:sz w:val="24"/>
          <w:szCs w:val="24"/>
        </w:rPr>
        <w:t xml:space="preserve">Cohn, T. A., England, J. F., </w:t>
      </w:r>
      <w:proofErr w:type="spellStart"/>
      <w:r w:rsidRPr="00634020">
        <w:rPr>
          <w:sz w:val="24"/>
          <w:szCs w:val="24"/>
        </w:rPr>
        <w:t>Berenbrock</w:t>
      </w:r>
      <w:proofErr w:type="spellEnd"/>
      <w:r w:rsidRPr="00634020">
        <w:rPr>
          <w:sz w:val="24"/>
          <w:szCs w:val="24"/>
        </w:rPr>
        <w:t xml:space="preserve">, C. E., Mason, R. R., </w:t>
      </w:r>
      <w:proofErr w:type="spellStart"/>
      <w:r w:rsidRPr="00634020">
        <w:rPr>
          <w:sz w:val="24"/>
          <w:szCs w:val="24"/>
        </w:rPr>
        <w:t>Stedinger</w:t>
      </w:r>
      <w:proofErr w:type="spellEnd"/>
      <w:r w:rsidRPr="00634020">
        <w:rPr>
          <w:sz w:val="24"/>
          <w:szCs w:val="24"/>
        </w:rPr>
        <w:t xml:space="preserve">, J. R., &amp; Lamontagne, J. R. (2013). A generalized Grubbs‐Beck test statistic for detecting multiple potentially influential low outliers in flood series. </w:t>
      </w:r>
      <w:r w:rsidRPr="00634020">
        <w:rPr>
          <w:i/>
          <w:iCs/>
          <w:sz w:val="24"/>
          <w:szCs w:val="24"/>
        </w:rPr>
        <w:t>Water Resources Research</w:t>
      </w:r>
      <w:r w:rsidRPr="00634020">
        <w:rPr>
          <w:sz w:val="24"/>
          <w:szCs w:val="24"/>
        </w:rPr>
        <w:t>, 49(8), 5047-5058.</w:t>
      </w:r>
    </w:p>
    <w:p w14:paraId="52671FB8" w14:textId="77777777" w:rsidR="00B12D02" w:rsidRPr="00634020" w:rsidRDefault="00B12D02" w:rsidP="00B12D02">
      <w:pPr>
        <w:spacing w:line="480" w:lineRule="auto"/>
        <w:ind w:left="567" w:hanging="567"/>
        <w:rPr>
          <w:sz w:val="24"/>
          <w:szCs w:val="24"/>
        </w:rPr>
      </w:pPr>
      <w:r w:rsidRPr="00634020">
        <w:rPr>
          <w:sz w:val="24"/>
          <w:szCs w:val="24"/>
        </w:rPr>
        <w:t xml:space="preserve">Coles, S. (2001). </w:t>
      </w:r>
      <w:r w:rsidRPr="00634020">
        <w:rPr>
          <w:i/>
          <w:iCs/>
          <w:sz w:val="24"/>
          <w:szCs w:val="24"/>
        </w:rPr>
        <w:t>An Introduction to Statistical Modeling of Extreme Values</w:t>
      </w:r>
      <w:r w:rsidRPr="00634020">
        <w:rPr>
          <w:sz w:val="24"/>
          <w:szCs w:val="24"/>
        </w:rPr>
        <w:t>. Springer London.</w:t>
      </w:r>
    </w:p>
    <w:p w14:paraId="5938BD05" w14:textId="77777777" w:rsidR="00B12D02" w:rsidRPr="00634020" w:rsidRDefault="00B12D02" w:rsidP="00B12D02">
      <w:pPr>
        <w:spacing w:line="480" w:lineRule="auto"/>
        <w:ind w:left="567" w:hanging="567"/>
        <w:rPr>
          <w:sz w:val="24"/>
          <w:szCs w:val="24"/>
        </w:rPr>
      </w:pPr>
      <w:r w:rsidRPr="00634020">
        <w:rPr>
          <w:sz w:val="24"/>
          <w:szCs w:val="24"/>
        </w:rPr>
        <w:t xml:space="preserve">Cunnane, C. (1973). A particular comparison of annual maxima and partial duration series methods of flood frequency prediction. </w:t>
      </w:r>
      <w:r w:rsidRPr="00634020">
        <w:rPr>
          <w:i/>
          <w:iCs/>
          <w:sz w:val="24"/>
          <w:szCs w:val="24"/>
        </w:rPr>
        <w:t>Journal of Hydrology</w:t>
      </w:r>
      <w:r w:rsidRPr="00634020">
        <w:rPr>
          <w:sz w:val="24"/>
          <w:szCs w:val="24"/>
        </w:rPr>
        <w:t>, 18(3-4), 257-271.</w:t>
      </w:r>
    </w:p>
    <w:p w14:paraId="70B84739" w14:textId="77777777" w:rsidR="00B12D02" w:rsidRPr="00634020" w:rsidRDefault="00B12D02" w:rsidP="00B12D02">
      <w:pPr>
        <w:spacing w:line="480" w:lineRule="auto"/>
        <w:ind w:left="567" w:hanging="567"/>
        <w:rPr>
          <w:sz w:val="24"/>
          <w:szCs w:val="24"/>
        </w:rPr>
      </w:pPr>
      <w:r w:rsidRPr="00634020">
        <w:rPr>
          <w:sz w:val="24"/>
          <w:szCs w:val="24"/>
        </w:rPr>
        <w:t xml:space="preserve">Cunnane, C. 1979. A note on the Poisson assumption in partial duration series models. </w:t>
      </w:r>
      <w:r w:rsidRPr="00634020">
        <w:rPr>
          <w:i/>
          <w:iCs/>
          <w:sz w:val="24"/>
          <w:szCs w:val="24"/>
        </w:rPr>
        <w:t>Water Resources Research</w:t>
      </w:r>
      <w:r w:rsidRPr="00634020">
        <w:rPr>
          <w:sz w:val="24"/>
          <w:szCs w:val="24"/>
        </w:rPr>
        <w:t xml:space="preserve"> 15:489-494.</w:t>
      </w:r>
    </w:p>
    <w:p w14:paraId="689150D0"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Dalrymple, T. (1960). </w:t>
      </w:r>
      <w:r w:rsidRPr="00634020">
        <w:rPr>
          <w:i/>
          <w:iCs/>
          <w:sz w:val="24"/>
          <w:szCs w:val="24"/>
        </w:rPr>
        <w:t>Flood-Frequency Analyses, Manual of Hydrology: Part 3. Flood-Flow Techniques</w:t>
      </w:r>
      <w:r w:rsidRPr="00634020">
        <w:rPr>
          <w:sz w:val="24"/>
          <w:szCs w:val="24"/>
        </w:rPr>
        <w:t>. U.S. Government Printing Office, Washington.</w:t>
      </w:r>
    </w:p>
    <w:p w14:paraId="29D62630" w14:textId="77777777" w:rsidR="00B12D02" w:rsidRPr="00634020" w:rsidRDefault="00B12D02" w:rsidP="00B12D02">
      <w:pPr>
        <w:spacing w:line="480" w:lineRule="auto"/>
        <w:ind w:left="567" w:hanging="567"/>
        <w:rPr>
          <w:sz w:val="24"/>
          <w:szCs w:val="24"/>
        </w:rPr>
      </w:pPr>
      <w:r w:rsidRPr="00634020">
        <w:rPr>
          <w:sz w:val="24"/>
          <w:szCs w:val="24"/>
        </w:rPr>
        <w:t xml:space="preserve">Death, R. G., Fuller, I. C., &amp; Macklin, M. G. (2015). Resetting the river template: The potential for climate‐related extreme floods to transform river geomorphology and ecology. </w:t>
      </w:r>
      <w:r w:rsidRPr="00634020">
        <w:rPr>
          <w:i/>
          <w:iCs/>
          <w:sz w:val="24"/>
          <w:szCs w:val="24"/>
        </w:rPr>
        <w:t>Freshwater Biology</w:t>
      </w:r>
      <w:r w:rsidRPr="00634020">
        <w:rPr>
          <w:sz w:val="24"/>
          <w:szCs w:val="24"/>
        </w:rPr>
        <w:t>, 60(12), 2477-2496.</w:t>
      </w:r>
    </w:p>
    <w:p w14:paraId="1783C520" w14:textId="77777777" w:rsidR="00B12D02" w:rsidRPr="00634020" w:rsidRDefault="00B12D02" w:rsidP="00B12D02">
      <w:pPr>
        <w:spacing w:line="480" w:lineRule="auto"/>
        <w:ind w:left="567" w:hanging="567"/>
        <w:rPr>
          <w:sz w:val="24"/>
          <w:szCs w:val="24"/>
          <w:lang w:val="it-IT"/>
        </w:rPr>
      </w:pPr>
      <w:r w:rsidRPr="00634020">
        <w:rPr>
          <w:sz w:val="24"/>
          <w:szCs w:val="24"/>
        </w:rPr>
        <w:t xml:space="preserve">Deb, K., Pratap, A., Agarwal, S., and </w:t>
      </w:r>
      <w:proofErr w:type="spellStart"/>
      <w:r w:rsidRPr="00634020">
        <w:rPr>
          <w:sz w:val="24"/>
          <w:szCs w:val="24"/>
        </w:rPr>
        <w:t>Meyarivan</w:t>
      </w:r>
      <w:proofErr w:type="spellEnd"/>
      <w:r w:rsidRPr="00634020">
        <w:rPr>
          <w:sz w:val="24"/>
          <w:szCs w:val="24"/>
        </w:rPr>
        <w:t xml:space="preserve">, T., 2002. A fast and elitist </w:t>
      </w:r>
      <w:proofErr w:type="spellStart"/>
      <w:r w:rsidRPr="00634020">
        <w:rPr>
          <w:sz w:val="24"/>
          <w:szCs w:val="24"/>
        </w:rPr>
        <w:t>multiobjective</w:t>
      </w:r>
      <w:proofErr w:type="spellEnd"/>
      <w:r w:rsidRPr="00634020">
        <w:rPr>
          <w:sz w:val="24"/>
          <w:szCs w:val="24"/>
        </w:rPr>
        <w:t xml:space="preserve"> genetic algorithm NSGA-II</w:t>
      </w:r>
      <w:r w:rsidRPr="00634020">
        <w:rPr>
          <w:i/>
          <w:iCs/>
          <w:sz w:val="24"/>
          <w:szCs w:val="24"/>
        </w:rPr>
        <w:t xml:space="preserve">. </w:t>
      </w:r>
      <w:r w:rsidRPr="00634020">
        <w:rPr>
          <w:i/>
          <w:iCs/>
          <w:sz w:val="24"/>
          <w:szCs w:val="24"/>
          <w:lang w:val="it-IT"/>
        </w:rPr>
        <w:t>IEEE Trans. Evol. Comput.</w:t>
      </w:r>
      <w:r w:rsidRPr="00634020">
        <w:rPr>
          <w:sz w:val="24"/>
          <w:szCs w:val="24"/>
          <w:lang w:val="it-IT"/>
        </w:rPr>
        <w:t>, 6(2): 182–197.</w:t>
      </w:r>
    </w:p>
    <w:p w14:paraId="352E0D41" w14:textId="77777777" w:rsidR="00B12D02" w:rsidRPr="00634020" w:rsidRDefault="00B12D02" w:rsidP="00B12D02">
      <w:pPr>
        <w:spacing w:line="480" w:lineRule="auto"/>
        <w:ind w:left="567" w:hanging="567"/>
        <w:rPr>
          <w:sz w:val="24"/>
          <w:szCs w:val="24"/>
        </w:rPr>
      </w:pPr>
      <w:r w:rsidRPr="00634020">
        <w:rPr>
          <w:sz w:val="24"/>
          <w:szCs w:val="24"/>
          <w:lang w:val="it-IT"/>
        </w:rPr>
        <w:t xml:space="preserve">Dell’Aira, F., Cancelliere, A., Creaco, E., &amp; Pezzinga, G. (2021). </w:t>
      </w:r>
      <w:r w:rsidRPr="00634020">
        <w:rPr>
          <w:sz w:val="24"/>
          <w:szCs w:val="24"/>
        </w:rPr>
        <w:t xml:space="preserve">Novel comprehensive approach for phasing design and rehabilitation of water distribution networks. </w:t>
      </w:r>
      <w:r w:rsidRPr="00634020">
        <w:rPr>
          <w:i/>
          <w:iCs/>
          <w:sz w:val="24"/>
          <w:szCs w:val="24"/>
        </w:rPr>
        <w:t>Journal of Water Resources Planning and Management</w:t>
      </w:r>
      <w:r w:rsidRPr="00634020">
        <w:rPr>
          <w:sz w:val="24"/>
          <w:szCs w:val="24"/>
        </w:rPr>
        <w:t>, 147(3), 04021001.</w:t>
      </w:r>
    </w:p>
    <w:p w14:paraId="42BF4C08" w14:textId="77777777" w:rsidR="00B12D02" w:rsidRPr="00634020" w:rsidRDefault="00B12D02" w:rsidP="00B12D02">
      <w:pPr>
        <w:spacing w:line="480" w:lineRule="auto"/>
        <w:ind w:left="567" w:hanging="567"/>
        <w:rPr>
          <w:sz w:val="24"/>
          <w:szCs w:val="24"/>
        </w:rPr>
      </w:pPr>
      <w:r w:rsidRPr="00634020">
        <w:rPr>
          <w:color w:val="222222"/>
          <w:sz w:val="24"/>
          <w:szCs w:val="24"/>
          <w:shd w:val="clear" w:color="auto" w:fill="FFFFFF"/>
        </w:rPr>
        <w:t xml:space="preserve">Dell’Aira, F., Chy, T. J., Goebel, T. H., &amp; Meier, C. I. (2022). Inferring hydrological properties of the rainfall-runoff conversion process through artificial neural network modeling. In </w:t>
      </w:r>
      <w:r w:rsidRPr="00634020">
        <w:rPr>
          <w:i/>
          <w:iCs/>
          <w:color w:val="222222"/>
          <w:sz w:val="24"/>
          <w:szCs w:val="24"/>
          <w:shd w:val="clear" w:color="auto" w:fill="FFFFFF"/>
        </w:rPr>
        <w:t>Proc.,</w:t>
      </w:r>
      <w:r w:rsidRPr="00634020">
        <w:rPr>
          <w:color w:val="222222"/>
          <w:sz w:val="24"/>
          <w:szCs w:val="24"/>
          <w:shd w:val="clear" w:color="auto" w:fill="FFFFFF"/>
        </w:rPr>
        <w:t> </w:t>
      </w:r>
      <w:r w:rsidRPr="00634020">
        <w:rPr>
          <w:i/>
          <w:iCs/>
          <w:color w:val="222222"/>
          <w:sz w:val="24"/>
          <w:szCs w:val="24"/>
          <w:shd w:val="clear" w:color="auto" w:fill="FFFFFF"/>
        </w:rPr>
        <w:t>World Environmental and Water Resources Congress 2022</w:t>
      </w:r>
      <w:r w:rsidRPr="00634020">
        <w:rPr>
          <w:color w:val="222222"/>
          <w:sz w:val="24"/>
          <w:szCs w:val="24"/>
          <w:shd w:val="clear" w:color="auto" w:fill="FFFFFF"/>
        </w:rPr>
        <w:t> </w:t>
      </w:r>
      <w:r w:rsidRPr="00634020">
        <w:rPr>
          <w:i/>
          <w:iCs/>
          <w:color w:val="222222"/>
          <w:sz w:val="24"/>
          <w:szCs w:val="24"/>
          <w:shd w:val="clear" w:color="auto" w:fill="FFFFFF"/>
        </w:rPr>
        <w:t>(ASCE)</w:t>
      </w:r>
      <w:r w:rsidRPr="00634020">
        <w:rPr>
          <w:color w:val="222222"/>
          <w:sz w:val="24"/>
          <w:szCs w:val="24"/>
          <w:shd w:val="clear" w:color="auto" w:fill="FFFFFF"/>
        </w:rPr>
        <w:t xml:space="preserve"> (pp. 1264-1278).</w:t>
      </w:r>
    </w:p>
    <w:p w14:paraId="3FD4AB71" w14:textId="77777777" w:rsidR="00B12D02" w:rsidRPr="00634020" w:rsidRDefault="00B12D02" w:rsidP="00B12D02">
      <w:pPr>
        <w:spacing w:line="480" w:lineRule="auto"/>
        <w:ind w:left="567" w:hanging="567"/>
        <w:rPr>
          <w:sz w:val="24"/>
          <w:szCs w:val="24"/>
        </w:rPr>
      </w:pPr>
      <w:proofErr w:type="spellStart"/>
      <w:r w:rsidRPr="00634020">
        <w:rPr>
          <w:sz w:val="24"/>
          <w:szCs w:val="24"/>
        </w:rPr>
        <w:t>Eastoe</w:t>
      </w:r>
      <w:proofErr w:type="spellEnd"/>
      <w:r w:rsidRPr="00634020">
        <w:rPr>
          <w:sz w:val="24"/>
          <w:szCs w:val="24"/>
        </w:rPr>
        <w:t xml:space="preserve">, E. F., &amp; </w:t>
      </w:r>
      <w:proofErr w:type="spellStart"/>
      <w:r w:rsidRPr="00634020">
        <w:rPr>
          <w:sz w:val="24"/>
          <w:szCs w:val="24"/>
        </w:rPr>
        <w:t>Tawn</w:t>
      </w:r>
      <w:proofErr w:type="spellEnd"/>
      <w:r w:rsidRPr="00634020">
        <w:rPr>
          <w:sz w:val="24"/>
          <w:szCs w:val="24"/>
        </w:rPr>
        <w:t xml:space="preserve">, J. A. (2010). Statistical models for overdispersion in the frequency of peaks over threshold data for a flow series. </w:t>
      </w:r>
      <w:r w:rsidRPr="00634020">
        <w:rPr>
          <w:i/>
          <w:iCs/>
          <w:sz w:val="24"/>
          <w:szCs w:val="24"/>
        </w:rPr>
        <w:t>Water Resources Research</w:t>
      </w:r>
      <w:r w:rsidRPr="00634020">
        <w:rPr>
          <w:sz w:val="24"/>
          <w:szCs w:val="24"/>
        </w:rPr>
        <w:t>, 46(2).</w:t>
      </w:r>
    </w:p>
    <w:p w14:paraId="5CC1F467" w14:textId="77777777" w:rsidR="00B12D02" w:rsidRPr="00634020" w:rsidRDefault="00B12D02" w:rsidP="00B12D02">
      <w:pPr>
        <w:spacing w:line="480" w:lineRule="auto"/>
        <w:ind w:left="567" w:hanging="567"/>
        <w:rPr>
          <w:sz w:val="24"/>
          <w:szCs w:val="24"/>
        </w:rPr>
      </w:pPr>
      <w:r w:rsidRPr="00634020">
        <w:rPr>
          <w:sz w:val="24"/>
          <w:szCs w:val="24"/>
        </w:rPr>
        <w:t xml:space="preserve">England, J. F., Cohn, T. A., Faber, B. A., </w:t>
      </w:r>
      <w:proofErr w:type="spellStart"/>
      <w:r w:rsidRPr="00634020">
        <w:rPr>
          <w:sz w:val="24"/>
          <w:szCs w:val="24"/>
        </w:rPr>
        <w:t>Stedinger</w:t>
      </w:r>
      <w:proofErr w:type="spellEnd"/>
      <w:r w:rsidRPr="00634020">
        <w:rPr>
          <w:sz w:val="24"/>
          <w:szCs w:val="24"/>
        </w:rPr>
        <w:t xml:space="preserve">, J. R., Thomas, W. O., Veilleux, A. G., Kiang, J. E. &amp; Mason, R. R. (2019). </w:t>
      </w:r>
      <w:r w:rsidRPr="00634020">
        <w:rPr>
          <w:i/>
          <w:iCs/>
          <w:sz w:val="24"/>
          <w:szCs w:val="24"/>
        </w:rPr>
        <w:t>Guidelines for Determining Flood Flow Frequency – Bulletin 17C (Ver. 1.1, May 2019)</w:t>
      </w:r>
      <w:r w:rsidRPr="00634020">
        <w:rPr>
          <w:sz w:val="24"/>
          <w:szCs w:val="24"/>
        </w:rPr>
        <w:t xml:space="preserve">. US Geological Survey Techniques and Methods, Book 4, Chap. B5. U.S. Geological Survey. </w:t>
      </w:r>
    </w:p>
    <w:p w14:paraId="17C9F1E8" w14:textId="77777777" w:rsidR="00B12D02" w:rsidRPr="00634020" w:rsidRDefault="00B12D02" w:rsidP="00B12D02">
      <w:pPr>
        <w:spacing w:line="480" w:lineRule="auto"/>
        <w:ind w:left="567" w:hanging="567"/>
        <w:rPr>
          <w:sz w:val="24"/>
          <w:szCs w:val="24"/>
        </w:rPr>
      </w:pPr>
      <w:r w:rsidRPr="00634020">
        <w:rPr>
          <w:sz w:val="24"/>
          <w:szCs w:val="24"/>
        </w:rPr>
        <w:t xml:space="preserve">Fatima, N. (2020). Enhancing performance of a deep neural network: A comparative analysis of optimization algorithms. ADCAIJ: </w:t>
      </w:r>
      <w:r w:rsidRPr="00634020">
        <w:rPr>
          <w:i/>
          <w:iCs/>
          <w:sz w:val="24"/>
          <w:szCs w:val="24"/>
        </w:rPr>
        <w:t>Advances in Distributed Computing and Artificial Intelligence Journal</w:t>
      </w:r>
      <w:r w:rsidRPr="00634020">
        <w:rPr>
          <w:sz w:val="24"/>
          <w:szCs w:val="24"/>
        </w:rPr>
        <w:t>, 9(2), 79-90.</w:t>
      </w:r>
    </w:p>
    <w:p w14:paraId="395206A2" w14:textId="77777777" w:rsidR="00B12D02" w:rsidRPr="00634020" w:rsidRDefault="00B12D02" w:rsidP="00B12D02">
      <w:pPr>
        <w:spacing w:line="480" w:lineRule="auto"/>
        <w:ind w:left="567" w:hanging="567"/>
        <w:rPr>
          <w:i/>
          <w:iCs/>
          <w:sz w:val="24"/>
          <w:szCs w:val="24"/>
        </w:rPr>
      </w:pPr>
      <w:r w:rsidRPr="00634020">
        <w:rPr>
          <w:sz w:val="24"/>
          <w:szCs w:val="24"/>
        </w:rPr>
        <w:lastRenderedPageBreak/>
        <w:t xml:space="preserve">Feaster, T. D., </w:t>
      </w:r>
      <w:proofErr w:type="spellStart"/>
      <w:r w:rsidRPr="00634020">
        <w:rPr>
          <w:sz w:val="24"/>
          <w:szCs w:val="24"/>
        </w:rPr>
        <w:t>Gotvald</w:t>
      </w:r>
      <w:proofErr w:type="spellEnd"/>
      <w:r w:rsidRPr="00634020">
        <w:rPr>
          <w:sz w:val="24"/>
          <w:szCs w:val="24"/>
        </w:rPr>
        <w:t xml:space="preserve">, A. J., &amp; Weaver, J. C. (2014). Methods for Estimating the Magnitude and Frequency of Floods for Urban and Small, Rural Streams in Georgia, South Carolina, and North Carolina, 2011. </w:t>
      </w:r>
      <w:r w:rsidRPr="00634020">
        <w:rPr>
          <w:i/>
          <w:iCs/>
          <w:sz w:val="24"/>
          <w:szCs w:val="24"/>
        </w:rPr>
        <w:t>Report No. 2014-5030. United States. Dept. of the Interior (</w:t>
      </w:r>
      <w:hyperlink r:id="rId24" w:history="1">
        <w:r w:rsidRPr="00634020">
          <w:rPr>
            <w:rStyle w:val="Hyperlink"/>
            <w:i/>
            <w:iCs/>
            <w:sz w:val="24"/>
            <w:szCs w:val="24"/>
          </w:rPr>
          <w:t>https://rosap.ntl.bts.gov/view/dot/27190</w:t>
        </w:r>
      </w:hyperlink>
      <w:r w:rsidRPr="00634020">
        <w:rPr>
          <w:i/>
          <w:iCs/>
          <w:sz w:val="24"/>
          <w:szCs w:val="24"/>
        </w:rPr>
        <w:t xml:space="preserve">). </w:t>
      </w:r>
    </w:p>
    <w:p w14:paraId="1AD534EB" w14:textId="77777777" w:rsidR="00B12D02" w:rsidRPr="00634020" w:rsidRDefault="00B12D02" w:rsidP="00B12D02">
      <w:pPr>
        <w:spacing w:line="480" w:lineRule="auto"/>
        <w:ind w:left="567" w:hanging="567"/>
        <w:rPr>
          <w:sz w:val="24"/>
          <w:szCs w:val="24"/>
        </w:rPr>
      </w:pPr>
      <w:r w:rsidRPr="00634020">
        <w:rPr>
          <w:sz w:val="24"/>
          <w:szCs w:val="24"/>
          <w:lang w:val="it-IT"/>
        </w:rPr>
        <w:t xml:space="preserve">Fernández, A., García, S., Galar, M., Prati, R. C., Krawczyk, B., &amp; Herrera, F. (2018). </w:t>
      </w:r>
      <w:r w:rsidRPr="00634020">
        <w:rPr>
          <w:i/>
          <w:iCs/>
          <w:sz w:val="24"/>
          <w:szCs w:val="24"/>
        </w:rPr>
        <w:t>Learning from imbalanced data sets</w:t>
      </w:r>
      <w:r w:rsidRPr="00634020">
        <w:rPr>
          <w:sz w:val="24"/>
          <w:szCs w:val="24"/>
        </w:rPr>
        <w:t>. Springer Cham.</w:t>
      </w:r>
    </w:p>
    <w:p w14:paraId="005BDA77" w14:textId="77777777" w:rsidR="00B12D02" w:rsidRPr="00634020" w:rsidRDefault="00B12D02" w:rsidP="00B12D02">
      <w:pPr>
        <w:spacing w:line="480" w:lineRule="auto"/>
        <w:ind w:left="567" w:hanging="567"/>
        <w:rPr>
          <w:sz w:val="24"/>
          <w:szCs w:val="24"/>
        </w:rPr>
      </w:pPr>
      <w:r w:rsidRPr="00634020">
        <w:rPr>
          <w:sz w:val="24"/>
          <w:szCs w:val="24"/>
        </w:rPr>
        <w:t xml:space="preserve">Harvey A.M., Hitchcock D.H. &amp; Hughes D.J. (1979) Event frequency and morphological adjustment of fluvial systems in upland Britain. In: </w:t>
      </w:r>
      <w:r w:rsidRPr="00634020">
        <w:rPr>
          <w:i/>
          <w:iCs/>
          <w:sz w:val="24"/>
          <w:szCs w:val="24"/>
        </w:rPr>
        <w:t>Adjustments of the Fluvial System</w:t>
      </w:r>
      <w:r w:rsidRPr="00634020">
        <w:rPr>
          <w:sz w:val="24"/>
          <w:szCs w:val="24"/>
        </w:rPr>
        <w:t xml:space="preserve"> (Eds D.D. Rhodes &amp; G.P. Williams), pp. 139–167. Kendall Hunt, Dubuque, IA.</w:t>
      </w:r>
    </w:p>
    <w:p w14:paraId="5ED8B875" w14:textId="77777777" w:rsidR="00B12D02" w:rsidRPr="00634020" w:rsidRDefault="00B12D02" w:rsidP="00B12D02">
      <w:pPr>
        <w:spacing w:line="480" w:lineRule="auto"/>
        <w:ind w:left="567" w:hanging="567"/>
        <w:rPr>
          <w:sz w:val="24"/>
          <w:szCs w:val="24"/>
        </w:rPr>
      </w:pPr>
      <w:r w:rsidRPr="00634020">
        <w:rPr>
          <w:sz w:val="24"/>
          <w:szCs w:val="24"/>
        </w:rPr>
        <w:t xml:space="preserve">Holland, J. H. (1992). </w:t>
      </w:r>
      <w:r w:rsidRPr="00634020">
        <w:rPr>
          <w:i/>
          <w:iCs/>
          <w:sz w:val="24"/>
          <w:szCs w:val="24"/>
        </w:rPr>
        <w:t>Adaptation in Natural and Artificial Systems: An Introductory Analysis with Applications to Biology, Control, and Artificial Intelligence</w:t>
      </w:r>
      <w:r w:rsidRPr="00634020">
        <w:rPr>
          <w:sz w:val="24"/>
          <w:szCs w:val="24"/>
        </w:rPr>
        <w:t>. MIT press.</w:t>
      </w:r>
    </w:p>
    <w:p w14:paraId="3B29474F" w14:textId="77777777" w:rsidR="00B12D02" w:rsidRPr="00634020" w:rsidRDefault="00B12D02" w:rsidP="00B12D02">
      <w:pPr>
        <w:spacing w:line="480" w:lineRule="auto"/>
        <w:ind w:left="567" w:hanging="567"/>
        <w:rPr>
          <w:sz w:val="24"/>
          <w:szCs w:val="24"/>
        </w:rPr>
      </w:pPr>
      <w:proofErr w:type="spellStart"/>
      <w:r w:rsidRPr="00634020">
        <w:rPr>
          <w:sz w:val="24"/>
          <w:szCs w:val="24"/>
        </w:rPr>
        <w:t>Hornik</w:t>
      </w:r>
      <w:proofErr w:type="spellEnd"/>
      <w:r w:rsidRPr="00634020">
        <w:rPr>
          <w:sz w:val="24"/>
          <w:szCs w:val="24"/>
        </w:rPr>
        <w:t xml:space="preserve">, K., Stinchcombe, M., and White, H. (1989). Multilayer feedforward networks are universal approximators. </w:t>
      </w:r>
      <w:r w:rsidRPr="00634020">
        <w:rPr>
          <w:i/>
          <w:iCs/>
          <w:sz w:val="24"/>
          <w:szCs w:val="24"/>
        </w:rPr>
        <w:t>Neural Networks</w:t>
      </w:r>
      <w:r w:rsidRPr="00634020">
        <w:rPr>
          <w:sz w:val="24"/>
          <w:szCs w:val="24"/>
        </w:rPr>
        <w:t>, 2(5), 359–366.</w:t>
      </w:r>
    </w:p>
    <w:p w14:paraId="39A16BA7" w14:textId="77777777" w:rsidR="00B12D02" w:rsidRPr="00634020" w:rsidRDefault="00B12D02" w:rsidP="00B12D02">
      <w:pPr>
        <w:spacing w:line="480" w:lineRule="auto"/>
        <w:ind w:left="567" w:hanging="567"/>
        <w:rPr>
          <w:sz w:val="24"/>
          <w:szCs w:val="24"/>
        </w:rPr>
      </w:pPr>
      <w:r w:rsidRPr="00634020">
        <w:rPr>
          <w:sz w:val="24"/>
          <w:szCs w:val="24"/>
        </w:rPr>
        <w:t xml:space="preserve">Hosking, J. R. M (1990). L‐moments: Analysis and estimation of distributions using linear combinations of order statistics. </w:t>
      </w:r>
      <w:r w:rsidRPr="00634020">
        <w:rPr>
          <w:i/>
          <w:iCs/>
          <w:sz w:val="24"/>
          <w:szCs w:val="24"/>
        </w:rPr>
        <w:t>Journal of the Royal Statistical Society: Series B (Methodological)</w:t>
      </w:r>
      <w:r w:rsidRPr="00634020">
        <w:rPr>
          <w:sz w:val="24"/>
          <w:szCs w:val="24"/>
        </w:rPr>
        <w:t>, 52(1), 105-124.</w:t>
      </w:r>
    </w:p>
    <w:p w14:paraId="00ABCA3A" w14:textId="77777777" w:rsidR="00B12D02" w:rsidRPr="00634020" w:rsidRDefault="00B12D02" w:rsidP="00B12D02">
      <w:pPr>
        <w:spacing w:line="480" w:lineRule="auto"/>
        <w:ind w:left="567" w:hanging="567"/>
        <w:rPr>
          <w:sz w:val="24"/>
          <w:szCs w:val="24"/>
        </w:rPr>
      </w:pPr>
      <w:r w:rsidRPr="00634020">
        <w:rPr>
          <w:sz w:val="24"/>
          <w:szCs w:val="24"/>
        </w:rPr>
        <w:t xml:space="preserve">Hosking, J. R. M. (1994). The four-parameter kappa distribution. </w:t>
      </w:r>
      <w:r w:rsidRPr="00634020">
        <w:rPr>
          <w:i/>
          <w:iCs/>
          <w:sz w:val="24"/>
          <w:szCs w:val="24"/>
        </w:rPr>
        <w:t>IBM Journal of Research and Development</w:t>
      </w:r>
      <w:r w:rsidRPr="00634020">
        <w:rPr>
          <w:sz w:val="24"/>
          <w:szCs w:val="24"/>
        </w:rPr>
        <w:t>, 38(3), 251-258.</w:t>
      </w:r>
    </w:p>
    <w:p w14:paraId="5979BD67" w14:textId="77777777" w:rsidR="00B12D02" w:rsidRPr="00634020" w:rsidRDefault="00B12D02" w:rsidP="00B12D02">
      <w:pPr>
        <w:spacing w:line="480" w:lineRule="auto"/>
        <w:ind w:left="567" w:hanging="567"/>
        <w:rPr>
          <w:sz w:val="24"/>
          <w:szCs w:val="24"/>
        </w:rPr>
      </w:pPr>
      <w:r w:rsidRPr="00634020">
        <w:rPr>
          <w:sz w:val="24"/>
          <w:szCs w:val="24"/>
        </w:rPr>
        <w:t xml:space="preserve">Hosking, J. R. M., &amp; Wallis, J. R. (1997). </w:t>
      </w:r>
      <w:r w:rsidRPr="00634020">
        <w:rPr>
          <w:i/>
          <w:iCs/>
          <w:sz w:val="24"/>
          <w:szCs w:val="24"/>
        </w:rPr>
        <w:t>Regional Frequency Analysis. An Approach Based on L-moments</w:t>
      </w:r>
      <w:r w:rsidRPr="00634020">
        <w:rPr>
          <w:sz w:val="24"/>
          <w:szCs w:val="24"/>
        </w:rPr>
        <w:t xml:space="preserve">. Cambridge University Press. </w:t>
      </w:r>
    </w:p>
    <w:p w14:paraId="2E640A50" w14:textId="77777777" w:rsidR="00B12D02" w:rsidRPr="00634020" w:rsidRDefault="00B12D02" w:rsidP="00B12D02">
      <w:pPr>
        <w:spacing w:line="480" w:lineRule="auto"/>
        <w:ind w:left="567" w:hanging="567"/>
        <w:rPr>
          <w:sz w:val="24"/>
          <w:szCs w:val="24"/>
        </w:rPr>
      </w:pPr>
      <w:r w:rsidRPr="00634020">
        <w:rPr>
          <w:sz w:val="24"/>
          <w:szCs w:val="24"/>
        </w:rPr>
        <w:t xml:space="preserve">Hosking, J. R. M., Wallis, J. R., &amp; Wood, E. F. (1985). An appraisal of the regional flood frequency procedure in the UK Flood Studies Report. </w:t>
      </w:r>
      <w:r w:rsidRPr="00634020">
        <w:rPr>
          <w:i/>
          <w:iCs/>
          <w:sz w:val="24"/>
          <w:szCs w:val="24"/>
        </w:rPr>
        <w:t>Hydrological Sciences Journal</w:t>
      </w:r>
      <w:r w:rsidRPr="00634020">
        <w:rPr>
          <w:sz w:val="24"/>
          <w:szCs w:val="24"/>
        </w:rPr>
        <w:t>, 30(1), 85-109.</w:t>
      </w:r>
    </w:p>
    <w:p w14:paraId="4EEC6199"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Huang, J., Cai, Y., &amp; Xu, X. (2007). A hybrid genetic algorithm for feature selection wrapper based on mutual information. </w:t>
      </w:r>
      <w:r w:rsidRPr="00634020">
        <w:rPr>
          <w:i/>
          <w:iCs/>
          <w:sz w:val="24"/>
          <w:szCs w:val="24"/>
        </w:rPr>
        <w:t>Pattern Recognition Letters</w:t>
      </w:r>
      <w:r w:rsidRPr="00634020">
        <w:rPr>
          <w:sz w:val="24"/>
          <w:szCs w:val="24"/>
        </w:rPr>
        <w:t>, 28(13), 1825-1844.</w:t>
      </w:r>
    </w:p>
    <w:p w14:paraId="5D690FCF" w14:textId="77777777" w:rsidR="00B12D02" w:rsidRPr="00634020" w:rsidRDefault="00B12D02" w:rsidP="00B12D02">
      <w:pPr>
        <w:spacing w:line="480" w:lineRule="auto"/>
        <w:ind w:left="567" w:hanging="567"/>
        <w:rPr>
          <w:sz w:val="24"/>
          <w:szCs w:val="24"/>
        </w:rPr>
      </w:pPr>
      <w:r w:rsidRPr="00634020">
        <w:rPr>
          <w:sz w:val="24"/>
          <w:szCs w:val="24"/>
        </w:rPr>
        <w:t xml:space="preserve">Huang, W. C., Yu, H. W., &amp; Weng, M. C. (2015). Levee reliability analyses for various flood return periods–a case study in southern Taiwan. </w:t>
      </w:r>
      <w:r w:rsidRPr="00634020">
        <w:rPr>
          <w:i/>
          <w:iCs/>
          <w:sz w:val="24"/>
          <w:szCs w:val="24"/>
        </w:rPr>
        <w:t>Natural Hazards and Earth System Sciences</w:t>
      </w:r>
      <w:r w:rsidRPr="00634020">
        <w:rPr>
          <w:sz w:val="24"/>
          <w:szCs w:val="24"/>
        </w:rPr>
        <w:t>, 15(4), 919-930.</w:t>
      </w:r>
    </w:p>
    <w:p w14:paraId="2E736D0D" w14:textId="68A9C615" w:rsidR="005E4FA1" w:rsidRPr="00634020" w:rsidRDefault="005E4FA1" w:rsidP="00B12D02">
      <w:pPr>
        <w:spacing w:line="480" w:lineRule="auto"/>
        <w:ind w:left="567" w:hanging="567"/>
        <w:rPr>
          <w:sz w:val="24"/>
          <w:szCs w:val="24"/>
        </w:rPr>
      </w:pPr>
      <w:r w:rsidRPr="00634020">
        <w:rPr>
          <w:sz w:val="24"/>
          <w:szCs w:val="24"/>
        </w:rPr>
        <w:t>Hunter, J. D. (2007). Matplotlib: A 2D graphics environment. Computing in science &amp; engineering, 9(03), 90-95.</w:t>
      </w:r>
    </w:p>
    <w:p w14:paraId="22906140" w14:textId="77777777" w:rsidR="00B12D02" w:rsidRPr="00634020" w:rsidRDefault="00B12D02" w:rsidP="00B12D02">
      <w:pPr>
        <w:spacing w:line="480" w:lineRule="auto"/>
        <w:ind w:left="567" w:hanging="567"/>
        <w:rPr>
          <w:sz w:val="24"/>
          <w:szCs w:val="24"/>
          <w:lang w:val="fr-FR"/>
        </w:rPr>
      </w:pPr>
      <w:r w:rsidRPr="00634020">
        <w:rPr>
          <w:sz w:val="24"/>
          <w:szCs w:val="24"/>
        </w:rPr>
        <w:t xml:space="preserve">Johnson, B. L., Richardson, W. B., &amp; </w:t>
      </w:r>
      <w:proofErr w:type="spellStart"/>
      <w:r w:rsidRPr="00634020">
        <w:rPr>
          <w:sz w:val="24"/>
          <w:szCs w:val="24"/>
        </w:rPr>
        <w:t>Naimo</w:t>
      </w:r>
      <w:proofErr w:type="spellEnd"/>
      <w:r w:rsidRPr="00634020">
        <w:rPr>
          <w:sz w:val="24"/>
          <w:szCs w:val="24"/>
        </w:rPr>
        <w:t xml:space="preserve">, T. J. (1995). Past, present, and future concepts in large river ecology. </w:t>
      </w:r>
      <w:proofErr w:type="spellStart"/>
      <w:r w:rsidRPr="00634020">
        <w:rPr>
          <w:i/>
          <w:iCs/>
          <w:sz w:val="24"/>
          <w:szCs w:val="24"/>
          <w:lang w:val="fr-FR"/>
        </w:rPr>
        <w:t>BioScience</w:t>
      </w:r>
      <w:proofErr w:type="spellEnd"/>
      <w:r w:rsidRPr="00634020">
        <w:rPr>
          <w:sz w:val="24"/>
          <w:szCs w:val="24"/>
          <w:lang w:val="fr-FR"/>
        </w:rPr>
        <w:t>, 45(3), 134-141.</w:t>
      </w:r>
    </w:p>
    <w:p w14:paraId="17EFA10E" w14:textId="77777777" w:rsidR="00B12D02" w:rsidRPr="00634020" w:rsidRDefault="00B12D02" w:rsidP="00B12D02">
      <w:pPr>
        <w:spacing w:line="480" w:lineRule="auto"/>
        <w:ind w:left="567" w:hanging="567"/>
        <w:rPr>
          <w:sz w:val="24"/>
          <w:szCs w:val="24"/>
        </w:rPr>
      </w:pPr>
      <w:r w:rsidRPr="00634020">
        <w:rPr>
          <w:sz w:val="24"/>
          <w:szCs w:val="24"/>
        </w:rPr>
        <w:t xml:space="preserve">Karim, F., Hasan, M., &amp; </w:t>
      </w:r>
      <w:proofErr w:type="spellStart"/>
      <w:r w:rsidRPr="00634020">
        <w:rPr>
          <w:sz w:val="24"/>
          <w:szCs w:val="24"/>
        </w:rPr>
        <w:t>Marvanek</w:t>
      </w:r>
      <w:proofErr w:type="spellEnd"/>
      <w:r w:rsidRPr="00634020">
        <w:rPr>
          <w:sz w:val="24"/>
          <w:szCs w:val="24"/>
        </w:rPr>
        <w:t xml:space="preserve">, S. (2017). Evaluating annual maximum and partial duration series for estimating frequency of small magnitude floods. </w:t>
      </w:r>
      <w:r w:rsidRPr="00634020">
        <w:rPr>
          <w:i/>
          <w:iCs/>
          <w:sz w:val="24"/>
          <w:szCs w:val="24"/>
        </w:rPr>
        <w:t>Water,</w:t>
      </w:r>
      <w:r w:rsidRPr="00634020">
        <w:rPr>
          <w:sz w:val="24"/>
          <w:szCs w:val="24"/>
        </w:rPr>
        <w:t xml:space="preserve"> 9(7), 481.</w:t>
      </w:r>
    </w:p>
    <w:p w14:paraId="5F025087" w14:textId="77777777" w:rsidR="00B12D02" w:rsidRPr="00634020" w:rsidRDefault="00B12D02" w:rsidP="00B12D02">
      <w:pPr>
        <w:spacing w:line="480" w:lineRule="auto"/>
        <w:ind w:left="567" w:hanging="567"/>
        <w:rPr>
          <w:sz w:val="24"/>
          <w:szCs w:val="24"/>
        </w:rPr>
      </w:pPr>
      <w:proofErr w:type="spellStart"/>
      <w:r w:rsidRPr="00634020">
        <w:rPr>
          <w:sz w:val="24"/>
          <w:szCs w:val="24"/>
        </w:rPr>
        <w:t>Keast</w:t>
      </w:r>
      <w:proofErr w:type="spellEnd"/>
      <w:r w:rsidRPr="00634020">
        <w:rPr>
          <w:sz w:val="24"/>
          <w:szCs w:val="24"/>
        </w:rPr>
        <w:t xml:space="preserve">, D., &amp; Ellison, J. (2013). Magnitude frequency analysis of small floods using the annual and partial series. </w:t>
      </w:r>
      <w:r w:rsidRPr="00634020">
        <w:rPr>
          <w:i/>
          <w:iCs/>
          <w:sz w:val="24"/>
          <w:szCs w:val="24"/>
        </w:rPr>
        <w:t>Water</w:t>
      </w:r>
      <w:r w:rsidRPr="00634020">
        <w:rPr>
          <w:sz w:val="24"/>
          <w:szCs w:val="24"/>
        </w:rPr>
        <w:t>, 5(4), 1816-1829.</w:t>
      </w:r>
    </w:p>
    <w:p w14:paraId="76D83EF4" w14:textId="77777777" w:rsidR="00B12D02" w:rsidRPr="00634020" w:rsidRDefault="00B12D02" w:rsidP="00B12D02">
      <w:pPr>
        <w:spacing w:line="480" w:lineRule="auto"/>
        <w:ind w:left="567" w:hanging="567"/>
        <w:rPr>
          <w:sz w:val="24"/>
          <w:szCs w:val="24"/>
        </w:rPr>
      </w:pPr>
      <w:r w:rsidRPr="00634020">
        <w:rPr>
          <w:sz w:val="24"/>
          <w:szCs w:val="24"/>
        </w:rPr>
        <w:t xml:space="preserve">Kennedy, J. R., &amp; </w:t>
      </w:r>
      <w:proofErr w:type="spellStart"/>
      <w:r w:rsidRPr="00634020">
        <w:rPr>
          <w:sz w:val="24"/>
          <w:szCs w:val="24"/>
        </w:rPr>
        <w:t>Paretti</w:t>
      </w:r>
      <w:proofErr w:type="spellEnd"/>
      <w:r w:rsidRPr="00634020">
        <w:rPr>
          <w:sz w:val="24"/>
          <w:szCs w:val="24"/>
        </w:rPr>
        <w:t xml:space="preserve">, N. V. (2014). Evaluation of the Magnitude and Frequency of Floods in Urban Watersheds in Phoenix and Tucson, Arizona. </w:t>
      </w:r>
      <w:r w:rsidRPr="00634020">
        <w:rPr>
          <w:i/>
          <w:iCs/>
          <w:sz w:val="24"/>
          <w:szCs w:val="24"/>
        </w:rPr>
        <w:t>U.S. Geological Survey Scientific Investigations Report 2014-5121 (</w:t>
      </w:r>
      <w:hyperlink r:id="rId25" w:history="1">
        <w:r w:rsidRPr="00634020">
          <w:rPr>
            <w:rStyle w:val="Hyperlink"/>
            <w:i/>
            <w:iCs/>
            <w:sz w:val="24"/>
            <w:szCs w:val="24"/>
          </w:rPr>
          <w:t>https://doi.org/10.3133/sir20145121</w:t>
        </w:r>
      </w:hyperlink>
      <w:r w:rsidRPr="00634020">
        <w:rPr>
          <w:i/>
          <w:iCs/>
          <w:sz w:val="24"/>
          <w:szCs w:val="24"/>
        </w:rPr>
        <w:t>)</w:t>
      </w:r>
      <w:r w:rsidRPr="00634020">
        <w:rPr>
          <w:sz w:val="24"/>
          <w:szCs w:val="24"/>
        </w:rPr>
        <w:t>.</w:t>
      </w:r>
    </w:p>
    <w:p w14:paraId="60F416C4" w14:textId="77777777" w:rsidR="00B12D02" w:rsidRPr="00634020" w:rsidRDefault="00B12D02" w:rsidP="00B12D02">
      <w:pPr>
        <w:spacing w:line="480" w:lineRule="auto"/>
        <w:ind w:left="567" w:hanging="567"/>
        <w:rPr>
          <w:sz w:val="24"/>
          <w:szCs w:val="24"/>
        </w:rPr>
      </w:pPr>
      <w:proofErr w:type="spellStart"/>
      <w:r w:rsidRPr="00634020">
        <w:rPr>
          <w:sz w:val="24"/>
          <w:szCs w:val="24"/>
        </w:rPr>
        <w:t>Khaddor</w:t>
      </w:r>
      <w:proofErr w:type="spellEnd"/>
      <w:r w:rsidRPr="00634020">
        <w:rPr>
          <w:sz w:val="24"/>
          <w:szCs w:val="24"/>
        </w:rPr>
        <w:t xml:space="preserve">, I., </w:t>
      </w:r>
      <w:proofErr w:type="spellStart"/>
      <w:r w:rsidRPr="00634020">
        <w:rPr>
          <w:sz w:val="24"/>
          <w:szCs w:val="24"/>
        </w:rPr>
        <w:t>Achab</w:t>
      </w:r>
      <w:proofErr w:type="spellEnd"/>
      <w:r w:rsidRPr="00634020">
        <w:rPr>
          <w:sz w:val="24"/>
          <w:szCs w:val="24"/>
        </w:rPr>
        <w:t xml:space="preserve">, M., </w:t>
      </w:r>
      <w:proofErr w:type="spellStart"/>
      <w:r w:rsidRPr="00634020">
        <w:rPr>
          <w:sz w:val="24"/>
          <w:szCs w:val="24"/>
        </w:rPr>
        <w:t>Soumali</w:t>
      </w:r>
      <w:proofErr w:type="spellEnd"/>
      <w:r w:rsidRPr="00634020">
        <w:rPr>
          <w:sz w:val="24"/>
          <w:szCs w:val="24"/>
        </w:rPr>
        <w:t xml:space="preserve">, M. R., </w:t>
      </w:r>
      <w:proofErr w:type="spellStart"/>
      <w:r w:rsidRPr="00634020">
        <w:rPr>
          <w:sz w:val="24"/>
          <w:szCs w:val="24"/>
        </w:rPr>
        <w:t>Benjbara</w:t>
      </w:r>
      <w:proofErr w:type="spellEnd"/>
      <w:r w:rsidRPr="00634020">
        <w:rPr>
          <w:sz w:val="24"/>
          <w:szCs w:val="24"/>
        </w:rPr>
        <w:t xml:space="preserve">, A., &amp; </w:t>
      </w:r>
      <w:proofErr w:type="spellStart"/>
      <w:r w:rsidRPr="00634020">
        <w:rPr>
          <w:sz w:val="24"/>
          <w:szCs w:val="24"/>
        </w:rPr>
        <w:t>Alaoui</w:t>
      </w:r>
      <w:proofErr w:type="spellEnd"/>
      <w:r w:rsidRPr="00634020">
        <w:rPr>
          <w:sz w:val="24"/>
          <w:szCs w:val="24"/>
        </w:rPr>
        <w:t xml:space="preserve">, A. H. (2021). The impact of the construction of a dam on flood management. </w:t>
      </w:r>
      <w:r w:rsidRPr="00634020">
        <w:rPr>
          <w:i/>
          <w:iCs/>
          <w:sz w:val="24"/>
          <w:szCs w:val="24"/>
        </w:rPr>
        <w:t>Civil Engineering Journal</w:t>
      </w:r>
      <w:r w:rsidRPr="00634020">
        <w:rPr>
          <w:sz w:val="24"/>
          <w:szCs w:val="24"/>
        </w:rPr>
        <w:t>, 7(2), 343-356.</w:t>
      </w:r>
    </w:p>
    <w:p w14:paraId="0F1A4E6C" w14:textId="77777777" w:rsidR="00B12D02" w:rsidRPr="00634020" w:rsidRDefault="00B12D02" w:rsidP="00B12D02">
      <w:pPr>
        <w:spacing w:line="480" w:lineRule="auto"/>
        <w:ind w:left="567" w:hanging="567"/>
        <w:rPr>
          <w:sz w:val="24"/>
          <w:szCs w:val="24"/>
        </w:rPr>
      </w:pPr>
      <w:r w:rsidRPr="00634020">
        <w:rPr>
          <w:sz w:val="24"/>
          <w:szCs w:val="24"/>
        </w:rPr>
        <w:t xml:space="preserve">Kiran, K. G., &amp; Srinivas, V. V. (2021). A </w:t>
      </w:r>
      <w:proofErr w:type="spellStart"/>
      <w:r w:rsidRPr="00634020">
        <w:rPr>
          <w:sz w:val="24"/>
          <w:szCs w:val="24"/>
        </w:rPr>
        <w:t>Mahalanobis</w:t>
      </w:r>
      <w:proofErr w:type="spellEnd"/>
      <w:r w:rsidRPr="00634020">
        <w:rPr>
          <w:sz w:val="24"/>
          <w:szCs w:val="24"/>
        </w:rPr>
        <w:t xml:space="preserve"> distance-based automatic threshold selection method for Peaks Over Threshold model. </w:t>
      </w:r>
      <w:r w:rsidRPr="00634020">
        <w:rPr>
          <w:i/>
          <w:iCs/>
          <w:sz w:val="24"/>
          <w:szCs w:val="24"/>
        </w:rPr>
        <w:t>Water Resources Research</w:t>
      </w:r>
      <w:r w:rsidRPr="00634020">
        <w:rPr>
          <w:sz w:val="24"/>
          <w:szCs w:val="24"/>
        </w:rPr>
        <w:t xml:space="preserve">, 57, e2020WR027534. </w:t>
      </w:r>
    </w:p>
    <w:p w14:paraId="7F3F4A51" w14:textId="77777777" w:rsidR="00B12D02" w:rsidRPr="00634020" w:rsidRDefault="00B12D02" w:rsidP="00B12D02">
      <w:pPr>
        <w:spacing w:line="480" w:lineRule="auto"/>
        <w:ind w:left="567" w:hanging="567"/>
        <w:rPr>
          <w:sz w:val="24"/>
          <w:szCs w:val="24"/>
        </w:rPr>
      </w:pPr>
      <w:proofErr w:type="spellStart"/>
      <w:r w:rsidRPr="00634020">
        <w:rPr>
          <w:sz w:val="24"/>
          <w:szCs w:val="24"/>
        </w:rPr>
        <w:t>Klemeš</w:t>
      </w:r>
      <w:proofErr w:type="spellEnd"/>
      <w:r w:rsidRPr="00634020">
        <w:rPr>
          <w:sz w:val="24"/>
          <w:szCs w:val="24"/>
        </w:rPr>
        <w:t xml:space="preserve">, V. (2000). Tall tales about tails of hydrological distributions. I. </w:t>
      </w:r>
      <w:r w:rsidRPr="00634020">
        <w:rPr>
          <w:i/>
          <w:iCs/>
          <w:sz w:val="24"/>
          <w:szCs w:val="24"/>
        </w:rPr>
        <w:t>Journal of Hydrologic Engineering</w:t>
      </w:r>
      <w:r w:rsidRPr="00634020">
        <w:rPr>
          <w:sz w:val="24"/>
          <w:szCs w:val="24"/>
        </w:rPr>
        <w:t>, 5(3), 227-231.</w:t>
      </w:r>
    </w:p>
    <w:p w14:paraId="3A12F166" w14:textId="77777777" w:rsidR="00B12D02" w:rsidRPr="00634020" w:rsidRDefault="00B12D02" w:rsidP="00B12D02">
      <w:pPr>
        <w:spacing w:line="480" w:lineRule="auto"/>
        <w:ind w:left="567" w:hanging="567"/>
        <w:rPr>
          <w:sz w:val="24"/>
          <w:szCs w:val="24"/>
        </w:rPr>
      </w:pPr>
      <w:proofErr w:type="spellStart"/>
      <w:r w:rsidRPr="00634020">
        <w:rPr>
          <w:sz w:val="24"/>
          <w:szCs w:val="24"/>
        </w:rPr>
        <w:lastRenderedPageBreak/>
        <w:t>Kottegoda</w:t>
      </w:r>
      <w:proofErr w:type="spellEnd"/>
      <w:r w:rsidRPr="00634020">
        <w:rPr>
          <w:sz w:val="24"/>
          <w:szCs w:val="24"/>
        </w:rPr>
        <w:t xml:space="preserve">, N. T., &amp; Rosso, R. (1997). Statistics, Probability, and Reliability for Civil and Environmental Engineers (Vol. 735). </w:t>
      </w:r>
      <w:r w:rsidRPr="00634020">
        <w:rPr>
          <w:i/>
          <w:iCs/>
          <w:sz w:val="24"/>
          <w:szCs w:val="24"/>
        </w:rPr>
        <w:t>New York: McGraw-Hill</w:t>
      </w:r>
      <w:r w:rsidRPr="00634020">
        <w:rPr>
          <w:sz w:val="24"/>
          <w:szCs w:val="24"/>
        </w:rPr>
        <w:t>.</w:t>
      </w:r>
    </w:p>
    <w:p w14:paraId="03C3A628" w14:textId="77777777" w:rsidR="00B12D02" w:rsidRPr="00634020" w:rsidRDefault="00B12D02" w:rsidP="00B12D02">
      <w:pPr>
        <w:spacing w:line="480" w:lineRule="auto"/>
        <w:ind w:left="567" w:hanging="567"/>
        <w:rPr>
          <w:sz w:val="24"/>
          <w:szCs w:val="24"/>
        </w:rPr>
      </w:pPr>
      <w:proofErr w:type="spellStart"/>
      <w:r w:rsidRPr="00634020">
        <w:rPr>
          <w:sz w:val="24"/>
          <w:szCs w:val="24"/>
        </w:rPr>
        <w:t>Laio</w:t>
      </w:r>
      <w:proofErr w:type="spellEnd"/>
      <w:r w:rsidRPr="00634020">
        <w:rPr>
          <w:sz w:val="24"/>
          <w:szCs w:val="24"/>
        </w:rPr>
        <w:t xml:space="preserve">, F., </w:t>
      </w:r>
      <w:proofErr w:type="spellStart"/>
      <w:r w:rsidRPr="00634020">
        <w:rPr>
          <w:sz w:val="24"/>
          <w:szCs w:val="24"/>
        </w:rPr>
        <w:t>Ganora</w:t>
      </w:r>
      <w:proofErr w:type="spellEnd"/>
      <w:r w:rsidRPr="00634020">
        <w:rPr>
          <w:sz w:val="24"/>
          <w:szCs w:val="24"/>
        </w:rPr>
        <w:t xml:space="preserve">, D., Claps, P., &amp; </w:t>
      </w:r>
      <w:proofErr w:type="spellStart"/>
      <w:r w:rsidRPr="00634020">
        <w:rPr>
          <w:sz w:val="24"/>
          <w:szCs w:val="24"/>
        </w:rPr>
        <w:t>Galeati</w:t>
      </w:r>
      <w:proofErr w:type="spellEnd"/>
      <w:r w:rsidRPr="00634020">
        <w:rPr>
          <w:sz w:val="24"/>
          <w:szCs w:val="24"/>
        </w:rPr>
        <w:t xml:space="preserve">, G. (2011). Spatially smooth regional estimation of the flood frequency curve (with uncertainty). </w:t>
      </w:r>
      <w:r w:rsidRPr="00634020">
        <w:rPr>
          <w:i/>
          <w:iCs/>
          <w:sz w:val="24"/>
          <w:szCs w:val="24"/>
        </w:rPr>
        <w:t>Journal of Hydrology</w:t>
      </w:r>
      <w:r w:rsidRPr="00634020">
        <w:rPr>
          <w:sz w:val="24"/>
          <w:szCs w:val="24"/>
        </w:rPr>
        <w:t>, 408(1-2), 67-77.</w:t>
      </w:r>
    </w:p>
    <w:p w14:paraId="03CA06AE" w14:textId="77777777" w:rsidR="00B12D02" w:rsidRPr="00634020" w:rsidRDefault="00B12D02" w:rsidP="00B12D02">
      <w:pPr>
        <w:spacing w:line="480" w:lineRule="auto"/>
        <w:ind w:left="567" w:hanging="567"/>
        <w:rPr>
          <w:sz w:val="24"/>
          <w:szCs w:val="24"/>
        </w:rPr>
      </w:pPr>
      <w:r w:rsidRPr="00634020">
        <w:rPr>
          <w:sz w:val="24"/>
          <w:szCs w:val="24"/>
        </w:rPr>
        <w:t xml:space="preserve">Lamontagne, J. R., </w:t>
      </w:r>
      <w:proofErr w:type="spellStart"/>
      <w:r w:rsidRPr="00634020">
        <w:rPr>
          <w:sz w:val="24"/>
          <w:szCs w:val="24"/>
        </w:rPr>
        <w:t>Stedinger</w:t>
      </w:r>
      <w:proofErr w:type="spellEnd"/>
      <w:r w:rsidRPr="00634020">
        <w:rPr>
          <w:sz w:val="24"/>
          <w:szCs w:val="24"/>
        </w:rPr>
        <w:t xml:space="preserve">, J. R., Yu, X., </w:t>
      </w:r>
      <w:proofErr w:type="spellStart"/>
      <w:r w:rsidRPr="00634020">
        <w:rPr>
          <w:sz w:val="24"/>
          <w:szCs w:val="24"/>
        </w:rPr>
        <w:t>Whealton</w:t>
      </w:r>
      <w:proofErr w:type="spellEnd"/>
      <w:r w:rsidRPr="00634020">
        <w:rPr>
          <w:sz w:val="24"/>
          <w:szCs w:val="24"/>
        </w:rPr>
        <w:t xml:space="preserve">, C. A., &amp; Xu, Z. (2016). Robust flood frequency analysis: Performance of EMA with multiple Grubbs‐Beck outlier tests. </w:t>
      </w:r>
      <w:r w:rsidRPr="00634020">
        <w:rPr>
          <w:i/>
          <w:iCs/>
          <w:sz w:val="24"/>
          <w:szCs w:val="24"/>
        </w:rPr>
        <w:t>Water Resources Research</w:t>
      </w:r>
      <w:r w:rsidRPr="00634020">
        <w:rPr>
          <w:sz w:val="24"/>
          <w:szCs w:val="24"/>
        </w:rPr>
        <w:t>, 52(4), 3068-3084.</w:t>
      </w:r>
    </w:p>
    <w:p w14:paraId="786EF2E3" w14:textId="77777777" w:rsidR="00B12D02" w:rsidRPr="00634020" w:rsidRDefault="00B12D02" w:rsidP="00B12D02">
      <w:pPr>
        <w:spacing w:line="480" w:lineRule="auto"/>
        <w:ind w:left="567" w:hanging="567"/>
        <w:rPr>
          <w:sz w:val="24"/>
          <w:szCs w:val="24"/>
        </w:rPr>
      </w:pPr>
      <w:proofErr w:type="spellStart"/>
      <w:r w:rsidRPr="00634020">
        <w:rPr>
          <w:sz w:val="24"/>
          <w:szCs w:val="24"/>
        </w:rPr>
        <w:t>Landro</w:t>
      </w:r>
      <w:proofErr w:type="spellEnd"/>
      <w:r w:rsidRPr="00634020">
        <w:rPr>
          <w:sz w:val="24"/>
          <w:szCs w:val="24"/>
        </w:rPr>
        <w:t xml:space="preserve">, N., Gallo, I., &amp; La </w:t>
      </w:r>
      <w:proofErr w:type="spellStart"/>
      <w:r w:rsidRPr="00634020">
        <w:rPr>
          <w:sz w:val="24"/>
          <w:szCs w:val="24"/>
        </w:rPr>
        <w:t>Grassa</w:t>
      </w:r>
      <w:proofErr w:type="spellEnd"/>
      <w:r w:rsidRPr="00634020">
        <w:rPr>
          <w:sz w:val="24"/>
          <w:szCs w:val="24"/>
        </w:rPr>
        <w:t xml:space="preserve">, R. (2020). Mixing Adam and SGD: a combined optimization method. </w:t>
      </w:r>
      <w:proofErr w:type="spellStart"/>
      <w:r w:rsidRPr="00634020">
        <w:rPr>
          <w:sz w:val="24"/>
          <w:szCs w:val="24"/>
        </w:rPr>
        <w:t>arXiv</w:t>
      </w:r>
      <w:proofErr w:type="spellEnd"/>
      <w:r w:rsidRPr="00634020">
        <w:rPr>
          <w:sz w:val="24"/>
          <w:szCs w:val="24"/>
        </w:rPr>
        <w:t xml:space="preserve"> preprint arXiv:2011.08042.</w:t>
      </w:r>
    </w:p>
    <w:p w14:paraId="5368D8B6" w14:textId="77777777" w:rsidR="00B12D02" w:rsidRPr="00634020" w:rsidRDefault="00B12D02" w:rsidP="00B12D02">
      <w:pPr>
        <w:spacing w:line="480" w:lineRule="auto"/>
        <w:ind w:left="567" w:hanging="567"/>
        <w:rPr>
          <w:sz w:val="24"/>
          <w:szCs w:val="24"/>
        </w:rPr>
      </w:pPr>
      <w:r w:rsidRPr="00634020">
        <w:rPr>
          <w:sz w:val="24"/>
          <w:szCs w:val="24"/>
        </w:rPr>
        <w:t xml:space="preserve">Langbein, W.B., 1949. Annual floods and the partial-duration flood series. </w:t>
      </w:r>
      <w:r w:rsidRPr="00634020">
        <w:rPr>
          <w:i/>
          <w:iCs/>
          <w:sz w:val="24"/>
          <w:szCs w:val="24"/>
        </w:rPr>
        <w:t>Transactions, American Geophysical Union</w:t>
      </w:r>
      <w:r w:rsidRPr="00634020">
        <w:rPr>
          <w:sz w:val="24"/>
          <w:szCs w:val="24"/>
        </w:rPr>
        <w:t>, 30 (6), 879–881. (</w:t>
      </w:r>
      <w:proofErr w:type="gramStart"/>
      <w:r w:rsidRPr="00634020">
        <w:rPr>
          <w:i/>
          <w:iCs/>
          <w:sz w:val="24"/>
          <w:szCs w:val="24"/>
        </w:rPr>
        <w:t>doi</w:t>
      </w:r>
      <w:proofErr w:type="gramEnd"/>
      <w:r w:rsidRPr="00634020">
        <w:rPr>
          <w:i/>
          <w:iCs/>
          <w:sz w:val="24"/>
          <w:szCs w:val="24"/>
        </w:rPr>
        <w:t>:10.1029/TR030i006p00879</w:t>
      </w:r>
      <w:r w:rsidRPr="00634020">
        <w:rPr>
          <w:sz w:val="24"/>
          <w:szCs w:val="24"/>
        </w:rPr>
        <w:t>).</w:t>
      </w:r>
    </w:p>
    <w:p w14:paraId="784EADD5" w14:textId="77777777" w:rsidR="00B12D02" w:rsidRPr="00634020" w:rsidRDefault="00B12D02" w:rsidP="00B12D02">
      <w:pPr>
        <w:spacing w:line="480" w:lineRule="auto"/>
        <w:ind w:left="567" w:hanging="567"/>
        <w:rPr>
          <w:sz w:val="24"/>
          <w:szCs w:val="24"/>
        </w:rPr>
      </w:pPr>
      <w:r w:rsidRPr="00634020">
        <w:rPr>
          <w:sz w:val="24"/>
          <w:szCs w:val="24"/>
        </w:rPr>
        <w:t xml:space="preserve">Law, G. S. and Tasker, G. D. (2003). Flood-Frequency Prediction Methods for Unregulated Streams of Tennessee, 2000. </w:t>
      </w:r>
      <w:r w:rsidRPr="00634020">
        <w:rPr>
          <w:i/>
          <w:iCs/>
          <w:sz w:val="24"/>
          <w:szCs w:val="24"/>
        </w:rPr>
        <w:t>U.S. Geological Survey Water-Resources Investigations Report 03-4176</w:t>
      </w:r>
      <w:r w:rsidRPr="00634020">
        <w:rPr>
          <w:sz w:val="24"/>
          <w:szCs w:val="24"/>
        </w:rPr>
        <w:t xml:space="preserve"> (</w:t>
      </w:r>
      <w:hyperlink r:id="rId26" w:history="1">
        <w:r w:rsidRPr="00634020">
          <w:rPr>
            <w:rStyle w:val="Hyperlink"/>
            <w:i/>
            <w:iCs/>
            <w:sz w:val="24"/>
            <w:szCs w:val="24"/>
          </w:rPr>
          <w:t>https://pubs.usgs.gov/wri/wri034176/PDF/wrir034176.pdf</w:t>
        </w:r>
      </w:hyperlink>
      <w:r w:rsidRPr="00634020">
        <w:rPr>
          <w:sz w:val="24"/>
          <w:szCs w:val="24"/>
        </w:rPr>
        <w:t xml:space="preserve">). </w:t>
      </w:r>
    </w:p>
    <w:p w14:paraId="7D6FBDE9" w14:textId="77777777" w:rsidR="00B12D02" w:rsidRPr="00634020" w:rsidRDefault="00B12D02" w:rsidP="00B12D02">
      <w:pPr>
        <w:spacing w:line="480" w:lineRule="auto"/>
        <w:ind w:left="567" w:hanging="567"/>
        <w:rPr>
          <w:sz w:val="24"/>
          <w:szCs w:val="24"/>
        </w:rPr>
      </w:pPr>
      <w:proofErr w:type="spellStart"/>
      <w:r w:rsidRPr="00634020">
        <w:rPr>
          <w:sz w:val="24"/>
          <w:szCs w:val="24"/>
        </w:rPr>
        <w:t>Lendering</w:t>
      </w:r>
      <w:proofErr w:type="spellEnd"/>
      <w:r w:rsidRPr="00634020">
        <w:rPr>
          <w:sz w:val="24"/>
          <w:szCs w:val="24"/>
        </w:rPr>
        <w:t xml:space="preserve">, K. T., Sebastian, A., </w:t>
      </w:r>
      <w:proofErr w:type="spellStart"/>
      <w:r w:rsidRPr="00634020">
        <w:rPr>
          <w:sz w:val="24"/>
          <w:szCs w:val="24"/>
        </w:rPr>
        <w:t>Jonkman</w:t>
      </w:r>
      <w:proofErr w:type="spellEnd"/>
      <w:r w:rsidRPr="00634020">
        <w:rPr>
          <w:sz w:val="24"/>
          <w:szCs w:val="24"/>
        </w:rPr>
        <w:t xml:space="preserve">, S. N., &amp; </w:t>
      </w:r>
      <w:proofErr w:type="spellStart"/>
      <w:r w:rsidRPr="00634020">
        <w:rPr>
          <w:sz w:val="24"/>
          <w:szCs w:val="24"/>
        </w:rPr>
        <w:t>Kok</w:t>
      </w:r>
      <w:proofErr w:type="spellEnd"/>
      <w:r w:rsidRPr="00634020">
        <w:rPr>
          <w:sz w:val="24"/>
          <w:szCs w:val="24"/>
        </w:rPr>
        <w:t xml:space="preserve">, M. (2019). Framework for assessing the performance of flood adaptation innovations using a risk‐based approach. </w:t>
      </w:r>
      <w:r w:rsidRPr="00634020">
        <w:rPr>
          <w:i/>
          <w:iCs/>
          <w:sz w:val="24"/>
          <w:szCs w:val="24"/>
        </w:rPr>
        <w:t>Journal of Flood Risk Management</w:t>
      </w:r>
      <w:r w:rsidRPr="00634020">
        <w:rPr>
          <w:sz w:val="24"/>
          <w:szCs w:val="24"/>
        </w:rPr>
        <w:t>, 12(S2), e12485.</w:t>
      </w:r>
    </w:p>
    <w:p w14:paraId="42D58576" w14:textId="77777777" w:rsidR="00B12D02" w:rsidRPr="00634020" w:rsidRDefault="00B12D02" w:rsidP="00B12D02">
      <w:pPr>
        <w:spacing w:line="480" w:lineRule="auto"/>
        <w:ind w:left="567" w:hanging="567"/>
        <w:rPr>
          <w:sz w:val="24"/>
          <w:szCs w:val="24"/>
        </w:rPr>
      </w:pPr>
      <w:proofErr w:type="spellStart"/>
      <w:r w:rsidRPr="00634020">
        <w:rPr>
          <w:sz w:val="24"/>
          <w:szCs w:val="24"/>
        </w:rPr>
        <w:t>Lun</w:t>
      </w:r>
      <w:proofErr w:type="spellEnd"/>
      <w:r w:rsidRPr="00634020">
        <w:rPr>
          <w:sz w:val="24"/>
          <w:szCs w:val="24"/>
        </w:rPr>
        <w:t xml:space="preserve">, D., </w:t>
      </w:r>
      <w:proofErr w:type="spellStart"/>
      <w:r w:rsidRPr="00634020">
        <w:rPr>
          <w:sz w:val="24"/>
          <w:szCs w:val="24"/>
        </w:rPr>
        <w:t>Viglione</w:t>
      </w:r>
      <w:proofErr w:type="spellEnd"/>
      <w:r w:rsidRPr="00634020">
        <w:rPr>
          <w:sz w:val="24"/>
          <w:szCs w:val="24"/>
        </w:rPr>
        <w:t xml:space="preserve">, A., </w:t>
      </w:r>
      <w:proofErr w:type="spellStart"/>
      <w:r w:rsidRPr="00634020">
        <w:rPr>
          <w:sz w:val="24"/>
          <w:szCs w:val="24"/>
        </w:rPr>
        <w:t>Bertola</w:t>
      </w:r>
      <w:proofErr w:type="spellEnd"/>
      <w:r w:rsidRPr="00634020">
        <w:rPr>
          <w:sz w:val="24"/>
          <w:szCs w:val="24"/>
        </w:rPr>
        <w:t xml:space="preserve">, M., </w:t>
      </w:r>
      <w:proofErr w:type="spellStart"/>
      <w:r w:rsidRPr="00634020">
        <w:rPr>
          <w:sz w:val="24"/>
          <w:szCs w:val="24"/>
        </w:rPr>
        <w:t>Komma</w:t>
      </w:r>
      <w:proofErr w:type="spellEnd"/>
      <w:r w:rsidRPr="00634020">
        <w:rPr>
          <w:sz w:val="24"/>
          <w:szCs w:val="24"/>
        </w:rPr>
        <w:t xml:space="preserve">, J., </w:t>
      </w:r>
      <w:proofErr w:type="spellStart"/>
      <w:r w:rsidRPr="00634020">
        <w:rPr>
          <w:sz w:val="24"/>
          <w:szCs w:val="24"/>
        </w:rPr>
        <w:t>Parajka</w:t>
      </w:r>
      <w:proofErr w:type="spellEnd"/>
      <w:r w:rsidRPr="00634020">
        <w:rPr>
          <w:sz w:val="24"/>
          <w:szCs w:val="24"/>
        </w:rPr>
        <w:t xml:space="preserve">, J., Valent, P., &amp; </w:t>
      </w:r>
      <w:proofErr w:type="spellStart"/>
      <w:r w:rsidRPr="00634020">
        <w:rPr>
          <w:sz w:val="24"/>
          <w:szCs w:val="24"/>
        </w:rPr>
        <w:t>Blöschl</w:t>
      </w:r>
      <w:proofErr w:type="spellEnd"/>
      <w:r w:rsidRPr="00634020">
        <w:rPr>
          <w:sz w:val="24"/>
          <w:szCs w:val="24"/>
        </w:rPr>
        <w:t xml:space="preserve">, G. (2021). Characteristics and process controls of statistical flood moments in Europe–a data-based analysis. </w:t>
      </w:r>
      <w:r w:rsidRPr="00634020">
        <w:rPr>
          <w:i/>
          <w:iCs/>
          <w:sz w:val="24"/>
          <w:szCs w:val="24"/>
        </w:rPr>
        <w:t>Hydrology and Earth System Sciences</w:t>
      </w:r>
      <w:r w:rsidRPr="00634020">
        <w:rPr>
          <w:sz w:val="24"/>
          <w:szCs w:val="24"/>
        </w:rPr>
        <w:t>, 25(10), 5535-5560.</w:t>
      </w:r>
    </w:p>
    <w:p w14:paraId="146DD66A" w14:textId="77777777" w:rsidR="00B12D02" w:rsidRPr="00634020" w:rsidRDefault="00B12D02" w:rsidP="00B12D02">
      <w:pPr>
        <w:spacing w:line="480" w:lineRule="auto"/>
        <w:ind w:left="567" w:hanging="567"/>
        <w:rPr>
          <w:sz w:val="24"/>
          <w:szCs w:val="24"/>
        </w:rPr>
      </w:pPr>
      <w:r w:rsidRPr="00634020">
        <w:rPr>
          <w:sz w:val="24"/>
          <w:szCs w:val="24"/>
        </w:rPr>
        <w:t xml:space="preserve">Madsen, H., Pearson, C. P., &amp; </w:t>
      </w:r>
      <w:proofErr w:type="spellStart"/>
      <w:r w:rsidRPr="00634020">
        <w:rPr>
          <w:sz w:val="24"/>
          <w:szCs w:val="24"/>
        </w:rPr>
        <w:t>Rosbjerg</w:t>
      </w:r>
      <w:proofErr w:type="spellEnd"/>
      <w:r w:rsidRPr="00634020">
        <w:rPr>
          <w:sz w:val="24"/>
          <w:szCs w:val="24"/>
        </w:rPr>
        <w:t xml:space="preserve">, D. (1997). Comparison of annual maximum series and partial duration series methods for modeling extreme hydrologic events: 2. Regional modeling. </w:t>
      </w:r>
      <w:r w:rsidRPr="00634020">
        <w:rPr>
          <w:i/>
          <w:iCs/>
          <w:sz w:val="24"/>
          <w:szCs w:val="24"/>
        </w:rPr>
        <w:t>Water Resources Research</w:t>
      </w:r>
      <w:r w:rsidRPr="00634020">
        <w:rPr>
          <w:sz w:val="24"/>
          <w:szCs w:val="24"/>
        </w:rPr>
        <w:t>, 33(4), 759-769.</w:t>
      </w:r>
    </w:p>
    <w:p w14:paraId="54C74C1D"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Markus, M., &amp; </w:t>
      </w:r>
      <w:proofErr w:type="spellStart"/>
      <w:r w:rsidRPr="00634020">
        <w:rPr>
          <w:sz w:val="24"/>
          <w:szCs w:val="24"/>
        </w:rPr>
        <w:t>Demissie</w:t>
      </w:r>
      <w:proofErr w:type="spellEnd"/>
      <w:r w:rsidRPr="00634020">
        <w:rPr>
          <w:sz w:val="24"/>
          <w:szCs w:val="24"/>
        </w:rPr>
        <w:t xml:space="preserve">, M. (2006). Predictability of annual sediment loads based on flood events. </w:t>
      </w:r>
      <w:r w:rsidRPr="00634020">
        <w:rPr>
          <w:i/>
          <w:iCs/>
          <w:sz w:val="24"/>
          <w:szCs w:val="24"/>
        </w:rPr>
        <w:t>Journal of Hydrologic Engineering</w:t>
      </w:r>
      <w:r w:rsidRPr="00634020">
        <w:rPr>
          <w:sz w:val="24"/>
          <w:szCs w:val="24"/>
        </w:rPr>
        <w:t>, 11(4), 354-361.</w:t>
      </w:r>
    </w:p>
    <w:p w14:paraId="7CBFE9CB" w14:textId="77777777" w:rsidR="00B12D02" w:rsidRPr="00634020" w:rsidRDefault="00B12D02" w:rsidP="00B12D02">
      <w:pPr>
        <w:spacing w:line="480" w:lineRule="auto"/>
        <w:ind w:left="567" w:hanging="567"/>
        <w:rPr>
          <w:sz w:val="24"/>
          <w:szCs w:val="24"/>
        </w:rPr>
      </w:pPr>
      <w:r w:rsidRPr="00634020">
        <w:rPr>
          <w:sz w:val="24"/>
          <w:szCs w:val="24"/>
        </w:rPr>
        <w:t>Meier, C.I. (2008). Cottonwood Establishment in a Gravel-Bed River. Dissertation, the University of Montana.</w:t>
      </w:r>
    </w:p>
    <w:p w14:paraId="69791B36" w14:textId="77777777" w:rsidR="00B12D02" w:rsidRPr="00634020" w:rsidRDefault="00B12D02" w:rsidP="00B12D02">
      <w:pPr>
        <w:spacing w:line="480" w:lineRule="auto"/>
        <w:ind w:left="567" w:hanging="567"/>
        <w:rPr>
          <w:sz w:val="24"/>
          <w:szCs w:val="24"/>
        </w:rPr>
      </w:pPr>
      <w:r w:rsidRPr="00634020">
        <w:rPr>
          <w:sz w:val="24"/>
          <w:szCs w:val="24"/>
        </w:rPr>
        <w:t xml:space="preserve">Meier, C. I., Moraga, J. S., </w:t>
      </w:r>
      <w:proofErr w:type="spellStart"/>
      <w:r w:rsidRPr="00634020">
        <w:rPr>
          <w:sz w:val="24"/>
          <w:szCs w:val="24"/>
        </w:rPr>
        <w:t>Pranzini</w:t>
      </w:r>
      <w:proofErr w:type="spellEnd"/>
      <w:r w:rsidRPr="00634020">
        <w:rPr>
          <w:sz w:val="24"/>
          <w:szCs w:val="24"/>
        </w:rPr>
        <w:t xml:space="preserve">, G., &amp; Molnar, P. (2016). Describing the interannual variability of precipitation with the derived distribution approach: effects of record length and resolution. </w:t>
      </w:r>
      <w:r w:rsidRPr="00634020">
        <w:rPr>
          <w:i/>
          <w:iCs/>
          <w:sz w:val="24"/>
          <w:szCs w:val="24"/>
        </w:rPr>
        <w:t>Hydrology and Earth System Sciences</w:t>
      </w:r>
      <w:r w:rsidRPr="00634020">
        <w:rPr>
          <w:sz w:val="24"/>
          <w:szCs w:val="24"/>
        </w:rPr>
        <w:t>, 20(10), 4177-4190.</w:t>
      </w:r>
    </w:p>
    <w:p w14:paraId="6615DA3B" w14:textId="77777777" w:rsidR="00B12D02" w:rsidRPr="00634020" w:rsidRDefault="00B12D02" w:rsidP="00B12D02">
      <w:pPr>
        <w:spacing w:line="480" w:lineRule="auto"/>
        <w:ind w:left="567" w:hanging="567"/>
        <w:rPr>
          <w:sz w:val="24"/>
          <w:szCs w:val="24"/>
        </w:rPr>
      </w:pPr>
      <w:r w:rsidRPr="00634020">
        <w:rPr>
          <w:sz w:val="24"/>
          <w:szCs w:val="24"/>
        </w:rPr>
        <w:t xml:space="preserve">Metzger, A., Marra, F., Smith, J. A., &amp; Morin, E. (2020). Flood frequency estimation and uncertainty in arid/semi-arid regions. </w:t>
      </w:r>
      <w:r w:rsidRPr="00634020">
        <w:rPr>
          <w:i/>
          <w:iCs/>
          <w:sz w:val="24"/>
          <w:szCs w:val="24"/>
        </w:rPr>
        <w:t>Journal of Hydrology</w:t>
      </w:r>
      <w:r w:rsidRPr="00634020">
        <w:rPr>
          <w:sz w:val="24"/>
          <w:szCs w:val="24"/>
        </w:rPr>
        <w:t>, 590, 125254.</w:t>
      </w:r>
    </w:p>
    <w:p w14:paraId="6F61EDAF" w14:textId="77777777" w:rsidR="00B12D02" w:rsidRPr="00634020" w:rsidRDefault="00B12D02" w:rsidP="00B12D02">
      <w:pPr>
        <w:spacing w:line="480" w:lineRule="auto"/>
        <w:ind w:left="567" w:hanging="567"/>
        <w:rPr>
          <w:sz w:val="24"/>
          <w:szCs w:val="24"/>
        </w:rPr>
      </w:pPr>
      <w:r w:rsidRPr="00634020">
        <w:rPr>
          <w:sz w:val="24"/>
          <w:szCs w:val="24"/>
        </w:rPr>
        <w:t xml:space="preserve">Morrison, A., Westbrook, C. J., &amp; Noble, B. F. (2018). A review of the flood risk management governance and resilience literature. </w:t>
      </w:r>
      <w:r w:rsidRPr="00634020">
        <w:rPr>
          <w:i/>
          <w:iCs/>
          <w:sz w:val="24"/>
          <w:szCs w:val="24"/>
        </w:rPr>
        <w:t>Journal of Flood Risk Management</w:t>
      </w:r>
      <w:r w:rsidRPr="00634020">
        <w:rPr>
          <w:sz w:val="24"/>
          <w:szCs w:val="24"/>
        </w:rPr>
        <w:t>, 11(3), 291-304.</w:t>
      </w:r>
    </w:p>
    <w:p w14:paraId="1AE85421" w14:textId="77777777" w:rsidR="00B12D02" w:rsidRPr="00634020" w:rsidRDefault="00B12D02" w:rsidP="00B12D02">
      <w:pPr>
        <w:spacing w:line="480" w:lineRule="auto"/>
        <w:ind w:left="567" w:hanging="567"/>
        <w:rPr>
          <w:sz w:val="24"/>
          <w:szCs w:val="24"/>
        </w:rPr>
      </w:pPr>
      <w:proofErr w:type="spellStart"/>
      <w:r w:rsidRPr="00634020">
        <w:rPr>
          <w:sz w:val="24"/>
          <w:szCs w:val="24"/>
        </w:rPr>
        <w:t>Norheim</w:t>
      </w:r>
      <w:proofErr w:type="spellEnd"/>
      <w:r w:rsidRPr="00634020">
        <w:rPr>
          <w:sz w:val="24"/>
          <w:szCs w:val="24"/>
        </w:rPr>
        <w:t>, S. (2018). Flood frequency analysis: Comparing annual maximum series and peak over threshold: A case study for Norway (</w:t>
      </w:r>
      <w:proofErr w:type="gramStart"/>
      <w:r w:rsidRPr="00634020">
        <w:rPr>
          <w:sz w:val="24"/>
          <w:szCs w:val="24"/>
        </w:rPr>
        <w:t>Master's</w:t>
      </w:r>
      <w:proofErr w:type="gramEnd"/>
      <w:r w:rsidRPr="00634020">
        <w:rPr>
          <w:sz w:val="24"/>
          <w:szCs w:val="24"/>
        </w:rPr>
        <w:t xml:space="preserve"> thesis, </w:t>
      </w:r>
      <w:proofErr w:type="spellStart"/>
      <w:r w:rsidRPr="00634020">
        <w:rPr>
          <w:sz w:val="24"/>
          <w:szCs w:val="24"/>
        </w:rPr>
        <w:t>Høgskulen</w:t>
      </w:r>
      <w:proofErr w:type="spellEnd"/>
      <w:r w:rsidRPr="00634020">
        <w:rPr>
          <w:sz w:val="24"/>
          <w:szCs w:val="24"/>
        </w:rPr>
        <w:t xml:space="preserve"> </w:t>
      </w:r>
      <w:proofErr w:type="spellStart"/>
      <w:r w:rsidRPr="00634020">
        <w:rPr>
          <w:sz w:val="24"/>
          <w:szCs w:val="24"/>
        </w:rPr>
        <w:t>på</w:t>
      </w:r>
      <w:proofErr w:type="spellEnd"/>
      <w:r w:rsidRPr="00634020">
        <w:rPr>
          <w:sz w:val="24"/>
          <w:szCs w:val="24"/>
        </w:rPr>
        <w:t xml:space="preserve"> </w:t>
      </w:r>
      <w:proofErr w:type="spellStart"/>
      <w:r w:rsidRPr="00634020">
        <w:rPr>
          <w:sz w:val="24"/>
          <w:szCs w:val="24"/>
        </w:rPr>
        <w:t>Vestlandet</w:t>
      </w:r>
      <w:proofErr w:type="spellEnd"/>
      <w:r w:rsidRPr="00634020">
        <w:rPr>
          <w:sz w:val="24"/>
          <w:szCs w:val="24"/>
        </w:rPr>
        <w:t>).</w:t>
      </w:r>
    </w:p>
    <w:p w14:paraId="5DF02BB6" w14:textId="77777777" w:rsidR="00B12D02" w:rsidRPr="00634020" w:rsidRDefault="00B12D02" w:rsidP="00B12D02">
      <w:pPr>
        <w:spacing w:line="480" w:lineRule="auto"/>
        <w:ind w:left="567" w:hanging="567"/>
        <w:rPr>
          <w:sz w:val="24"/>
          <w:szCs w:val="24"/>
        </w:rPr>
      </w:pPr>
      <w:proofErr w:type="spellStart"/>
      <w:r w:rsidRPr="00634020">
        <w:rPr>
          <w:sz w:val="24"/>
          <w:szCs w:val="24"/>
        </w:rPr>
        <w:t>Önöz</w:t>
      </w:r>
      <w:proofErr w:type="spellEnd"/>
      <w:r w:rsidRPr="00634020">
        <w:rPr>
          <w:sz w:val="24"/>
          <w:szCs w:val="24"/>
        </w:rPr>
        <w:t xml:space="preserve">, B., &amp; </w:t>
      </w:r>
      <w:proofErr w:type="spellStart"/>
      <w:r w:rsidRPr="00634020">
        <w:rPr>
          <w:sz w:val="24"/>
          <w:szCs w:val="24"/>
        </w:rPr>
        <w:t>Bayazit</w:t>
      </w:r>
      <w:proofErr w:type="spellEnd"/>
      <w:r w:rsidRPr="00634020">
        <w:rPr>
          <w:sz w:val="24"/>
          <w:szCs w:val="24"/>
        </w:rPr>
        <w:t xml:space="preserve">, M. (2001). Effect of the occurrence process of the peaks over threshold on the flood estimates. </w:t>
      </w:r>
      <w:r w:rsidRPr="00634020">
        <w:rPr>
          <w:i/>
          <w:iCs/>
          <w:sz w:val="24"/>
          <w:szCs w:val="24"/>
        </w:rPr>
        <w:t>Journal of Hydrology</w:t>
      </w:r>
      <w:r w:rsidRPr="00634020">
        <w:rPr>
          <w:sz w:val="24"/>
          <w:szCs w:val="24"/>
        </w:rPr>
        <w:t>, 244(1-2), 86-96.</w:t>
      </w:r>
    </w:p>
    <w:p w14:paraId="61C9C805" w14:textId="77777777" w:rsidR="00B12D02" w:rsidRPr="00634020" w:rsidRDefault="00B12D02" w:rsidP="00B12D02">
      <w:pPr>
        <w:spacing w:line="480" w:lineRule="auto"/>
        <w:ind w:left="567" w:hanging="567"/>
        <w:rPr>
          <w:sz w:val="24"/>
          <w:szCs w:val="24"/>
        </w:rPr>
      </w:pPr>
      <w:proofErr w:type="spellStart"/>
      <w:r w:rsidRPr="00634020">
        <w:rPr>
          <w:sz w:val="24"/>
          <w:szCs w:val="24"/>
        </w:rPr>
        <w:t>Ouarda</w:t>
      </w:r>
      <w:proofErr w:type="spellEnd"/>
      <w:r w:rsidRPr="00634020">
        <w:rPr>
          <w:sz w:val="24"/>
          <w:szCs w:val="24"/>
        </w:rPr>
        <w:t xml:space="preserve">, T. B., </w:t>
      </w:r>
      <w:proofErr w:type="spellStart"/>
      <w:r w:rsidRPr="00634020">
        <w:rPr>
          <w:sz w:val="24"/>
          <w:szCs w:val="24"/>
        </w:rPr>
        <w:t>Cunderlik</w:t>
      </w:r>
      <w:proofErr w:type="spellEnd"/>
      <w:r w:rsidRPr="00634020">
        <w:rPr>
          <w:sz w:val="24"/>
          <w:szCs w:val="24"/>
        </w:rPr>
        <w:t xml:space="preserve">, J. M., St-Hilaire, A., Barbet, M., Bruneau, P., &amp; </w:t>
      </w:r>
      <w:proofErr w:type="spellStart"/>
      <w:r w:rsidRPr="00634020">
        <w:rPr>
          <w:sz w:val="24"/>
          <w:szCs w:val="24"/>
        </w:rPr>
        <w:t>Bobée</w:t>
      </w:r>
      <w:proofErr w:type="spellEnd"/>
      <w:r w:rsidRPr="00634020">
        <w:rPr>
          <w:sz w:val="24"/>
          <w:szCs w:val="24"/>
        </w:rPr>
        <w:t xml:space="preserve">, B. (2006). Data-based comparison of seasonality-based regional flood frequency methods. </w:t>
      </w:r>
      <w:r w:rsidRPr="00634020">
        <w:rPr>
          <w:i/>
          <w:iCs/>
          <w:sz w:val="24"/>
          <w:szCs w:val="24"/>
        </w:rPr>
        <w:t>Journal of Hydrology</w:t>
      </w:r>
      <w:r w:rsidRPr="00634020">
        <w:rPr>
          <w:sz w:val="24"/>
          <w:szCs w:val="24"/>
        </w:rPr>
        <w:t>, 330(1-2), 329-339.</w:t>
      </w:r>
    </w:p>
    <w:p w14:paraId="150B5F08" w14:textId="77777777" w:rsidR="00B12D02" w:rsidRPr="00634020" w:rsidRDefault="00B12D02" w:rsidP="00B12D02">
      <w:pPr>
        <w:spacing w:line="480" w:lineRule="auto"/>
        <w:ind w:left="567" w:hanging="567"/>
        <w:rPr>
          <w:sz w:val="24"/>
          <w:szCs w:val="24"/>
        </w:rPr>
      </w:pPr>
      <w:r w:rsidRPr="00634020">
        <w:rPr>
          <w:sz w:val="24"/>
          <w:szCs w:val="24"/>
        </w:rPr>
        <w:t xml:space="preserve">Page, K. J., &amp; McElroy, L. (1981). Comparison of annual and partial duration series floods on the </w:t>
      </w:r>
      <w:proofErr w:type="spellStart"/>
      <w:r w:rsidRPr="00634020">
        <w:rPr>
          <w:sz w:val="24"/>
          <w:szCs w:val="24"/>
        </w:rPr>
        <w:t>Murrumbidgee</w:t>
      </w:r>
      <w:proofErr w:type="spellEnd"/>
      <w:r w:rsidRPr="00634020">
        <w:rPr>
          <w:sz w:val="24"/>
          <w:szCs w:val="24"/>
        </w:rPr>
        <w:t xml:space="preserve"> River. </w:t>
      </w:r>
      <w:r w:rsidRPr="00634020">
        <w:rPr>
          <w:i/>
          <w:iCs/>
          <w:sz w:val="24"/>
          <w:szCs w:val="24"/>
        </w:rPr>
        <w:t>JAWRA Journal of the American Water Resources Association</w:t>
      </w:r>
      <w:r w:rsidRPr="00634020">
        <w:rPr>
          <w:sz w:val="24"/>
          <w:szCs w:val="24"/>
        </w:rPr>
        <w:t>, 17(2), 286-289.</w:t>
      </w:r>
    </w:p>
    <w:p w14:paraId="70496901"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Pan, X., Rahman, A., Haddad, K., &amp; </w:t>
      </w:r>
      <w:proofErr w:type="spellStart"/>
      <w:r w:rsidRPr="00634020">
        <w:rPr>
          <w:sz w:val="24"/>
          <w:szCs w:val="24"/>
        </w:rPr>
        <w:t>Ouarda</w:t>
      </w:r>
      <w:proofErr w:type="spellEnd"/>
      <w:r w:rsidRPr="00634020">
        <w:rPr>
          <w:sz w:val="24"/>
          <w:szCs w:val="24"/>
        </w:rPr>
        <w:t xml:space="preserve">, T. B. (2022). Peaks-over-threshold model in flood frequency analysis: a scoping review. </w:t>
      </w:r>
      <w:r w:rsidRPr="00634020">
        <w:rPr>
          <w:i/>
          <w:iCs/>
          <w:sz w:val="24"/>
          <w:szCs w:val="24"/>
        </w:rPr>
        <w:t>Stochastic Environmental Research and Risk Assessment</w:t>
      </w:r>
      <w:r w:rsidRPr="00634020">
        <w:rPr>
          <w:sz w:val="24"/>
          <w:szCs w:val="24"/>
        </w:rPr>
        <w:t>, 1-17.</w:t>
      </w:r>
    </w:p>
    <w:p w14:paraId="4B4E46EB" w14:textId="77777777" w:rsidR="00B12D02" w:rsidRPr="00634020" w:rsidRDefault="00B12D02" w:rsidP="00B12D02">
      <w:pPr>
        <w:spacing w:line="480" w:lineRule="auto"/>
        <w:ind w:left="567" w:hanging="567"/>
        <w:rPr>
          <w:sz w:val="24"/>
          <w:szCs w:val="24"/>
        </w:rPr>
      </w:pPr>
      <w:proofErr w:type="spellStart"/>
      <w:r w:rsidRPr="00634020">
        <w:rPr>
          <w:sz w:val="24"/>
          <w:szCs w:val="24"/>
        </w:rPr>
        <w:t>Plavšić</w:t>
      </w:r>
      <w:proofErr w:type="spellEnd"/>
      <w:r w:rsidRPr="00634020">
        <w:rPr>
          <w:sz w:val="24"/>
          <w:szCs w:val="24"/>
        </w:rPr>
        <w:t xml:space="preserve">, J., </w:t>
      </w:r>
      <w:proofErr w:type="spellStart"/>
      <w:r w:rsidRPr="00634020">
        <w:rPr>
          <w:sz w:val="24"/>
          <w:szCs w:val="24"/>
        </w:rPr>
        <w:t>Mihailović</w:t>
      </w:r>
      <w:proofErr w:type="spellEnd"/>
      <w:r w:rsidRPr="00634020">
        <w:rPr>
          <w:sz w:val="24"/>
          <w:szCs w:val="24"/>
        </w:rPr>
        <w:t xml:space="preserve">, V., &amp; </w:t>
      </w:r>
      <w:proofErr w:type="spellStart"/>
      <w:r w:rsidRPr="00634020">
        <w:rPr>
          <w:sz w:val="24"/>
          <w:szCs w:val="24"/>
        </w:rPr>
        <w:t>Blagojević</w:t>
      </w:r>
      <w:proofErr w:type="spellEnd"/>
      <w:r w:rsidRPr="00634020">
        <w:rPr>
          <w:sz w:val="24"/>
          <w:szCs w:val="24"/>
        </w:rPr>
        <w:t>, B. (2014). Assessment of methods for outlier detection and treatment in flood frequency analysis. In Proceedings of the Mediterranean Meeting on Monitoring, modelling and early warning of extreme events triggered by heavy rainfalls. PON 01_01503-MED-FRIEND project University of Calabria, Cosenza (Italy), June 26th-28th, 2014 (pp. 181-192).</w:t>
      </w:r>
    </w:p>
    <w:p w14:paraId="15039372" w14:textId="77777777" w:rsidR="00B12D02" w:rsidRPr="00634020" w:rsidRDefault="00B12D02" w:rsidP="00B12D02">
      <w:pPr>
        <w:spacing w:line="480" w:lineRule="auto"/>
        <w:ind w:left="567" w:hanging="567"/>
        <w:rPr>
          <w:sz w:val="24"/>
          <w:szCs w:val="24"/>
        </w:rPr>
      </w:pPr>
      <w:r w:rsidRPr="00634020">
        <w:rPr>
          <w:sz w:val="24"/>
          <w:szCs w:val="24"/>
        </w:rPr>
        <w:t xml:space="preserve">Ponce, V. M. (1989). </w:t>
      </w:r>
      <w:r w:rsidRPr="00634020">
        <w:rPr>
          <w:i/>
          <w:iCs/>
          <w:sz w:val="24"/>
          <w:szCs w:val="24"/>
        </w:rPr>
        <w:t>Engineering Hydrology: Principles and Practices</w:t>
      </w:r>
      <w:r w:rsidRPr="00634020">
        <w:rPr>
          <w:sz w:val="24"/>
          <w:szCs w:val="24"/>
        </w:rPr>
        <w:t>. Prentice Hall Englewood Cliffs, NJ.</w:t>
      </w:r>
    </w:p>
    <w:p w14:paraId="453C295F" w14:textId="77777777" w:rsidR="00B12D02" w:rsidRPr="00634020" w:rsidRDefault="00B12D02" w:rsidP="00B12D02">
      <w:pPr>
        <w:spacing w:line="480" w:lineRule="auto"/>
        <w:ind w:left="567" w:hanging="567"/>
        <w:rPr>
          <w:sz w:val="24"/>
          <w:szCs w:val="24"/>
        </w:rPr>
      </w:pPr>
      <w:proofErr w:type="spellStart"/>
      <w:r w:rsidRPr="00634020">
        <w:rPr>
          <w:sz w:val="24"/>
          <w:szCs w:val="24"/>
        </w:rPr>
        <w:t>Prosdocimi</w:t>
      </w:r>
      <w:proofErr w:type="spellEnd"/>
      <w:r w:rsidRPr="00634020">
        <w:rPr>
          <w:sz w:val="24"/>
          <w:szCs w:val="24"/>
        </w:rPr>
        <w:t>, I. (2018). German tanks and historical records: the estimation of the time coverage of ungauged extreme events. Stochastic environmental research and risk assessment, 32(3), 607-622.</w:t>
      </w:r>
    </w:p>
    <w:p w14:paraId="300BFAC1" w14:textId="77777777" w:rsidR="00B12D02" w:rsidRPr="00634020" w:rsidRDefault="00B12D02" w:rsidP="00B12D02">
      <w:pPr>
        <w:spacing w:line="480" w:lineRule="auto"/>
        <w:ind w:left="567" w:hanging="567"/>
        <w:rPr>
          <w:sz w:val="24"/>
          <w:szCs w:val="24"/>
        </w:rPr>
      </w:pPr>
      <w:proofErr w:type="spellStart"/>
      <w:r w:rsidRPr="00634020">
        <w:rPr>
          <w:sz w:val="24"/>
          <w:szCs w:val="24"/>
        </w:rPr>
        <w:t>Prosdocimi</w:t>
      </w:r>
      <w:proofErr w:type="spellEnd"/>
      <w:r w:rsidRPr="00634020">
        <w:rPr>
          <w:sz w:val="24"/>
          <w:szCs w:val="24"/>
        </w:rPr>
        <w:t>, I., &amp; Kjeldsen, T. R. (2022). Exploring links between annual Maxima and Peaks over Threshold: A Study for the UK Records. Abstract (H42E-1323) presented at 2022 AGU Fall Meeting, 12-16 Dec.</w:t>
      </w:r>
    </w:p>
    <w:p w14:paraId="569F7E67" w14:textId="77777777" w:rsidR="00B12D02" w:rsidRPr="00634020" w:rsidRDefault="00B12D02" w:rsidP="00B12D02">
      <w:pPr>
        <w:spacing w:line="480" w:lineRule="auto"/>
        <w:ind w:left="567" w:hanging="567"/>
        <w:rPr>
          <w:sz w:val="24"/>
          <w:szCs w:val="24"/>
        </w:rPr>
      </w:pPr>
      <w:proofErr w:type="spellStart"/>
      <w:r w:rsidRPr="00634020">
        <w:rPr>
          <w:sz w:val="24"/>
          <w:szCs w:val="24"/>
        </w:rPr>
        <w:t>Prosdocimi</w:t>
      </w:r>
      <w:proofErr w:type="spellEnd"/>
      <w:r w:rsidRPr="00634020">
        <w:rPr>
          <w:sz w:val="24"/>
          <w:szCs w:val="24"/>
        </w:rPr>
        <w:t xml:space="preserve">, I., Kjeldsen, T. R., &amp; </w:t>
      </w:r>
      <w:proofErr w:type="spellStart"/>
      <w:r w:rsidRPr="00634020">
        <w:rPr>
          <w:sz w:val="24"/>
          <w:szCs w:val="24"/>
        </w:rPr>
        <w:t>Svensson</w:t>
      </w:r>
      <w:proofErr w:type="spellEnd"/>
      <w:r w:rsidRPr="00634020">
        <w:rPr>
          <w:sz w:val="24"/>
          <w:szCs w:val="24"/>
        </w:rPr>
        <w:t xml:space="preserve">, C. (2014). Non-stationarity in annual and seasonal series of peak flow and precipitation in the UK. </w:t>
      </w:r>
      <w:r w:rsidRPr="00634020">
        <w:rPr>
          <w:i/>
          <w:iCs/>
          <w:sz w:val="24"/>
          <w:szCs w:val="24"/>
        </w:rPr>
        <w:t>Natural Hazards and Earth System Sciences</w:t>
      </w:r>
      <w:r w:rsidRPr="00634020">
        <w:rPr>
          <w:sz w:val="24"/>
          <w:szCs w:val="24"/>
        </w:rPr>
        <w:t>, 14(5), 1125-1144.</w:t>
      </w:r>
    </w:p>
    <w:p w14:paraId="3FC1096A" w14:textId="77777777" w:rsidR="00B12D02" w:rsidRPr="00634020" w:rsidRDefault="00B12D02" w:rsidP="00B12D02">
      <w:pPr>
        <w:spacing w:line="480" w:lineRule="auto"/>
        <w:ind w:left="567" w:hanging="567"/>
        <w:rPr>
          <w:sz w:val="24"/>
          <w:szCs w:val="24"/>
        </w:rPr>
      </w:pPr>
      <w:proofErr w:type="spellStart"/>
      <w:r w:rsidRPr="00634020">
        <w:rPr>
          <w:sz w:val="24"/>
          <w:szCs w:val="24"/>
        </w:rPr>
        <w:t>Rasekh</w:t>
      </w:r>
      <w:proofErr w:type="spellEnd"/>
      <w:r w:rsidRPr="00634020">
        <w:rPr>
          <w:sz w:val="24"/>
          <w:szCs w:val="24"/>
        </w:rPr>
        <w:t xml:space="preserve">, A., Afshar, A., &amp; Afshar, M. H. (2010). Risk-cost optimization of hydraulic structures: methodology and case study. </w:t>
      </w:r>
      <w:r w:rsidRPr="00634020">
        <w:rPr>
          <w:i/>
          <w:iCs/>
          <w:sz w:val="24"/>
          <w:szCs w:val="24"/>
        </w:rPr>
        <w:t>Water Resources Management</w:t>
      </w:r>
      <w:r w:rsidRPr="00634020">
        <w:rPr>
          <w:sz w:val="24"/>
          <w:szCs w:val="24"/>
        </w:rPr>
        <w:t>, 24(11), 2833-2851.</w:t>
      </w:r>
    </w:p>
    <w:p w14:paraId="6B92F2BC" w14:textId="77777777" w:rsidR="00B12D02" w:rsidRPr="00634020" w:rsidRDefault="00B12D02" w:rsidP="00B12D02">
      <w:pPr>
        <w:spacing w:line="480" w:lineRule="auto"/>
        <w:ind w:left="567" w:hanging="567"/>
        <w:rPr>
          <w:sz w:val="24"/>
          <w:szCs w:val="24"/>
        </w:rPr>
      </w:pPr>
      <w:r w:rsidRPr="00634020">
        <w:rPr>
          <w:sz w:val="24"/>
          <w:szCs w:val="24"/>
        </w:rPr>
        <w:t xml:space="preserve">Robson, A. </w:t>
      </w:r>
      <w:proofErr w:type="gramStart"/>
      <w:r w:rsidRPr="00634020">
        <w:rPr>
          <w:sz w:val="24"/>
          <w:szCs w:val="24"/>
        </w:rPr>
        <w:t>J .</w:t>
      </w:r>
      <w:proofErr w:type="gramEnd"/>
      <w:r w:rsidRPr="00634020">
        <w:rPr>
          <w:sz w:val="24"/>
          <w:szCs w:val="24"/>
        </w:rPr>
        <w:t xml:space="preserve"> and Reed, D. W. (1999) Flood Estimation Handbook: Volume 3. </w:t>
      </w:r>
      <w:r w:rsidRPr="00634020">
        <w:rPr>
          <w:i/>
          <w:iCs/>
          <w:sz w:val="24"/>
          <w:szCs w:val="24"/>
        </w:rPr>
        <w:t>Statistical Procedures for Flood Frequency Estimation</w:t>
      </w:r>
      <w:r w:rsidRPr="00634020">
        <w:rPr>
          <w:sz w:val="24"/>
          <w:szCs w:val="24"/>
        </w:rPr>
        <w:t>. Centre for Ecology &amp; Hydrology.</w:t>
      </w:r>
    </w:p>
    <w:p w14:paraId="7F76FE38" w14:textId="77777777" w:rsidR="00B12D02" w:rsidRPr="00634020" w:rsidRDefault="00B12D02" w:rsidP="00B12D02">
      <w:pPr>
        <w:spacing w:line="480" w:lineRule="auto"/>
        <w:ind w:left="567" w:hanging="567"/>
        <w:rPr>
          <w:sz w:val="24"/>
          <w:szCs w:val="24"/>
        </w:rPr>
      </w:pPr>
      <w:proofErr w:type="spellStart"/>
      <w:r w:rsidRPr="00634020">
        <w:rPr>
          <w:sz w:val="24"/>
          <w:szCs w:val="24"/>
        </w:rPr>
        <w:lastRenderedPageBreak/>
        <w:t>Sankarasubramanian</w:t>
      </w:r>
      <w:proofErr w:type="spellEnd"/>
      <w:r w:rsidRPr="00634020">
        <w:rPr>
          <w:sz w:val="24"/>
          <w:szCs w:val="24"/>
        </w:rPr>
        <w:t xml:space="preserve">, A., Vogel, R. M., &amp; </w:t>
      </w:r>
      <w:proofErr w:type="spellStart"/>
      <w:r w:rsidRPr="00634020">
        <w:rPr>
          <w:sz w:val="24"/>
          <w:szCs w:val="24"/>
        </w:rPr>
        <w:t>Limbrunner</w:t>
      </w:r>
      <w:proofErr w:type="spellEnd"/>
      <w:r w:rsidRPr="00634020">
        <w:rPr>
          <w:sz w:val="24"/>
          <w:szCs w:val="24"/>
        </w:rPr>
        <w:t xml:space="preserve">, J. F. (2001). Climate elasticity of streamflow in the United States. </w:t>
      </w:r>
      <w:r w:rsidRPr="00634020">
        <w:rPr>
          <w:i/>
          <w:iCs/>
          <w:sz w:val="24"/>
          <w:szCs w:val="24"/>
        </w:rPr>
        <w:t>Water Resources Research</w:t>
      </w:r>
      <w:r w:rsidRPr="00634020">
        <w:rPr>
          <w:sz w:val="24"/>
          <w:szCs w:val="24"/>
        </w:rPr>
        <w:t>, 37(6), 1771-1781.</w:t>
      </w:r>
    </w:p>
    <w:p w14:paraId="1303A827" w14:textId="77777777" w:rsidR="00B12D02" w:rsidRPr="00634020" w:rsidRDefault="00B12D02" w:rsidP="00B12D02">
      <w:pPr>
        <w:spacing w:line="480" w:lineRule="auto"/>
        <w:ind w:left="567" w:hanging="567"/>
        <w:rPr>
          <w:sz w:val="24"/>
          <w:szCs w:val="24"/>
        </w:rPr>
      </w:pPr>
      <w:r w:rsidRPr="00634020">
        <w:rPr>
          <w:sz w:val="24"/>
          <w:szCs w:val="24"/>
        </w:rPr>
        <w:t>Sayers, P., Yuanyuan, L., Galloway, G., Penning-</w:t>
      </w:r>
      <w:proofErr w:type="spellStart"/>
      <w:r w:rsidRPr="00634020">
        <w:rPr>
          <w:sz w:val="24"/>
          <w:szCs w:val="24"/>
        </w:rPr>
        <w:t>Rowsell</w:t>
      </w:r>
      <w:proofErr w:type="spellEnd"/>
      <w:r w:rsidRPr="00634020">
        <w:rPr>
          <w:sz w:val="24"/>
          <w:szCs w:val="24"/>
        </w:rPr>
        <w:t xml:space="preserve">, E., Shen, F., Wen, K., &amp; Le Quesne, T. (2013). </w:t>
      </w:r>
      <w:r w:rsidRPr="00634020">
        <w:rPr>
          <w:i/>
          <w:iCs/>
          <w:sz w:val="24"/>
          <w:szCs w:val="24"/>
        </w:rPr>
        <w:t>Flood Risk Management: A strategic approach.</w:t>
      </w:r>
      <w:r w:rsidRPr="00634020">
        <w:rPr>
          <w:sz w:val="24"/>
          <w:szCs w:val="24"/>
        </w:rPr>
        <w:t xml:space="preserve"> Paris, UNESCO.</w:t>
      </w:r>
    </w:p>
    <w:p w14:paraId="0E5692BF" w14:textId="77777777" w:rsidR="00B12D02" w:rsidRPr="00634020" w:rsidRDefault="00B12D02" w:rsidP="00B12D02">
      <w:pPr>
        <w:spacing w:line="480" w:lineRule="auto"/>
        <w:ind w:left="567" w:hanging="567"/>
        <w:rPr>
          <w:sz w:val="24"/>
          <w:szCs w:val="24"/>
        </w:rPr>
      </w:pPr>
      <w:proofErr w:type="spellStart"/>
      <w:r w:rsidRPr="00634020">
        <w:rPr>
          <w:sz w:val="24"/>
          <w:szCs w:val="24"/>
        </w:rPr>
        <w:t>Scussolini</w:t>
      </w:r>
      <w:proofErr w:type="spellEnd"/>
      <w:r w:rsidRPr="00634020">
        <w:rPr>
          <w:sz w:val="24"/>
          <w:szCs w:val="24"/>
        </w:rPr>
        <w:t xml:space="preserve">, P., </w:t>
      </w:r>
      <w:proofErr w:type="spellStart"/>
      <w:r w:rsidRPr="00634020">
        <w:rPr>
          <w:sz w:val="24"/>
          <w:szCs w:val="24"/>
        </w:rPr>
        <w:t>Aerts</w:t>
      </w:r>
      <w:proofErr w:type="spellEnd"/>
      <w:r w:rsidRPr="00634020">
        <w:rPr>
          <w:sz w:val="24"/>
          <w:szCs w:val="24"/>
        </w:rPr>
        <w:t xml:space="preserve">, J. C., </w:t>
      </w:r>
      <w:proofErr w:type="spellStart"/>
      <w:r w:rsidRPr="00634020">
        <w:rPr>
          <w:sz w:val="24"/>
          <w:szCs w:val="24"/>
        </w:rPr>
        <w:t>Jongman</w:t>
      </w:r>
      <w:proofErr w:type="spellEnd"/>
      <w:r w:rsidRPr="00634020">
        <w:rPr>
          <w:sz w:val="24"/>
          <w:szCs w:val="24"/>
        </w:rPr>
        <w:t xml:space="preserve">, B., Bouwer, L. M., </w:t>
      </w:r>
      <w:proofErr w:type="spellStart"/>
      <w:r w:rsidRPr="00634020">
        <w:rPr>
          <w:sz w:val="24"/>
          <w:szCs w:val="24"/>
        </w:rPr>
        <w:t>Winsemius</w:t>
      </w:r>
      <w:proofErr w:type="spellEnd"/>
      <w:r w:rsidRPr="00634020">
        <w:rPr>
          <w:sz w:val="24"/>
          <w:szCs w:val="24"/>
        </w:rPr>
        <w:t xml:space="preserve">, H. C., de </w:t>
      </w:r>
      <w:proofErr w:type="spellStart"/>
      <w:r w:rsidRPr="00634020">
        <w:rPr>
          <w:sz w:val="24"/>
          <w:szCs w:val="24"/>
        </w:rPr>
        <w:t>Moel</w:t>
      </w:r>
      <w:proofErr w:type="spellEnd"/>
      <w:r w:rsidRPr="00634020">
        <w:rPr>
          <w:sz w:val="24"/>
          <w:szCs w:val="24"/>
        </w:rPr>
        <w:t xml:space="preserve">, H., &amp; Ward, P. J. (2016). FLOPROS: an evolving global database of flood protection standards. </w:t>
      </w:r>
      <w:r w:rsidRPr="00634020">
        <w:rPr>
          <w:i/>
          <w:iCs/>
          <w:sz w:val="24"/>
          <w:szCs w:val="24"/>
        </w:rPr>
        <w:t>Natural Hazards and Earth System Sciences</w:t>
      </w:r>
      <w:r w:rsidRPr="00634020">
        <w:rPr>
          <w:sz w:val="24"/>
          <w:szCs w:val="24"/>
        </w:rPr>
        <w:t>, 16(5), 1049-1061.</w:t>
      </w:r>
    </w:p>
    <w:p w14:paraId="2A48742B" w14:textId="77777777" w:rsidR="00B12D02" w:rsidRPr="00634020" w:rsidRDefault="00B12D02" w:rsidP="00B12D02">
      <w:pPr>
        <w:spacing w:line="480" w:lineRule="auto"/>
        <w:ind w:left="567" w:hanging="567"/>
        <w:rPr>
          <w:sz w:val="24"/>
          <w:szCs w:val="24"/>
        </w:rPr>
      </w:pPr>
      <w:r w:rsidRPr="00634020">
        <w:rPr>
          <w:sz w:val="24"/>
          <w:szCs w:val="24"/>
        </w:rPr>
        <w:t xml:space="preserve">Shah, M. A. R., Rahman, A., &amp; Chowdhury, S. H. (2018). Challenges for achieving sustainable flood risk management. </w:t>
      </w:r>
      <w:r w:rsidRPr="00634020">
        <w:rPr>
          <w:i/>
          <w:iCs/>
          <w:sz w:val="24"/>
          <w:szCs w:val="24"/>
        </w:rPr>
        <w:t>Journal of Flood Risk Management</w:t>
      </w:r>
      <w:r w:rsidRPr="00634020">
        <w:rPr>
          <w:sz w:val="24"/>
          <w:szCs w:val="24"/>
        </w:rPr>
        <w:t>, 11, S352-S358.</w:t>
      </w:r>
    </w:p>
    <w:p w14:paraId="389D53BD" w14:textId="77777777" w:rsidR="00B12D02" w:rsidRPr="00634020" w:rsidRDefault="00B12D02" w:rsidP="00B12D02">
      <w:pPr>
        <w:spacing w:line="480" w:lineRule="auto"/>
        <w:ind w:left="567" w:hanging="567"/>
        <w:rPr>
          <w:sz w:val="24"/>
          <w:szCs w:val="24"/>
        </w:rPr>
      </w:pPr>
      <w:r w:rsidRPr="00634020">
        <w:rPr>
          <w:sz w:val="24"/>
          <w:szCs w:val="24"/>
        </w:rPr>
        <w:t xml:space="preserve">Simpson, A. R., Dandy, G. C., &amp; Murphy, L. J. (1994). Genetic algorithms compared to other techniques for pipe optimization. </w:t>
      </w:r>
      <w:r w:rsidRPr="00634020">
        <w:rPr>
          <w:i/>
          <w:iCs/>
          <w:sz w:val="24"/>
          <w:szCs w:val="24"/>
        </w:rPr>
        <w:t>Journal of Water Resources Planning and Management</w:t>
      </w:r>
      <w:r w:rsidRPr="00634020">
        <w:rPr>
          <w:sz w:val="24"/>
          <w:szCs w:val="24"/>
        </w:rPr>
        <w:t>, 120(4), 423-443.</w:t>
      </w:r>
    </w:p>
    <w:p w14:paraId="06A24365" w14:textId="77777777" w:rsidR="00B12D02" w:rsidRPr="00634020" w:rsidRDefault="00B12D02" w:rsidP="00B12D02">
      <w:pPr>
        <w:spacing w:line="480" w:lineRule="auto"/>
        <w:ind w:left="567" w:hanging="567"/>
        <w:rPr>
          <w:sz w:val="24"/>
          <w:szCs w:val="24"/>
        </w:rPr>
      </w:pPr>
      <w:r w:rsidRPr="00634020">
        <w:rPr>
          <w:sz w:val="24"/>
          <w:szCs w:val="24"/>
        </w:rPr>
        <w:t xml:space="preserve">Smith, A., Sampson, C., &amp; Bates, P. (2015). Regional flood frequency analysis at the global scale. </w:t>
      </w:r>
      <w:r w:rsidRPr="00634020">
        <w:rPr>
          <w:i/>
          <w:iCs/>
          <w:sz w:val="24"/>
          <w:szCs w:val="24"/>
        </w:rPr>
        <w:t>Water Resources Research</w:t>
      </w:r>
      <w:r w:rsidRPr="00634020">
        <w:rPr>
          <w:sz w:val="24"/>
          <w:szCs w:val="24"/>
        </w:rPr>
        <w:t>, 51(1), 539-553.</w:t>
      </w:r>
    </w:p>
    <w:p w14:paraId="1A0022FB" w14:textId="77777777" w:rsidR="00B12D02" w:rsidRPr="00634020" w:rsidRDefault="00B12D02" w:rsidP="00B12D02">
      <w:pPr>
        <w:spacing w:line="480" w:lineRule="auto"/>
        <w:ind w:left="567" w:hanging="567"/>
        <w:rPr>
          <w:sz w:val="24"/>
          <w:szCs w:val="24"/>
        </w:rPr>
      </w:pPr>
      <w:proofErr w:type="spellStart"/>
      <w:r w:rsidRPr="00634020">
        <w:rPr>
          <w:sz w:val="24"/>
          <w:szCs w:val="24"/>
        </w:rPr>
        <w:t>Solari</w:t>
      </w:r>
      <w:proofErr w:type="spellEnd"/>
      <w:r w:rsidRPr="00634020">
        <w:rPr>
          <w:sz w:val="24"/>
          <w:szCs w:val="24"/>
        </w:rPr>
        <w:t xml:space="preserve">, S., </w:t>
      </w:r>
      <w:proofErr w:type="spellStart"/>
      <w:r w:rsidRPr="00634020">
        <w:rPr>
          <w:sz w:val="24"/>
          <w:szCs w:val="24"/>
        </w:rPr>
        <w:t>Egüen</w:t>
      </w:r>
      <w:proofErr w:type="spellEnd"/>
      <w:r w:rsidRPr="00634020">
        <w:rPr>
          <w:sz w:val="24"/>
          <w:szCs w:val="24"/>
        </w:rPr>
        <w:t xml:space="preserve">, M., Polo, M. J., &amp; </w:t>
      </w:r>
      <w:proofErr w:type="spellStart"/>
      <w:r w:rsidRPr="00634020">
        <w:rPr>
          <w:sz w:val="24"/>
          <w:szCs w:val="24"/>
        </w:rPr>
        <w:t>Losada</w:t>
      </w:r>
      <w:proofErr w:type="spellEnd"/>
      <w:r w:rsidRPr="00634020">
        <w:rPr>
          <w:sz w:val="24"/>
          <w:szCs w:val="24"/>
        </w:rPr>
        <w:t xml:space="preserve">, M. A. (2017). Peaks Over Threshold (POT): A methodology for automatic threshold estimation using goodness of fit p‐value. </w:t>
      </w:r>
      <w:r w:rsidRPr="00634020">
        <w:rPr>
          <w:i/>
          <w:iCs/>
          <w:sz w:val="24"/>
          <w:szCs w:val="24"/>
        </w:rPr>
        <w:t>Water Resources Research</w:t>
      </w:r>
      <w:r w:rsidRPr="00634020">
        <w:rPr>
          <w:sz w:val="24"/>
          <w:szCs w:val="24"/>
        </w:rPr>
        <w:t>, 53(4), 2833-2849.</w:t>
      </w:r>
    </w:p>
    <w:p w14:paraId="124AADE2" w14:textId="77777777" w:rsidR="00B12D02" w:rsidRPr="00634020" w:rsidRDefault="00B12D02" w:rsidP="00B12D02">
      <w:pPr>
        <w:spacing w:line="480" w:lineRule="auto"/>
        <w:ind w:left="567" w:hanging="567"/>
        <w:rPr>
          <w:i/>
          <w:iCs/>
          <w:sz w:val="24"/>
          <w:szCs w:val="24"/>
        </w:rPr>
      </w:pPr>
      <w:r w:rsidRPr="00634020">
        <w:rPr>
          <w:sz w:val="24"/>
          <w:szCs w:val="24"/>
        </w:rPr>
        <w:t xml:space="preserve">Southard, R.E., 2010, Estimating the Magnitude and Frequency of Floods in Urban Basins in Missouri. </w:t>
      </w:r>
      <w:r w:rsidRPr="00634020">
        <w:rPr>
          <w:i/>
          <w:iCs/>
          <w:sz w:val="24"/>
          <w:szCs w:val="24"/>
        </w:rPr>
        <w:t>U.S. Geological Survey</w:t>
      </w:r>
      <w:r w:rsidRPr="00634020">
        <w:rPr>
          <w:sz w:val="24"/>
          <w:szCs w:val="24"/>
        </w:rPr>
        <w:t xml:space="preserve"> </w:t>
      </w:r>
      <w:r w:rsidRPr="00634020">
        <w:rPr>
          <w:i/>
          <w:iCs/>
          <w:sz w:val="24"/>
          <w:szCs w:val="24"/>
        </w:rPr>
        <w:t>Scientific Investigations Report 2010-5073 (</w:t>
      </w:r>
      <w:hyperlink r:id="rId27" w:history="1">
        <w:r w:rsidRPr="00634020">
          <w:rPr>
            <w:rStyle w:val="Hyperlink"/>
            <w:i/>
            <w:iCs/>
            <w:sz w:val="24"/>
            <w:szCs w:val="24"/>
          </w:rPr>
          <w:t>https://doi.org/10.3133/sir20105073</w:t>
        </w:r>
      </w:hyperlink>
      <w:r w:rsidRPr="00634020">
        <w:rPr>
          <w:i/>
          <w:iCs/>
          <w:sz w:val="24"/>
          <w:szCs w:val="24"/>
        </w:rPr>
        <w:t xml:space="preserve"> ). </w:t>
      </w:r>
    </w:p>
    <w:p w14:paraId="55FD8181" w14:textId="77777777" w:rsidR="00B12D02" w:rsidRPr="00634020" w:rsidRDefault="00B12D02" w:rsidP="00B12D02">
      <w:pPr>
        <w:spacing w:line="480" w:lineRule="auto"/>
        <w:ind w:left="567" w:hanging="567"/>
        <w:rPr>
          <w:sz w:val="24"/>
          <w:szCs w:val="24"/>
        </w:rPr>
      </w:pPr>
      <w:proofErr w:type="spellStart"/>
      <w:r w:rsidRPr="00634020">
        <w:rPr>
          <w:sz w:val="24"/>
          <w:szCs w:val="24"/>
        </w:rPr>
        <w:t>Stedinger</w:t>
      </w:r>
      <w:proofErr w:type="spellEnd"/>
      <w:r w:rsidRPr="00634020">
        <w:rPr>
          <w:sz w:val="24"/>
          <w:szCs w:val="24"/>
        </w:rPr>
        <w:t xml:space="preserve">, J. R., &amp; Lu, L. H. (1995). Appraisal of regional and index flood quantile estimators. </w:t>
      </w:r>
      <w:r w:rsidRPr="00634020">
        <w:rPr>
          <w:i/>
          <w:iCs/>
          <w:sz w:val="24"/>
          <w:szCs w:val="24"/>
        </w:rPr>
        <w:t>Stochastic Hydrology and Hydraulics</w:t>
      </w:r>
      <w:r w:rsidRPr="00634020">
        <w:rPr>
          <w:sz w:val="24"/>
          <w:szCs w:val="24"/>
        </w:rPr>
        <w:t>, 9(1), 49-75.</w:t>
      </w:r>
    </w:p>
    <w:p w14:paraId="795E19DC"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Sun, S. A., </w:t>
      </w:r>
      <w:proofErr w:type="spellStart"/>
      <w:r w:rsidRPr="00634020">
        <w:rPr>
          <w:sz w:val="24"/>
          <w:szCs w:val="24"/>
        </w:rPr>
        <w:t>Djordjević</w:t>
      </w:r>
      <w:proofErr w:type="spellEnd"/>
      <w:r w:rsidRPr="00634020">
        <w:rPr>
          <w:sz w:val="24"/>
          <w:szCs w:val="24"/>
        </w:rPr>
        <w:t xml:space="preserve">, S., &amp; </w:t>
      </w:r>
      <w:proofErr w:type="spellStart"/>
      <w:r w:rsidRPr="00634020">
        <w:rPr>
          <w:sz w:val="24"/>
          <w:szCs w:val="24"/>
        </w:rPr>
        <w:t>Khu</w:t>
      </w:r>
      <w:proofErr w:type="spellEnd"/>
      <w:r w:rsidRPr="00634020">
        <w:rPr>
          <w:sz w:val="24"/>
          <w:szCs w:val="24"/>
        </w:rPr>
        <w:t xml:space="preserve">, S. T. (2011). A general framework for flood risk-based storm sewer network design. </w:t>
      </w:r>
      <w:r w:rsidRPr="00634020">
        <w:rPr>
          <w:i/>
          <w:iCs/>
          <w:sz w:val="24"/>
          <w:szCs w:val="24"/>
        </w:rPr>
        <w:t>Urban Water Journal</w:t>
      </w:r>
      <w:r w:rsidRPr="00634020">
        <w:rPr>
          <w:sz w:val="24"/>
          <w:szCs w:val="24"/>
        </w:rPr>
        <w:t>, 8(1), 13-27.</w:t>
      </w:r>
    </w:p>
    <w:p w14:paraId="2A13119F" w14:textId="77777777" w:rsidR="00B12D02" w:rsidRPr="00634020" w:rsidRDefault="00B12D02" w:rsidP="00B12D02">
      <w:pPr>
        <w:spacing w:line="480" w:lineRule="auto"/>
        <w:ind w:left="567" w:hanging="567"/>
        <w:rPr>
          <w:sz w:val="24"/>
          <w:szCs w:val="24"/>
        </w:rPr>
      </w:pPr>
      <w:r w:rsidRPr="00634020">
        <w:rPr>
          <w:sz w:val="24"/>
          <w:szCs w:val="24"/>
        </w:rPr>
        <w:t xml:space="preserve">Taormina, R., &amp; Chau, K. W. (2015). Data-driven input variable selection for rainfall–runoff modeling using binary-coded particle swarm optimization and Extreme Learning Machines. </w:t>
      </w:r>
      <w:r w:rsidRPr="00634020">
        <w:rPr>
          <w:i/>
          <w:iCs/>
          <w:sz w:val="24"/>
          <w:szCs w:val="24"/>
        </w:rPr>
        <w:t>Journal of Hydrology</w:t>
      </w:r>
      <w:r w:rsidRPr="00634020">
        <w:rPr>
          <w:sz w:val="24"/>
          <w:szCs w:val="24"/>
        </w:rPr>
        <w:t>, 529, 1617-1632.</w:t>
      </w:r>
    </w:p>
    <w:p w14:paraId="3897CE9D" w14:textId="77777777" w:rsidR="00B12D02" w:rsidRPr="00634020" w:rsidRDefault="00B12D02" w:rsidP="00B12D02">
      <w:pPr>
        <w:spacing w:line="480" w:lineRule="auto"/>
        <w:ind w:left="567" w:hanging="567"/>
        <w:rPr>
          <w:sz w:val="24"/>
          <w:szCs w:val="24"/>
        </w:rPr>
      </w:pPr>
      <w:r w:rsidRPr="00280E54">
        <w:rPr>
          <w:sz w:val="24"/>
          <w:szCs w:val="24"/>
        </w:rPr>
        <w:t xml:space="preserve">Tavares, L. V., &amp; Da Silva, J. E. (1983). </w:t>
      </w:r>
      <w:r w:rsidRPr="00634020">
        <w:rPr>
          <w:sz w:val="24"/>
          <w:szCs w:val="24"/>
        </w:rPr>
        <w:t xml:space="preserve">Partial duration series method revisited. </w:t>
      </w:r>
      <w:r w:rsidRPr="00634020">
        <w:rPr>
          <w:i/>
          <w:iCs/>
          <w:sz w:val="24"/>
          <w:szCs w:val="24"/>
        </w:rPr>
        <w:t>Journal of Hydrology</w:t>
      </w:r>
      <w:r w:rsidRPr="00634020">
        <w:rPr>
          <w:sz w:val="24"/>
          <w:szCs w:val="24"/>
        </w:rPr>
        <w:t>, 64(1-4), 1-14.</w:t>
      </w:r>
    </w:p>
    <w:p w14:paraId="32DE2C4F" w14:textId="77777777" w:rsidR="00B12D02" w:rsidRPr="00634020" w:rsidRDefault="00B12D02" w:rsidP="00B12D02">
      <w:pPr>
        <w:spacing w:line="480" w:lineRule="auto"/>
        <w:ind w:left="567" w:hanging="567"/>
        <w:rPr>
          <w:sz w:val="24"/>
          <w:szCs w:val="24"/>
        </w:rPr>
      </w:pPr>
      <w:r w:rsidRPr="00634020">
        <w:rPr>
          <w:sz w:val="24"/>
          <w:szCs w:val="24"/>
        </w:rPr>
        <w:t xml:space="preserve">Tung, Y. K. (2005). Flood defense systems design by risk-based approaches. </w:t>
      </w:r>
      <w:r w:rsidRPr="00634020">
        <w:rPr>
          <w:i/>
          <w:iCs/>
          <w:sz w:val="24"/>
          <w:szCs w:val="24"/>
        </w:rPr>
        <w:t>Water International</w:t>
      </w:r>
      <w:r w:rsidRPr="00634020">
        <w:rPr>
          <w:sz w:val="24"/>
          <w:szCs w:val="24"/>
        </w:rPr>
        <w:t>, 30(1), 50-57.</w:t>
      </w:r>
    </w:p>
    <w:p w14:paraId="1056B349" w14:textId="77777777" w:rsidR="00B12D02" w:rsidRPr="00634020" w:rsidRDefault="00B12D02" w:rsidP="00B12D02">
      <w:pPr>
        <w:spacing w:line="480" w:lineRule="auto"/>
        <w:ind w:left="567" w:hanging="567"/>
        <w:rPr>
          <w:sz w:val="24"/>
          <w:szCs w:val="24"/>
        </w:rPr>
      </w:pPr>
      <w:r w:rsidRPr="00634020">
        <w:rPr>
          <w:sz w:val="24"/>
          <w:szCs w:val="24"/>
        </w:rPr>
        <w:t xml:space="preserve">U.S. Geological Survey (2022). National Water Information System data available on the World Wide Web (USGS Water Data for the Nation), accessed July 11, 2022, at URL </w:t>
      </w:r>
      <w:hyperlink r:id="rId28" w:history="1">
        <w:r w:rsidRPr="00634020">
          <w:rPr>
            <w:rStyle w:val="Hyperlink"/>
            <w:i/>
            <w:iCs/>
            <w:color w:val="205C90"/>
            <w:sz w:val="24"/>
            <w:szCs w:val="24"/>
            <w:shd w:val="clear" w:color="auto" w:fill="FFFFFF"/>
          </w:rPr>
          <w:t>http://dx.doi.org/10.5066/F7P55KJN</w:t>
        </w:r>
      </w:hyperlink>
      <w:r w:rsidRPr="00634020">
        <w:rPr>
          <w:sz w:val="24"/>
          <w:szCs w:val="24"/>
        </w:rPr>
        <w:t>.</w:t>
      </w:r>
    </w:p>
    <w:p w14:paraId="6928B02A" w14:textId="77777777" w:rsidR="00B12D02" w:rsidRPr="00634020" w:rsidRDefault="00B12D02" w:rsidP="00B12D02">
      <w:pPr>
        <w:spacing w:line="480" w:lineRule="auto"/>
        <w:ind w:left="567" w:hanging="567"/>
        <w:rPr>
          <w:i/>
          <w:iCs/>
          <w:sz w:val="24"/>
          <w:szCs w:val="24"/>
        </w:rPr>
      </w:pPr>
      <w:r w:rsidRPr="00634020">
        <w:rPr>
          <w:sz w:val="24"/>
          <w:szCs w:val="24"/>
        </w:rPr>
        <w:t xml:space="preserve">U.S. Interagency Advisory Committee on Water Data, 1982, Guidelines for Determining Flood Flow Frequency, Bulletin No. 17B: </w:t>
      </w:r>
      <w:r w:rsidRPr="00634020">
        <w:rPr>
          <w:i/>
          <w:iCs/>
          <w:sz w:val="24"/>
          <w:szCs w:val="24"/>
        </w:rPr>
        <w:t>U.S. Office of Water Data Coordination, Reston, Virginia.</w:t>
      </w:r>
    </w:p>
    <w:p w14:paraId="58FB2162" w14:textId="77777777" w:rsidR="00B12D02" w:rsidRPr="00634020" w:rsidRDefault="00B12D02" w:rsidP="00B12D02">
      <w:pPr>
        <w:spacing w:line="480" w:lineRule="auto"/>
        <w:ind w:left="567" w:hanging="567"/>
        <w:rPr>
          <w:i/>
          <w:iCs/>
          <w:sz w:val="24"/>
          <w:szCs w:val="24"/>
        </w:rPr>
      </w:pPr>
      <w:r w:rsidRPr="00634020">
        <w:rPr>
          <w:sz w:val="24"/>
          <w:szCs w:val="24"/>
        </w:rPr>
        <w:t xml:space="preserve">U.S. Water Resources Council, 1976, Guidelines for Determining Flood Flow Frequency, Bulletin No. 17: </w:t>
      </w:r>
      <w:r w:rsidRPr="00634020">
        <w:rPr>
          <w:i/>
          <w:iCs/>
          <w:sz w:val="24"/>
          <w:szCs w:val="24"/>
        </w:rPr>
        <w:t>U.S. Water Resources Council, Subcommittee on Hydrology, Washington, D.C.</w:t>
      </w:r>
    </w:p>
    <w:p w14:paraId="353C9C8C" w14:textId="77777777" w:rsidR="00B12D02" w:rsidRPr="00634020" w:rsidRDefault="00B12D02" w:rsidP="00B12D02">
      <w:pPr>
        <w:spacing w:line="480" w:lineRule="auto"/>
        <w:ind w:left="567" w:hanging="567"/>
        <w:rPr>
          <w:sz w:val="24"/>
          <w:szCs w:val="24"/>
        </w:rPr>
      </w:pPr>
      <w:proofErr w:type="spellStart"/>
      <w:r w:rsidRPr="00634020">
        <w:rPr>
          <w:sz w:val="24"/>
          <w:szCs w:val="24"/>
        </w:rPr>
        <w:t>Villarini</w:t>
      </w:r>
      <w:proofErr w:type="spellEnd"/>
      <w:r w:rsidRPr="00634020">
        <w:rPr>
          <w:sz w:val="24"/>
          <w:szCs w:val="24"/>
        </w:rPr>
        <w:t xml:space="preserve">, G. (2016). On the seasonality of flooding across the continental United States. </w:t>
      </w:r>
      <w:r w:rsidRPr="00634020">
        <w:rPr>
          <w:i/>
          <w:iCs/>
          <w:sz w:val="24"/>
          <w:szCs w:val="24"/>
        </w:rPr>
        <w:t>Advances in Water Resources</w:t>
      </w:r>
      <w:r w:rsidRPr="00634020">
        <w:rPr>
          <w:sz w:val="24"/>
          <w:szCs w:val="24"/>
        </w:rPr>
        <w:t>, 87, 80-91.</w:t>
      </w:r>
    </w:p>
    <w:p w14:paraId="714E6892" w14:textId="77777777" w:rsidR="00B12D02" w:rsidRPr="00634020" w:rsidRDefault="00B12D02" w:rsidP="00B12D02">
      <w:pPr>
        <w:spacing w:line="480" w:lineRule="auto"/>
        <w:ind w:left="567" w:hanging="567"/>
        <w:rPr>
          <w:sz w:val="24"/>
          <w:szCs w:val="24"/>
        </w:rPr>
      </w:pPr>
      <w:proofErr w:type="spellStart"/>
      <w:r w:rsidRPr="00280E54">
        <w:rPr>
          <w:sz w:val="24"/>
          <w:szCs w:val="24"/>
        </w:rPr>
        <w:t>Villarini</w:t>
      </w:r>
      <w:proofErr w:type="spellEnd"/>
      <w:r w:rsidRPr="00280E54">
        <w:rPr>
          <w:sz w:val="24"/>
          <w:szCs w:val="24"/>
        </w:rPr>
        <w:t xml:space="preserve">, G., </w:t>
      </w:r>
      <w:proofErr w:type="spellStart"/>
      <w:r w:rsidRPr="00280E54">
        <w:rPr>
          <w:sz w:val="24"/>
          <w:szCs w:val="24"/>
        </w:rPr>
        <w:t>Goska</w:t>
      </w:r>
      <w:proofErr w:type="spellEnd"/>
      <w:r w:rsidRPr="00280E54">
        <w:rPr>
          <w:sz w:val="24"/>
          <w:szCs w:val="24"/>
        </w:rPr>
        <w:t xml:space="preserve">, R., Smith, J. A., &amp; </w:t>
      </w:r>
      <w:proofErr w:type="spellStart"/>
      <w:r w:rsidRPr="00280E54">
        <w:rPr>
          <w:sz w:val="24"/>
          <w:szCs w:val="24"/>
        </w:rPr>
        <w:t>Vecchi</w:t>
      </w:r>
      <w:proofErr w:type="spellEnd"/>
      <w:r w:rsidRPr="00280E54">
        <w:rPr>
          <w:sz w:val="24"/>
          <w:szCs w:val="24"/>
        </w:rPr>
        <w:t xml:space="preserve">, G. A. (2014). </w:t>
      </w:r>
      <w:r w:rsidRPr="00634020">
        <w:rPr>
          <w:sz w:val="24"/>
          <w:szCs w:val="24"/>
        </w:rPr>
        <w:t xml:space="preserve">North Atlantic tropical cyclones and US flooding. </w:t>
      </w:r>
      <w:r w:rsidRPr="00634020">
        <w:rPr>
          <w:i/>
          <w:iCs/>
          <w:sz w:val="24"/>
          <w:szCs w:val="24"/>
        </w:rPr>
        <w:t>Bulletin of the American Meteorological Society</w:t>
      </w:r>
      <w:r w:rsidRPr="00634020">
        <w:rPr>
          <w:sz w:val="24"/>
          <w:szCs w:val="24"/>
        </w:rPr>
        <w:t>, 95(9), 1381-1388.</w:t>
      </w:r>
    </w:p>
    <w:p w14:paraId="680E8E57" w14:textId="77777777" w:rsidR="00B12D02" w:rsidRPr="00634020" w:rsidRDefault="00B12D02" w:rsidP="00B12D02">
      <w:pPr>
        <w:spacing w:line="480" w:lineRule="auto"/>
        <w:ind w:left="567" w:hanging="567"/>
        <w:rPr>
          <w:sz w:val="24"/>
          <w:szCs w:val="24"/>
        </w:rPr>
      </w:pPr>
      <w:proofErr w:type="spellStart"/>
      <w:r w:rsidRPr="00634020">
        <w:rPr>
          <w:sz w:val="24"/>
          <w:szCs w:val="24"/>
        </w:rPr>
        <w:lastRenderedPageBreak/>
        <w:t>Villarini</w:t>
      </w:r>
      <w:proofErr w:type="spellEnd"/>
      <w:r w:rsidRPr="00634020">
        <w:rPr>
          <w:sz w:val="24"/>
          <w:szCs w:val="24"/>
        </w:rPr>
        <w:t xml:space="preserve">, G., &amp; Smith, J. A. (2010). Flood peak distributions for the eastern United States. </w:t>
      </w:r>
      <w:r w:rsidRPr="00634020">
        <w:rPr>
          <w:i/>
          <w:iCs/>
          <w:sz w:val="24"/>
          <w:szCs w:val="24"/>
        </w:rPr>
        <w:t>Water Resources Research</w:t>
      </w:r>
      <w:r w:rsidRPr="00634020">
        <w:rPr>
          <w:sz w:val="24"/>
          <w:szCs w:val="24"/>
        </w:rPr>
        <w:t>, 46(6).</w:t>
      </w:r>
    </w:p>
    <w:p w14:paraId="11778FA0" w14:textId="77777777" w:rsidR="00B12D02" w:rsidRPr="00634020" w:rsidRDefault="00B12D02" w:rsidP="00B12D02">
      <w:pPr>
        <w:spacing w:line="480" w:lineRule="auto"/>
        <w:ind w:left="567" w:hanging="567"/>
        <w:rPr>
          <w:sz w:val="24"/>
          <w:szCs w:val="24"/>
        </w:rPr>
      </w:pPr>
      <w:proofErr w:type="spellStart"/>
      <w:r w:rsidRPr="00634020">
        <w:rPr>
          <w:sz w:val="24"/>
          <w:szCs w:val="24"/>
        </w:rPr>
        <w:t>Villarini</w:t>
      </w:r>
      <w:proofErr w:type="spellEnd"/>
      <w:r w:rsidRPr="00634020">
        <w:rPr>
          <w:sz w:val="24"/>
          <w:szCs w:val="24"/>
        </w:rPr>
        <w:t xml:space="preserve">, G., &amp; Smith, J. A. (2013). Flooding in Texas: Examination of temporal changes and impacts of tropical cyclones. </w:t>
      </w:r>
      <w:r w:rsidRPr="00634020">
        <w:rPr>
          <w:i/>
          <w:iCs/>
          <w:sz w:val="24"/>
          <w:szCs w:val="24"/>
        </w:rPr>
        <w:t>JAWRA Journal of the American Water Resources Association</w:t>
      </w:r>
      <w:r w:rsidRPr="00634020">
        <w:rPr>
          <w:sz w:val="24"/>
          <w:szCs w:val="24"/>
        </w:rPr>
        <w:t>, 49(4), 825-837.</w:t>
      </w:r>
    </w:p>
    <w:p w14:paraId="32CDB5CE" w14:textId="77777777" w:rsidR="00B12D02" w:rsidRPr="00634020" w:rsidRDefault="00B12D02" w:rsidP="00B12D02">
      <w:pPr>
        <w:spacing w:line="480" w:lineRule="auto"/>
        <w:ind w:left="567" w:hanging="567"/>
        <w:rPr>
          <w:sz w:val="24"/>
          <w:szCs w:val="24"/>
        </w:rPr>
      </w:pPr>
      <w:r w:rsidRPr="00634020">
        <w:rPr>
          <w:sz w:val="24"/>
          <w:szCs w:val="24"/>
        </w:rPr>
        <w:t xml:space="preserve">Virginia Department of Transportation (2021). </w:t>
      </w:r>
      <w:r w:rsidRPr="00634020">
        <w:rPr>
          <w:i/>
          <w:iCs/>
          <w:sz w:val="24"/>
          <w:szCs w:val="24"/>
        </w:rPr>
        <w:t>Drainage Manual</w:t>
      </w:r>
      <w:r w:rsidRPr="00634020">
        <w:rPr>
          <w:sz w:val="24"/>
          <w:szCs w:val="24"/>
        </w:rPr>
        <w:t>. (</w:t>
      </w:r>
      <w:hyperlink r:id="rId29" w:history="1">
        <w:r w:rsidRPr="00634020">
          <w:rPr>
            <w:rStyle w:val="Hyperlink"/>
            <w:sz w:val="24"/>
            <w:szCs w:val="24"/>
          </w:rPr>
          <w:t>https://www.virginiadot.org/business/locdes/hydra-drainage-manual.asp</w:t>
        </w:r>
      </w:hyperlink>
      <w:r w:rsidRPr="00634020">
        <w:rPr>
          <w:sz w:val="24"/>
          <w:szCs w:val="24"/>
        </w:rPr>
        <w:t xml:space="preserve">) </w:t>
      </w:r>
    </w:p>
    <w:p w14:paraId="18C48105" w14:textId="77777777" w:rsidR="00B12D02" w:rsidRPr="00634020" w:rsidRDefault="00B12D02" w:rsidP="00B12D02">
      <w:pPr>
        <w:spacing w:line="480" w:lineRule="auto"/>
        <w:ind w:left="567" w:hanging="567"/>
        <w:rPr>
          <w:sz w:val="24"/>
          <w:szCs w:val="24"/>
        </w:rPr>
      </w:pPr>
      <w:r w:rsidRPr="00634020">
        <w:rPr>
          <w:sz w:val="24"/>
          <w:szCs w:val="24"/>
          <w:lang w:val="it-IT"/>
        </w:rPr>
        <w:t xml:space="preserve">Vogel, R. M., &amp; Castellarin, A. (2017). </w:t>
      </w:r>
      <w:r w:rsidRPr="00634020">
        <w:rPr>
          <w:sz w:val="24"/>
          <w:szCs w:val="24"/>
        </w:rPr>
        <w:t xml:space="preserve">Risk, reliability, and return periods and hydrologic design. In: </w:t>
      </w:r>
      <w:r w:rsidRPr="00634020">
        <w:rPr>
          <w:i/>
          <w:iCs/>
          <w:sz w:val="24"/>
          <w:szCs w:val="24"/>
        </w:rPr>
        <w:t>Handbook of Applied Hydrology</w:t>
      </w:r>
      <w:r w:rsidRPr="00634020">
        <w:rPr>
          <w:sz w:val="24"/>
          <w:szCs w:val="24"/>
        </w:rPr>
        <w:t>; Singh, VP, Ed.; McGraw-Hill Book Company: New York, NY, USA.</w:t>
      </w:r>
    </w:p>
    <w:p w14:paraId="459666D8" w14:textId="77777777" w:rsidR="00B12D02" w:rsidRPr="00634020" w:rsidRDefault="00B12D02" w:rsidP="00B12D02">
      <w:pPr>
        <w:spacing w:line="480" w:lineRule="auto"/>
        <w:ind w:left="567" w:hanging="567"/>
        <w:rPr>
          <w:sz w:val="24"/>
          <w:szCs w:val="24"/>
        </w:rPr>
      </w:pPr>
      <w:r w:rsidRPr="00634020">
        <w:rPr>
          <w:sz w:val="24"/>
          <w:szCs w:val="24"/>
        </w:rPr>
        <w:t xml:space="preserve">Wang, C. H., &amp; Holmes, J. D. (2020). Exceedance rate, exceedance probability, and the duality of GEV and GPD for extreme hazard analysis. </w:t>
      </w:r>
      <w:r w:rsidRPr="00634020">
        <w:rPr>
          <w:i/>
          <w:iCs/>
          <w:sz w:val="24"/>
          <w:szCs w:val="24"/>
        </w:rPr>
        <w:t>Natural Hazards</w:t>
      </w:r>
      <w:r w:rsidRPr="00634020">
        <w:rPr>
          <w:sz w:val="24"/>
          <w:szCs w:val="24"/>
        </w:rPr>
        <w:t>, 102, 1305-1321.</w:t>
      </w:r>
    </w:p>
    <w:p w14:paraId="35F457FE" w14:textId="77777777" w:rsidR="00B12D02" w:rsidRPr="00634020" w:rsidRDefault="00B12D02" w:rsidP="00B12D02">
      <w:pPr>
        <w:spacing w:line="480" w:lineRule="auto"/>
        <w:ind w:left="567" w:hanging="567"/>
        <w:rPr>
          <w:sz w:val="24"/>
          <w:szCs w:val="24"/>
        </w:rPr>
      </w:pPr>
      <w:r w:rsidRPr="00634020">
        <w:rPr>
          <w:sz w:val="24"/>
          <w:szCs w:val="24"/>
          <w:lang w:val="fr-FR"/>
        </w:rPr>
        <w:t xml:space="preserve">Wang, Q., Ma, Y., Zhao, K., &amp; Tian, Y. (2020). </w:t>
      </w:r>
      <w:r w:rsidRPr="00634020">
        <w:rPr>
          <w:sz w:val="24"/>
          <w:szCs w:val="24"/>
        </w:rPr>
        <w:t xml:space="preserve">A comprehensive survey of loss functions in machine learning. </w:t>
      </w:r>
      <w:r w:rsidRPr="00634020">
        <w:rPr>
          <w:i/>
          <w:iCs/>
          <w:sz w:val="24"/>
          <w:szCs w:val="24"/>
        </w:rPr>
        <w:t>Annals of Data Science</w:t>
      </w:r>
      <w:r w:rsidRPr="00634020">
        <w:rPr>
          <w:sz w:val="24"/>
          <w:szCs w:val="24"/>
        </w:rPr>
        <w:t>, 1-26.</w:t>
      </w:r>
    </w:p>
    <w:p w14:paraId="79E077D9" w14:textId="77777777" w:rsidR="00B12D02" w:rsidRPr="00634020" w:rsidRDefault="00B12D02" w:rsidP="00B12D02">
      <w:pPr>
        <w:spacing w:line="480" w:lineRule="auto"/>
        <w:ind w:left="567" w:hanging="567"/>
        <w:rPr>
          <w:sz w:val="24"/>
          <w:szCs w:val="24"/>
        </w:rPr>
      </w:pPr>
      <w:r w:rsidRPr="00634020">
        <w:rPr>
          <w:sz w:val="24"/>
          <w:szCs w:val="24"/>
        </w:rPr>
        <w:t xml:space="preserve">Weaver, S. J., Baxter, S., &amp; Kumar, A. (2012). Climatic role of North American low-level jets on US regional tornado activity. </w:t>
      </w:r>
      <w:r w:rsidRPr="00634020">
        <w:rPr>
          <w:i/>
          <w:iCs/>
          <w:sz w:val="24"/>
          <w:szCs w:val="24"/>
        </w:rPr>
        <w:t>Journal of Climate</w:t>
      </w:r>
      <w:r w:rsidRPr="00634020">
        <w:rPr>
          <w:sz w:val="24"/>
          <w:szCs w:val="24"/>
        </w:rPr>
        <w:t>, 25(19), 6666-6683.</w:t>
      </w:r>
    </w:p>
    <w:p w14:paraId="3362B219" w14:textId="77777777" w:rsidR="00B12D02" w:rsidRPr="00634020" w:rsidRDefault="00B12D02" w:rsidP="00B12D02">
      <w:pPr>
        <w:spacing w:line="480" w:lineRule="auto"/>
        <w:ind w:left="567" w:hanging="567"/>
        <w:rPr>
          <w:sz w:val="24"/>
          <w:szCs w:val="24"/>
        </w:rPr>
      </w:pPr>
      <w:r w:rsidRPr="00634020">
        <w:rPr>
          <w:sz w:val="24"/>
          <w:szCs w:val="24"/>
        </w:rPr>
        <w:t xml:space="preserve">Wohl, E., Lane, S. N., &amp; Wilcox, A. C. (2015). The science and practice of river restoration. </w:t>
      </w:r>
      <w:r w:rsidRPr="00634020">
        <w:rPr>
          <w:i/>
          <w:iCs/>
          <w:sz w:val="24"/>
          <w:szCs w:val="24"/>
        </w:rPr>
        <w:t>Water Resources Research</w:t>
      </w:r>
      <w:r w:rsidRPr="00634020">
        <w:rPr>
          <w:sz w:val="24"/>
          <w:szCs w:val="24"/>
        </w:rPr>
        <w:t>, 51(8), 5974-5997.</w:t>
      </w:r>
    </w:p>
    <w:p w14:paraId="6C574312" w14:textId="77777777" w:rsidR="00B12D02" w:rsidRPr="00634020" w:rsidRDefault="00B12D02" w:rsidP="00B12D02">
      <w:pPr>
        <w:spacing w:line="480" w:lineRule="auto"/>
        <w:ind w:left="567" w:hanging="567"/>
        <w:rPr>
          <w:sz w:val="24"/>
          <w:szCs w:val="24"/>
        </w:rPr>
      </w:pPr>
      <w:r w:rsidRPr="00634020">
        <w:rPr>
          <w:sz w:val="24"/>
          <w:szCs w:val="24"/>
        </w:rPr>
        <w:t xml:space="preserve">Wolman, M. G., &amp; Miller, J. P. (1960). Magnitude and frequency of forces in geomorphic processes. </w:t>
      </w:r>
      <w:r w:rsidRPr="00634020">
        <w:rPr>
          <w:i/>
          <w:iCs/>
          <w:sz w:val="24"/>
          <w:szCs w:val="24"/>
        </w:rPr>
        <w:t>The Journal of Geology</w:t>
      </w:r>
      <w:r w:rsidRPr="00634020">
        <w:rPr>
          <w:sz w:val="24"/>
          <w:szCs w:val="24"/>
        </w:rPr>
        <w:t>, 68(1), 54-74.</w:t>
      </w:r>
    </w:p>
    <w:p w14:paraId="6AB4E925" w14:textId="77777777" w:rsidR="00B12D02" w:rsidRPr="00634020" w:rsidRDefault="00B12D02" w:rsidP="00B12D02">
      <w:pPr>
        <w:spacing w:line="480" w:lineRule="auto"/>
        <w:ind w:left="567" w:hanging="567"/>
        <w:rPr>
          <w:sz w:val="24"/>
          <w:szCs w:val="24"/>
        </w:rPr>
      </w:pPr>
      <w:proofErr w:type="spellStart"/>
      <w:r w:rsidRPr="00634020">
        <w:rPr>
          <w:sz w:val="24"/>
          <w:szCs w:val="24"/>
        </w:rPr>
        <w:t>Wyżga</w:t>
      </w:r>
      <w:proofErr w:type="spellEnd"/>
      <w:r w:rsidRPr="00634020">
        <w:rPr>
          <w:sz w:val="24"/>
          <w:szCs w:val="24"/>
        </w:rPr>
        <w:t xml:space="preserve">, B. (1995). Evaluating the occurrence of low magnitude floods: a study of the reliability of the annual maximum series method. </w:t>
      </w:r>
      <w:proofErr w:type="spellStart"/>
      <w:r w:rsidRPr="00634020">
        <w:rPr>
          <w:i/>
          <w:iCs/>
          <w:sz w:val="24"/>
          <w:szCs w:val="24"/>
        </w:rPr>
        <w:t>Geografiska</w:t>
      </w:r>
      <w:proofErr w:type="spellEnd"/>
      <w:r w:rsidRPr="00634020">
        <w:rPr>
          <w:i/>
          <w:iCs/>
          <w:sz w:val="24"/>
          <w:szCs w:val="24"/>
        </w:rPr>
        <w:t xml:space="preserve"> </w:t>
      </w:r>
      <w:proofErr w:type="spellStart"/>
      <w:r w:rsidRPr="00634020">
        <w:rPr>
          <w:i/>
          <w:iCs/>
          <w:sz w:val="24"/>
          <w:szCs w:val="24"/>
        </w:rPr>
        <w:t>Annaler</w:t>
      </w:r>
      <w:proofErr w:type="spellEnd"/>
      <w:r w:rsidRPr="00634020">
        <w:rPr>
          <w:sz w:val="24"/>
          <w:szCs w:val="24"/>
        </w:rPr>
        <w:t>. Series A. Physical geography, 23-33.</w:t>
      </w:r>
    </w:p>
    <w:p w14:paraId="396127F4" w14:textId="77777777" w:rsidR="00B12D02" w:rsidRPr="00634020" w:rsidRDefault="00B12D02" w:rsidP="00B12D02">
      <w:pPr>
        <w:spacing w:line="480" w:lineRule="auto"/>
        <w:ind w:left="567" w:hanging="567"/>
        <w:rPr>
          <w:sz w:val="24"/>
          <w:szCs w:val="24"/>
        </w:rPr>
      </w:pPr>
      <w:r w:rsidRPr="00634020">
        <w:rPr>
          <w:sz w:val="24"/>
          <w:szCs w:val="24"/>
        </w:rPr>
        <w:lastRenderedPageBreak/>
        <w:t xml:space="preserve">Zaman, M. A., Rahman, A., &amp; Haddad, K. (2012). Regional flood frequency analysis in arid regions: A case study for Australia. </w:t>
      </w:r>
      <w:r w:rsidRPr="00634020">
        <w:rPr>
          <w:i/>
          <w:iCs/>
          <w:sz w:val="24"/>
          <w:szCs w:val="24"/>
        </w:rPr>
        <w:t>Journal of Hydrology</w:t>
      </w:r>
      <w:r w:rsidRPr="00634020">
        <w:rPr>
          <w:sz w:val="24"/>
          <w:szCs w:val="24"/>
        </w:rPr>
        <w:t>, 475, 74-83.</w:t>
      </w:r>
    </w:p>
    <w:p w14:paraId="5F468A9D" w14:textId="77777777" w:rsidR="00B12D02" w:rsidRPr="00634020" w:rsidRDefault="00B12D02" w:rsidP="00B12D02">
      <w:pPr>
        <w:spacing w:line="480" w:lineRule="auto"/>
        <w:ind w:left="567" w:hanging="567"/>
        <w:rPr>
          <w:sz w:val="24"/>
          <w:szCs w:val="24"/>
        </w:rPr>
      </w:pPr>
      <w:proofErr w:type="spellStart"/>
      <w:r w:rsidRPr="00634020">
        <w:rPr>
          <w:sz w:val="24"/>
          <w:szCs w:val="24"/>
        </w:rPr>
        <w:t>Zrinji</w:t>
      </w:r>
      <w:proofErr w:type="spellEnd"/>
      <w:r w:rsidRPr="00634020">
        <w:rPr>
          <w:sz w:val="24"/>
          <w:szCs w:val="24"/>
        </w:rPr>
        <w:t xml:space="preserve">, Z., &amp; Burn, D. H. (1994). Flood frequency analysis for ungauged sites using a region of influence approach. </w:t>
      </w:r>
      <w:r w:rsidRPr="00634020">
        <w:rPr>
          <w:i/>
          <w:iCs/>
          <w:sz w:val="24"/>
          <w:szCs w:val="24"/>
        </w:rPr>
        <w:t>Journal of Hydrology</w:t>
      </w:r>
      <w:r w:rsidRPr="00634020">
        <w:rPr>
          <w:sz w:val="24"/>
          <w:szCs w:val="24"/>
        </w:rPr>
        <w:t>, 153(1-4), 1-21.</w:t>
      </w:r>
    </w:p>
    <w:p w14:paraId="7BE1AEEB"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t> </w:t>
      </w:r>
    </w:p>
    <w:sectPr w:rsidR="00995CAA" w:rsidRPr="00995CAA"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2671E" w14:textId="77777777" w:rsidR="00BC0065" w:rsidRDefault="00BC0065" w:rsidP="000379AB">
      <w:r>
        <w:separator/>
      </w:r>
    </w:p>
  </w:endnote>
  <w:endnote w:type="continuationSeparator" w:id="0">
    <w:p w14:paraId="3BE142B9" w14:textId="77777777" w:rsidR="00BC0065" w:rsidRDefault="00BC0065"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3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B6616" w14:textId="77777777" w:rsidR="00BC0065" w:rsidRDefault="00BC0065" w:rsidP="000379AB">
      <w:r>
        <w:separator/>
      </w:r>
    </w:p>
  </w:footnote>
  <w:footnote w:type="continuationSeparator" w:id="0">
    <w:p w14:paraId="0A66EEF3" w14:textId="77777777" w:rsidR="00BC0065" w:rsidRDefault="00BC0065"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5A6A0E37" w:rsidR="00DD6745" w:rsidRDefault="00DD6745" w:rsidP="007778ED">
    <w:pPr>
      <w:pStyle w:val="Header"/>
      <w:jc w:val="center"/>
    </w:pPr>
    <w:r>
      <w:t xml:space="preserve">manuscript submitted to </w:t>
    </w:r>
    <w:r w:rsidR="0074667D">
      <w:rPr>
        <w:i/>
      </w:rPr>
      <w:t>Water Resources Research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14952A5"/>
    <w:multiLevelType w:val="multilevel"/>
    <w:tmpl w:val="CD7A74C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Sezione2"/>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A6A0396"/>
    <w:multiLevelType w:val="hybridMultilevel"/>
    <w:tmpl w:val="0A329E4A"/>
    <w:lvl w:ilvl="0" w:tplc="FE243548">
      <w:start w:val="1"/>
      <w:numFmt w:val="bullet"/>
      <w:pStyle w:val="ListBullet"/>
      <w:lvlText w:val=""/>
      <w:lvlJc w:val="left"/>
      <w:pPr>
        <w:tabs>
          <w:tab w:val="num" w:pos="794"/>
        </w:tabs>
        <w:ind w:left="794" w:hanging="369"/>
      </w:pPr>
      <w:rPr>
        <w:rFonts w:ascii="Symbol" w:hAnsi="Symbol" w:hint="default"/>
      </w:rPr>
    </w:lvl>
    <w:lvl w:ilvl="1" w:tplc="14541BD6">
      <w:start w:val="1"/>
      <w:numFmt w:val="bullet"/>
      <w:lvlText w:val="o"/>
      <w:lvlJc w:val="left"/>
      <w:pPr>
        <w:tabs>
          <w:tab w:val="num" w:pos="1440"/>
        </w:tabs>
        <w:ind w:left="1440" w:hanging="360"/>
      </w:pPr>
      <w:rPr>
        <w:rFonts w:ascii="Courier New" w:hAnsi="Courier New" w:cs="Times New Roman" w:hint="default"/>
      </w:rPr>
    </w:lvl>
    <w:lvl w:ilvl="2" w:tplc="32F2D03A">
      <w:start w:val="1"/>
      <w:numFmt w:val="bullet"/>
      <w:lvlText w:val=""/>
      <w:lvlJc w:val="left"/>
      <w:pPr>
        <w:tabs>
          <w:tab w:val="num" w:pos="2160"/>
        </w:tabs>
        <w:ind w:left="2160" w:hanging="360"/>
      </w:pPr>
      <w:rPr>
        <w:rFonts w:ascii="Wingdings" w:hAnsi="Wingdings" w:hint="default"/>
      </w:rPr>
    </w:lvl>
    <w:lvl w:ilvl="3" w:tplc="E7682E38">
      <w:start w:val="1"/>
      <w:numFmt w:val="bullet"/>
      <w:lvlText w:val=""/>
      <w:lvlJc w:val="left"/>
      <w:pPr>
        <w:tabs>
          <w:tab w:val="num" w:pos="2880"/>
        </w:tabs>
        <w:ind w:left="2880" w:hanging="360"/>
      </w:pPr>
      <w:rPr>
        <w:rFonts w:ascii="Symbol" w:hAnsi="Symbol" w:hint="default"/>
      </w:rPr>
    </w:lvl>
    <w:lvl w:ilvl="4" w:tplc="65E46C42">
      <w:start w:val="1"/>
      <w:numFmt w:val="bullet"/>
      <w:lvlText w:val="o"/>
      <w:lvlJc w:val="left"/>
      <w:pPr>
        <w:tabs>
          <w:tab w:val="num" w:pos="3600"/>
        </w:tabs>
        <w:ind w:left="3600" w:hanging="360"/>
      </w:pPr>
      <w:rPr>
        <w:rFonts w:ascii="Courier New" w:hAnsi="Courier New" w:cs="Times New Roman" w:hint="default"/>
      </w:rPr>
    </w:lvl>
    <w:lvl w:ilvl="5" w:tplc="B3F20102">
      <w:start w:val="1"/>
      <w:numFmt w:val="bullet"/>
      <w:lvlText w:val=""/>
      <w:lvlJc w:val="left"/>
      <w:pPr>
        <w:tabs>
          <w:tab w:val="num" w:pos="4320"/>
        </w:tabs>
        <w:ind w:left="4320" w:hanging="360"/>
      </w:pPr>
      <w:rPr>
        <w:rFonts w:ascii="Wingdings" w:hAnsi="Wingdings" w:hint="default"/>
      </w:rPr>
    </w:lvl>
    <w:lvl w:ilvl="6" w:tplc="EB523EA2">
      <w:start w:val="1"/>
      <w:numFmt w:val="bullet"/>
      <w:lvlText w:val=""/>
      <w:lvlJc w:val="left"/>
      <w:pPr>
        <w:tabs>
          <w:tab w:val="num" w:pos="5040"/>
        </w:tabs>
        <w:ind w:left="5040" w:hanging="360"/>
      </w:pPr>
      <w:rPr>
        <w:rFonts w:ascii="Symbol" w:hAnsi="Symbol" w:hint="default"/>
      </w:rPr>
    </w:lvl>
    <w:lvl w:ilvl="7" w:tplc="2AD8EE92">
      <w:start w:val="1"/>
      <w:numFmt w:val="bullet"/>
      <w:lvlText w:val="o"/>
      <w:lvlJc w:val="left"/>
      <w:pPr>
        <w:tabs>
          <w:tab w:val="num" w:pos="5760"/>
        </w:tabs>
        <w:ind w:left="5760" w:hanging="360"/>
      </w:pPr>
      <w:rPr>
        <w:rFonts w:ascii="Courier New" w:hAnsi="Courier New" w:cs="Times New Roman" w:hint="default"/>
      </w:rPr>
    </w:lvl>
    <w:lvl w:ilvl="8" w:tplc="0B040050">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8448D8"/>
    <w:multiLevelType w:val="hybridMultilevel"/>
    <w:tmpl w:val="E2BCDA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661DE5"/>
    <w:multiLevelType w:val="hybridMultilevel"/>
    <w:tmpl w:val="0B6C6E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57162E"/>
    <w:multiLevelType w:val="hybridMultilevel"/>
    <w:tmpl w:val="21D42E98"/>
    <w:lvl w:ilvl="0" w:tplc="04100017">
      <w:start w:val="1"/>
      <w:numFmt w:val="upperLetter"/>
      <w:pStyle w:val="Appendice"/>
      <w:lvlText w:val="Appendice %1."/>
      <w:lvlJc w:val="left"/>
      <w:pPr>
        <w:tabs>
          <w:tab w:val="num" w:pos="720"/>
        </w:tabs>
        <w:ind w:left="720" w:hanging="720"/>
      </w:p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lvl>
    <w:lvl w:ilvl="4" w:tplc="04100019">
      <w:start w:val="1"/>
      <w:numFmt w:val="lowerLetter"/>
      <w:lvlText w:val="%5."/>
      <w:lvlJc w:val="left"/>
      <w:pPr>
        <w:tabs>
          <w:tab w:val="num" w:pos="3600"/>
        </w:tabs>
        <w:ind w:left="3600" w:hanging="360"/>
      </w:pPr>
    </w:lvl>
    <w:lvl w:ilvl="5" w:tplc="0410001B">
      <w:start w:val="1"/>
      <w:numFmt w:val="lowerRoman"/>
      <w:lvlText w:val="%6."/>
      <w:lvlJc w:val="right"/>
      <w:pPr>
        <w:tabs>
          <w:tab w:val="num" w:pos="4320"/>
        </w:tabs>
        <w:ind w:left="4320" w:hanging="180"/>
      </w:pPr>
    </w:lvl>
    <w:lvl w:ilvl="6" w:tplc="0410000F">
      <w:start w:val="1"/>
      <w:numFmt w:val="decimal"/>
      <w:lvlText w:val="%7."/>
      <w:lvlJc w:val="left"/>
      <w:pPr>
        <w:tabs>
          <w:tab w:val="num" w:pos="5040"/>
        </w:tabs>
        <w:ind w:left="5040" w:hanging="360"/>
      </w:pPr>
    </w:lvl>
    <w:lvl w:ilvl="7" w:tplc="04100019">
      <w:start w:val="1"/>
      <w:numFmt w:val="lowerLetter"/>
      <w:lvlText w:val="%8."/>
      <w:lvlJc w:val="left"/>
      <w:pPr>
        <w:tabs>
          <w:tab w:val="num" w:pos="5760"/>
        </w:tabs>
        <w:ind w:left="5760" w:hanging="360"/>
      </w:pPr>
    </w:lvl>
    <w:lvl w:ilvl="8" w:tplc="0410001B">
      <w:start w:val="1"/>
      <w:numFmt w:val="lowerRoman"/>
      <w:lvlText w:val="%9."/>
      <w:lvlJc w:val="right"/>
      <w:pPr>
        <w:tabs>
          <w:tab w:val="num" w:pos="6480"/>
        </w:tabs>
        <w:ind w:left="6480" w:hanging="180"/>
      </w:pPr>
    </w:lvl>
  </w:abstractNum>
  <w:abstractNum w:abstractNumId="9" w15:restartNumberingAfterBreak="0">
    <w:nsid w:val="2E37430D"/>
    <w:multiLevelType w:val="multilevel"/>
    <w:tmpl w:val="1CB82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06E1F97"/>
    <w:multiLevelType w:val="hybridMultilevel"/>
    <w:tmpl w:val="2820A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B53F0D"/>
    <w:multiLevelType w:val="multilevel"/>
    <w:tmpl w:val="8958653C"/>
    <w:lvl w:ilvl="0">
      <w:start w:val="1"/>
      <w:numFmt w:val="decimal"/>
      <w:lvlText w:val="%1."/>
      <w:lvlJc w:val="left"/>
      <w:pPr>
        <w:ind w:left="720" w:hanging="360"/>
      </w:pPr>
      <w:rPr>
        <w:rFonts w:hint="default"/>
      </w:rPr>
    </w:lvl>
    <w:lvl w:ilvl="1">
      <w:start w:val="1"/>
      <w:numFmt w:val="decimal"/>
      <w:pStyle w:val="headingpaper3"/>
      <w:isLgl/>
      <w:lvlText w:val="%1.%2."/>
      <w:lvlJc w:val="left"/>
      <w:pPr>
        <w:ind w:left="360" w:hanging="360"/>
      </w:pPr>
      <w:rPr>
        <w:rFonts w:hint="default"/>
        <w:lang w:val="en-G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5942057"/>
    <w:multiLevelType w:val="singleLevel"/>
    <w:tmpl w:val="4FD613EC"/>
    <w:lvl w:ilvl="0">
      <w:start w:val="1"/>
      <w:numFmt w:val="decimal"/>
      <w:pStyle w:val="Titolo1doposommario"/>
      <w:lvlText w:val="%1"/>
      <w:lvlJc w:val="left"/>
      <w:pPr>
        <w:tabs>
          <w:tab w:val="num" w:pos="360"/>
        </w:tabs>
        <w:ind w:left="360" w:hanging="360"/>
      </w:pPr>
    </w:lvl>
  </w:abstractNum>
  <w:abstractNum w:abstractNumId="14" w15:restartNumberingAfterBreak="0">
    <w:nsid w:val="37D77745"/>
    <w:multiLevelType w:val="hybridMultilevel"/>
    <w:tmpl w:val="B15C9D3E"/>
    <w:lvl w:ilvl="0" w:tplc="04100001">
      <w:start w:val="1"/>
      <w:numFmt w:val="bullet"/>
      <w:lvlText w:val=""/>
      <w:lvlJc w:val="left"/>
      <w:pPr>
        <w:ind w:left="1287" w:hanging="360"/>
      </w:pPr>
      <w:rPr>
        <w:rFonts w:ascii="Symbol" w:hAnsi="Symbol" w:hint="default"/>
      </w:rPr>
    </w:lvl>
    <w:lvl w:ilvl="1" w:tplc="04100003">
      <w:start w:val="1"/>
      <w:numFmt w:val="bullet"/>
      <w:lvlText w:val="o"/>
      <w:lvlJc w:val="left"/>
      <w:pPr>
        <w:ind w:left="2007" w:hanging="360"/>
      </w:pPr>
      <w:rPr>
        <w:rFonts w:ascii="Courier New" w:hAnsi="Courier New" w:cs="Courier New" w:hint="default"/>
      </w:rPr>
    </w:lvl>
    <w:lvl w:ilvl="2" w:tplc="04100005">
      <w:start w:val="1"/>
      <w:numFmt w:val="bullet"/>
      <w:lvlText w:val=""/>
      <w:lvlJc w:val="left"/>
      <w:pPr>
        <w:ind w:left="2727" w:hanging="360"/>
      </w:pPr>
      <w:rPr>
        <w:rFonts w:ascii="Wingdings" w:hAnsi="Wingdings" w:hint="default"/>
      </w:rPr>
    </w:lvl>
    <w:lvl w:ilvl="3" w:tplc="04100001">
      <w:start w:val="1"/>
      <w:numFmt w:val="bullet"/>
      <w:lvlText w:val=""/>
      <w:lvlJc w:val="left"/>
      <w:pPr>
        <w:ind w:left="3447" w:hanging="360"/>
      </w:pPr>
      <w:rPr>
        <w:rFonts w:ascii="Symbol" w:hAnsi="Symbol" w:hint="default"/>
      </w:rPr>
    </w:lvl>
    <w:lvl w:ilvl="4" w:tplc="04100003">
      <w:start w:val="1"/>
      <w:numFmt w:val="bullet"/>
      <w:lvlText w:val="o"/>
      <w:lvlJc w:val="left"/>
      <w:pPr>
        <w:ind w:left="4167" w:hanging="360"/>
      </w:pPr>
      <w:rPr>
        <w:rFonts w:ascii="Courier New" w:hAnsi="Courier New" w:cs="Courier New" w:hint="default"/>
      </w:rPr>
    </w:lvl>
    <w:lvl w:ilvl="5" w:tplc="04100005">
      <w:start w:val="1"/>
      <w:numFmt w:val="bullet"/>
      <w:lvlText w:val=""/>
      <w:lvlJc w:val="left"/>
      <w:pPr>
        <w:ind w:left="4887" w:hanging="360"/>
      </w:pPr>
      <w:rPr>
        <w:rFonts w:ascii="Wingdings" w:hAnsi="Wingdings" w:hint="default"/>
      </w:rPr>
    </w:lvl>
    <w:lvl w:ilvl="6" w:tplc="04100001">
      <w:start w:val="1"/>
      <w:numFmt w:val="bullet"/>
      <w:lvlText w:val=""/>
      <w:lvlJc w:val="left"/>
      <w:pPr>
        <w:ind w:left="5607" w:hanging="360"/>
      </w:pPr>
      <w:rPr>
        <w:rFonts w:ascii="Symbol" w:hAnsi="Symbol" w:hint="default"/>
      </w:rPr>
    </w:lvl>
    <w:lvl w:ilvl="7" w:tplc="04100003">
      <w:start w:val="1"/>
      <w:numFmt w:val="bullet"/>
      <w:lvlText w:val="o"/>
      <w:lvlJc w:val="left"/>
      <w:pPr>
        <w:ind w:left="6327" w:hanging="360"/>
      </w:pPr>
      <w:rPr>
        <w:rFonts w:ascii="Courier New" w:hAnsi="Courier New" w:cs="Courier New" w:hint="default"/>
      </w:rPr>
    </w:lvl>
    <w:lvl w:ilvl="8" w:tplc="04100005">
      <w:start w:val="1"/>
      <w:numFmt w:val="bullet"/>
      <w:lvlText w:val=""/>
      <w:lvlJc w:val="left"/>
      <w:pPr>
        <w:ind w:left="7047" w:hanging="360"/>
      </w:pPr>
      <w:rPr>
        <w:rFonts w:ascii="Wingdings" w:hAnsi="Wingdings" w:hint="default"/>
      </w:rPr>
    </w:lvl>
  </w:abstractNum>
  <w:abstractNum w:abstractNumId="1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A40EA0"/>
    <w:multiLevelType w:val="hybridMultilevel"/>
    <w:tmpl w:val="88F24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A5867F4"/>
    <w:multiLevelType w:val="hybridMultilevel"/>
    <w:tmpl w:val="A314AF66"/>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9" w15:restartNumberingAfterBreak="0">
    <w:nsid w:val="4C163BF0"/>
    <w:multiLevelType w:val="hybridMultilevel"/>
    <w:tmpl w:val="F8DA6BAA"/>
    <w:lvl w:ilvl="0" w:tplc="FB00FAA4">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5283325A"/>
    <w:multiLevelType w:val="hybridMultilevel"/>
    <w:tmpl w:val="5E1A7B64"/>
    <w:lvl w:ilvl="0" w:tplc="AAB21F4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5AC050F7"/>
    <w:multiLevelType w:val="multilevel"/>
    <w:tmpl w:val="FAD463E2"/>
    <w:styleLink w:val="Stile3"/>
    <w:lvl w:ilvl="0">
      <w:start w:val="1"/>
      <w:numFmt w:val="decimal"/>
      <w:lvlText w:val="%1."/>
      <w:lvlJc w:val="left"/>
      <w:pPr>
        <w:tabs>
          <w:tab w:val="num" w:pos="863"/>
        </w:tabs>
        <w:ind w:left="863" w:hanging="432"/>
      </w:pPr>
    </w:lvl>
    <w:lvl w:ilvl="1">
      <w:start w:val="1"/>
      <w:numFmt w:val="decimal"/>
      <w:lvlText w:val="%1.%2"/>
      <w:lvlJc w:val="left"/>
      <w:pPr>
        <w:tabs>
          <w:tab w:val="num" w:pos="1007"/>
        </w:tabs>
        <w:ind w:left="1007" w:hanging="576"/>
      </w:pPr>
    </w:lvl>
    <w:lvl w:ilvl="2">
      <w:start w:val="1"/>
      <w:numFmt w:val="decimal"/>
      <w:lvlText w:val="%1.%2.%3"/>
      <w:lvlJc w:val="left"/>
      <w:pPr>
        <w:tabs>
          <w:tab w:val="num" w:pos="1151"/>
        </w:tabs>
        <w:ind w:left="1151" w:hanging="720"/>
      </w:pPr>
    </w:lvl>
    <w:lvl w:ilvl="3">
      <w:start w:val="1"/>
      <w:numFmt w:val="decimal"/>
      <w:lvlText w:val="%1.%2.%3.%4"/>
      <w:lvlJc w:val="left"/>
      <w:pPr>
        <w:tabs>
          <w:tab w:val="num" w:pos="1295"/>
        </w:tabs>
        <w:ind w:left="1295" w:hanging="864"/>
      </w:pPr>
      <w:rPr>
        <w:b w:val="0"/>
        <w:i w:val="0"/>
        <w:sz w:val="20"/>
        <w:szCs w:val="20"/>
      </w:rPr>
    </w:lvl>
    <w:lvl w:ilvl="4">
      <w:start w:val="1"/>
      <w:numFmt w:val="decimal"/>
      <w:lvlText w:val="%1.%2.%3.%4.%5"/>
      <w:lvlJc w:val="left"/>
      <w:pPr>
        <w:tabs>
          <w:tab w:val="num" w:pos="1439"/>
        </w:tabs>
        <w:ind w:left="1439" w:hanging="1008"/>
      </w:pPr>
    </w:lvl>
    <w:lvl w:ilvl="5">
      <w:start w:val="1"/>
      <w:numFmt w:val="decimal"/>
      <w:lvlText w:val="%1.%2.%3.%4.%5.%6"/>
      <w:lvlJc w:val="left"/>
      <w:pPr>
        <w:tabs>
          <w:tab w:val="num" w:pos="1583"/>
        </w:tabs>
        <w:ind w:left="1583" w:hanging="1152"/>
      </w:pPr>
    </w:lvl>
    <w:lvl w:ilvl="6">
      <w:start w:val="1"/>
      <w:numFmt w:val="decimal"/>
      <w:lvlText w:val="%1.%2.%3.%4.%5.%6.%7"/>
      <w:lvlJc w:val="left"/>
      <w:pPr>
        <w:tabs>
          <w:tab w:val="num" w:pos="1727"/>
        </w:tabs>
        <w:ind w:left="1727" w:hanging="1296"/>
      </w:pPr>
    </w:lvl>
    <w:lvl w:ilvl="7">
      <w:start w:val="1"/>
      <w:numFmt w:val="decimal"/>
      <w:lvlText w:val="%1.%2.%3.%4.%5.%6.%7.%8"/>
      <w:lvlJc w:val="left"/>
      <w:pPr>
        <w:tabs>
          <w:tab w:val="num" w:pos="1871"/>
        </w:tabs>
        <w:ind w:left="1871" w:hanging="1440"/>
      </w:pPr>
    </w:lvl>
    <w:lvl w:ilvl="8">
      <w:start w:val="1"/>
      <w:numFmt w:val="decimal"/>
      <w:lvlText w:val="%1.%2.%3.%4.%5.%6.%7.%8.%9"/>
      <w:lvlJc w:val="left"/>
      <w:pPr>
        <w:tabs>
          <w:tab w:val="num" w:pos="2015"/>
        </w:tabs>
        <w:ind w:left="2015" w:hanging="1584"/>
      </w:pPr>
    </w:lvl>
  </w:abstractNum>
  <w:abstractNum w:abstractNumId="23"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6B75600"/>
    <w:multiLevelType w:val="singleLevel"/>
    <w:tmpl w:val="EBBC44FA"/>
    <w:lvl w:ilvl="0">
      <w:start w:val="1"/>
      <w:numFmt w:val="bullet"/>
      <w:pStyle w:val="Risultato"/>
      <w:lvlText w:val=""/>
      <w:lvlJc w:val="left"/>
      <w:pPr>
        <w:tabs>
          <w:tab w:val="num" w:pos="360"/>
        </w:tabs>
        <w:ind w:left="245" w:hanging="245"/>
      </w:pPr>
      <w:rPr>
        <w:rFonts w:ascii="Wingdings" w:hAnsi="Wingdings" w:hint="default"/>
      </w:rPr>
    </w:lvl>
  </w:abstractNum>
  <w:abstractNum w:abstractNumId="27" w15:restartNumberingAfterBreak="0">
    <w:nsid w:val="69510739"/>
    <w:multiLevelType w:val="hybridMultilevel"/>
    <w:tmpl w:val="501CB1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BC0D97"/>
    <w:multiLevelType w:val="hybridMultilevel"/>
    <w:tmpl w:val="707834FA"/>
    <w:lvl w:ilvl="0" w:tplc="F064B20E">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30" w15:restartNumberingAfterBreak="0">
    <w:nsid w:val="77C808EF"/>
    <w:multiLevelType w:val="hybridMultilevel"/>
    <w:tmpl w:val="36CA6E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3"/>
  </w:num>
  <w:num w:numId="2" w16cid:durableId="906064874">
    <w:abstractNumId w:val="2"/>
  </w:num>
  <w:num w:numId="3" w16cid:durableId="124200908">
    <w:abstractNumId w:val="29"/>
  </w:num>
  <w:num w:numId="4" w16cid:durableId="983047291">
    <w:abstractNumId w:val="15"/>
  </w:num>
  <w:num w:numId="5" w16cid:durableId="1416437152">
    <w:abstractNumId w:val="17"/>
  </w:num>
  <w:num w:numId="6" w16cid:durableId="25494253">
    <w:abstractNumId w:val="23"/>
  </w:num>
  <w:num w:numId="7" w16cid:durableId="119541995">
    <w:abstractNumId w:val="24"/>
  </w:num>
  <w:num w:numId="8" w16cid:durableId="1958756824">
    <w:abstractNumId w:val="25"/>
  </w:num>
  <w:num w:numId="9" w16cid:durableId="928124450">
    <w:abstractNumId w:val="6"/>
  </w:num>
  <w:num w:numId="10" w16cid:durableId="1962152298">
    <w:abstractNumId w:val="20"/>
  </w:num>
  <w:num w:numId="11" w16cid:durableId="17976862">
    <w:abstractNumId w:val="10"/>
  </w:num>
  <w:num w:numId="12" w16cid:durableId="1237283164">
    <w:abstractNumId w:val="31"/>
  </w:num>
  <w:num w:numId="13" w16cid:durableId="439767255">
    <w:abstractNumId w:val="0"/>
  </w:num>
  <w:num w:numId="14" w16cid:durableId="189421021">
    <w:abstractNumId w:val="9"/>
  </w:num>
  <w:num w:numId="15" w16cid:durableId="676426806">
    <w:abstractNumId w:val="13"/>
  </w:num>
  <w:num w:numId="16" w16cid:durableId="101654919">
    <w:abstractNumId w:val="1"/>
  </w:num>
  <w:num w:numId="17" w16cid:durableId="2013097968">
    <w:abstractNumId w:val="26"/>
  </w:num>
  <w:num w:numId="18" w16cid:durableId="711619182">
    <w:abstractNumId w:val="14"/>
  </w:num>
  <w:num w:numId="19" w16cid:durableId="1093815494">
    <w:abstractNumId w:val="4"/>
  </w:num>
  <w:num w:numId="20" w16cid:durableId="88740877">
    <w:abstractNumId w:val="8"/>
  </w:num>
  <w:num w:numId="21" w16cid:durableId="2048138189">
    <w:abstractNumId w:val="22"/>
  </w:num>
  <w:num w:numId="22" w16cid:durableId="1243178908">
    <w:abstractNumId w:val="16"/>
  </w:num>
  <w:num w:numId="23" w16cid:durableId="604389738">
    <w:abstractNumId w:val="11"/>
  </w:num>
  <w:num w:numId="24" w16cid:durableId="1301764527">
    <w:abstractNumId w:val="18"/>
  </w:num>
  <w:num w:numId="25" w16cid:durableId="1377503894">
    <w:abstractNumId w:val="7"/>
  </w:num>
  <w:num w:numId="26" w16cid:durableId="1070807024">
    <w:abstractNumId w:val="21"/>
  </w:num>
  <w:num w:numId="27" w16cid:durableId="1044141138">
    <w:abstractNumId w:val="28"/>
  </w:num>
  <w:num w:numId="28" w16cid:durableId="124856010">
    <w:abstractNumId w:val="19"/>
  </w:num>
  <w:num w:numId="29" w16cid:durableId="1338727801">
    <w:abstractNumId w:val="5"/>
  </w:num>
  <w:num w:numId="30" w16cid:durableId="910192401">
    <w:abstractNumId w:val="12"/>
  </w:num>
  <w:num w:numId="31" w16cid:durableId="12407961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687631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620357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90051753">
    <w:abstractNumId w:val="27"/>
  </w:num>
  <w:num w:numId="35" w16cid:durableId="752511032">
    <w:abstractNumId w:val="30"/>
  </w:num>
  <w:num w:numId="36" w16cid:durableId="10414444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142137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22CA"/>
    <w:rsid w:val="00014D21"/>
    <w:rsid w:val="00021590"/>
    <w:rsid w:val="00025EF1"/>
    <w:rsid w:val="00031829"/>
    <w:rsid w:val="000379AB"/>
    <w:rsid w:val="00057A0F"/>
    <w:rsid w:val="0007414F"/>
    <w:rsid w:val="000774D7"/>
    <w:rsid w:val="00080C9F"/>
    <w:rsid w:val="00092ED3"/>
    <w:rsid w:val="000B2B24"/>
    <w:rsid w:val="000B4199"/>
    <w:rsid w:val="000D1940"/>
    <w:rsid w:val="000D323A"/>
    <w:rsid w:val="000E0245"/>
    <w:rsid w:val="00102FAF"/>
    <w:rsid w:val="00114817"/>
    <w:rsid w:val="00123BB2"/>
    <w:rsid w:val="0013531E"/>
    <w:rsid w:val="00135560"/>
    <w:rsid w:val="00147BD7"/>
    <w:rsid w:val="00154E52"/>
    <w:rsid w:val="0016010B"/>
    <w:rsid w:val="00195AB6"/>
    <w:rsid w:val="001A4D34"/>
    <w:rsid w:val="001C2B0D"/>
    <w:rsid w:val="001D5C96"/>
    <w:rsid w:val="001E33EF"/>
    <w:rsid w:val="001E48DD"/>
    <w:rsid w:val="001F4976"/>
    <w:rsid w:val="001F78D1"/>
    <w:rsid w:val="00205265"/>
    <w:rsid w:val="00207EB3"/>
    <w:rsid w:val="002112B8"/>
    <w:rsid w:val="00217AE4"/>
    <w:rsid w:val="00223753"/>
    <w:rsid w:val="00240493"/>
    <w:rsid w:val="00257331"/>
    <w:rsid w:val="00280962"/>
    <w:rsid w:val="00280E54"/>
    <w:rsid w:val="00285873"/>
    <w:rsid w:val="002A0D99"/>
    <w:rsid w:val="002A7F1B"/>
    <w:rsid w:val="002B676D"/>
    <w:rsid w:val="002B6F74"/>
    <w:rsid w:val="002C285C"/>
    <w:rsid w:val="002C3263"/>
    <w:rsid w:val="002C3291"/>
    <w:rsid w:val="002C6FD5"/>
    <w:rsid w:val="002D25C9"/>
    <w:rsid w:val="002E13D9"/>
    <w:rsid w:val="002E7898"/>
    <w:rsid w:val="002E7C65"/>
    <w:rsid w:val="002F2289"/>
    <w:rsid w:val="002F3B11"/>
    <w:rsid w:val="00312BCA"/>
    <w:rsid w:val="003135F3"/>
    <w:rsid w:val="003137C3"/>
    <w:rsid w:val="003164C0"/>
    <w:rsid w:val="00321596"/>
    <w:rsid w:val="003216BA"/>
    <w:rsid w:val="003246EA"/>
    <w:rsid w:val="00325827"/>
    <w:rsid w:val="003331BD"/>
    <w:rsid w:val="003418D7"/>
    <w:rsid w:val="00352607"/>
    <w:rsid w:val="00356882"/>
    <w:rsid w:val="00362267"/>
    <w:rsid w:val="00364947"/>
    <w:rsid w:val="00365E1C"/>
    <w:rsid w:val="00366731"/>
    <w:rsid w:val="00366917"/>
    <w:rsid w:val="00370948"/>
    <w:rsid w:val="0037466A"/>
    <w:rsid w:val="00375890"/>
    <w:rsid w:val="003828F2"/>
    <w:rsid w:val="0038726D"/>
    <w:rsid w:val="003C2230"/>
    <w:rsid w:val="003C63B6"/>
    <w:rsid w:val="003D4F21"/>
    <w:rsid w:val="003E660A"/>
    <w:rsid w:val="003F199B"/>
    <w:rsid w:val="003F3C2C"/>
    <w:rsid w:val="00400425"/>
    <w:rsid w:val="004009A6"/>
    <w:rsid w:val="004122CA"/>
    <w:rsid w:val="00416F24"/>
    <w:rsid w:val="00422F93"/>
    <w:rsid w:val="00425D97"/>
    <w:rsid w:val="00437B10"/>
    <w:rsid w:val="00440A22"/>
    <w:rsid w:val="004501AC"/>
    <w:rsid w:val="0045775E"/>
    <w:rsid w:val="00460378"/>
    <w:rsid w:val="00464C93"/>
    <w:rsid w:val="00466CA5"/>
    <w:rsid w:val="0046739F"/>
    <w:rsid w:val="004678FA"/>
    <w:rsid w:val="00477C32"/>
    <w:rsid w:val="004A145D"/>
    <w:rsid w:val="004A172B"/>
    <w:rsid w:val="004C63A3"/>
    <w:rsid w:val="004E04E8"/>
    <w:rsid w:val="004F60FA"/>
    <w:rsid w:val="0050116D"/>
    <w:rsid w:val="00502E97"/>
    <w:rsid w:val="00512E44"/>
    <w:rsid w:val="00514B45"/>
    <w:rsid w:val="005167EA"/>
    <w:rsid w:val="005358D5"/>
    <w:rsid w:val="005407D2"/>
    <w:rsid w:val="0054296C"/>
    <w:rsid w:val="00544A96"/>
    <w:rsid w:val="00545B6C"/>
    <w:rsid w:val="0054695E"/>
    <w:rsid w:val="00562C9F"/>
    <w:rsid w:val="00562D64"/>
    <w:rsid w:val="0057441D"/>
    <w:rsid w:val="00575C0B"/>
    <w:rsid w:val="005B4350"/>
    <w:rsid w:val="005D2143"/>
    <w:rsid w:val="005E1969"/>
    <w:rsid w:val="005E4FA1"/>
    <w:rsid w:val="005F67A3"/>
    <w:rsid w:val="00602E1D"/>
    <w:rsid w:val="00634020"/>
    <w:rsid w:val="00665E4A"/>
    <w:rsid w:val="00671319"/>
    <w:rsid w:val="0067479D"/>
    <w:rsid w:val="006842EE"/>
    <w:rsid w:val="00686407"/>
    <w:rsid w:val="00696DD1"/>
    <w:rsid w:val="006A0665"/>
    <w:rsid w:val="006A3D98"/>
    <w:rsid w:val="006B6264"/>
    <w:rsid w:val="006C4619"/>
    <w:rsid w:val="006C5802"/>
    <w:rsid w:val="006D19B4"/>
    <w:rsid w:val="006F0C90"/>
    <w:rsid w:val="006F0D4D"/>
    <w:rsid w:val="006F662E"/>
    <w:rsid w:val="00704F19"/>
    <w:rsid w:val="00707CBC"/>
    <w:rsid w:val="00707F8F"/>
    <w:rsid w:val="007213E9"/>
    <w:rsid w:val="00732BD4"/>
    <w:rsid w:val="00732C7D"/>
    <w:rsid w:val="00744917"/>
    <w:rsid w:val="0074667D"/>
    <w:rsid w:val="00756CBC"/>
    <w:rsid w:val="00771C75"/>
    <w:rsid w:val="007778ED"/>
    <w:rsid w:val="007866A1"/>
    <w:rsid w:val="00795F8E"/>
    <w:rsid w:val="007966EE"/>
    <w:rsid w:val="00796FB8"/>
    <w:rsid w:val="007A5AB0"/>
    <w:rsid w:val="007B3D4F"/>
    <w:rsid w:val="007B4B93"/>
    <w:rsid w:val="007C62D4"/>
    <w:rsid w:val="007F00CD"/>
    <w:rsid w:val="007F0873"/>
    <w:rsid w:val="007F5601"/>
    <w:rsid w:val="007F7AC8"/>
    <w:rsid w:val="00806AB8"/>
    <w:rsid w:val="00812102"/>
    <w:rsid w:val="0081288F"/>
    <w:rsid w:val="00813315"/>
    <w:rsid w:val="0081418D"/>
    <w:rsid w:val="00827D62"/>
    <w:rsid w:val="008417A4"/>
    <w:rsid w:val="00842AEA"/>
    <w:rsid w:val="008449B1"/>
    <w:rsid w:val="00846E27"/>
    <w:rsid w:val="008503E9"/>
    <w:rsid w:val="0085458B"/>
    <w:rsid w:val="00855B07"/>
    <w:rsid w:val="00862107"/>
    <w:rsid w:val="00864F9A"/>
    <w:rsid w:val="0088013C"/>
    <w:rsid w:val="0089050E"/>
    <w:rsid w:val="00891DD0"/>
    <w:rsid w:val="0089665B"/>
    <w:rsid w:val="008A092A"/>
    <w:rsid w:val="008A4CCD"/>
    <w:rsid w:val="008A6077"/>
    <w:rsid w:val="008C29F2"/>
    <w:rsid w:val="008D3087"/>
    <w:rsid w:val="008D40A4"/>
    <w:rsid w:val="008E58E5"/>
    <w:rsid w:val="00900B25"/>
    <w:rsid w:val="00903870"/>
    <w:rsid w:val="009040B7"/>
    <w:rsid w:val="00906A68"/>
    <w:rsid w:val="009238B9"/>
    <w:rsid w:val="00933DE8"/>
    <w:rsid w:val="00936493"/>
    <w:rsid w:val="00940AC6"/>
    <w:rsid w:val="00952457"/>
    <w:rsid w:val="00955318"/>
    <w:rsid w:val="0097213C"/>
    <w:rsid w:val="00975D9D"/>
    <w:rsid w:val="009773C0"/>
    <w:rsid w:val="00981372"/>
    <w:rsid w:val="00990971"/>
    <w:rsid w:val="0099417F"/>
    <w:rsid w:val="00995CAA"/>
    <w:rsid w:val="009A66CD"/>
    <w:rsid w:val="009B68DA"/>
    <w:rsid w:val="009B6FFC"/>
    <w:rsid w:val="009C63D9"/>
    <w:rsid w:val="009C75F8"/>
    <w:rsid w:val="009E0C8D"/>
    <w:rsid w:val="009E1765"/>
    <w:rsid w:val="009E63CD"/>
    <w:rsid w:val="00A1073D"/>
    <w:rsid w:val="00A44E37"/>
    <w:rsid w:val="00A5370B"/>
    <w:rsid w:val="00A55ABD"/>
    <w:rsid w:val="00A562C5"/>
    <w:rsid w:val="00A64D74"/>
    <w:rsid w:val="00A86AFF"/>
    <w:rsid w:val="00A90F14"/>
    <w:rsid w:val="00AA11F3"/>
    <w:rsid w:val="00AA2275"/>
    <w:rsid w:val="00AB46CF"/>
    <w:rsid w:val="00AB5BA0"/>
    <w:rsid w:val="00AB71ED"/>
    <w:rsid w:val="00AD03B0"/>
    <w:rsid w:val="00AF33DA"/>
    <w:rsid w:val="00B120F3"/>
    <w:rsid w:val="00B12D02"/>
    <w:rsid w:val="00B2051D"/>
    <w:rsid w:val="00B6774D"/>
    <w:rsid w:val="00B719C8"/>
    <w:rsid w:val="00B73B4B"/>
    <w:rsid w:val="00B76EA8"/>
    <w:rsid w:val="00B81C79"/>
    <w:rsid w:val="00B82556"/>
    <w:rsid w:val="00B828C4"/>
    <w:rsid w:val="00B85525"/>
    <w:rsid w:val="00B95F3F"/>
    <w:rsid w:val="00BB3A65"/>
    <w:rsid w:val="00BB63D4"/>
    <w:rsid w:val="00BC0065"/>
    <w:rsid w:val="00BC151B"/>
    <w:rsid w:val="00BC7776"/>
    <w:rsid w:val="00BD1AD6"/>
    <w:rsid w:val="00BD23C3"/>
    <w:rsid w:val="00BD26B1"/>
    <w:rsid w:val="00BD2757"/>
    <w:rsid w:val="00BD47BB"/>
    <w:rsid w:val="00BE18D0"/>
    <w:rsid w:val="00BF0028"/>
    <w:rsid w:val="00BF1E83"/>
    <w:rsid w:val="00C101E4"/>
    <w:rsid w:val="00C1281B"/>
    <w:rsid w:val="00C13DB7"/>
    <w:rsid w:val="00C21E49"/>
    <w:rsid w:val="00C25AF8"/>
    <w:rsid w:val="00C3475A"/>
    <w:rsid w:val="00C55922"/>
    <w:rsid w:val="00C6422E"/>
    <w:rsid w:val="00C81368"/>
    <w:rsid w:val="00C81692"/>
    <w:rsid w:val="00C90A09"/>
    <w:rsid w:val="00C94AA5"/>
    <w:rsid w:val="00CA4FF2"/>
    <w:rsid w:val="00CB7BED"/>
    <w:rsid w:val="00CC4CBE"/>
    <w:rsid w:val="00CD5626"/>
    <w:rsid w:val="00CD5D44"/>
    <w:rsid w:val="00CF3DEE"/>
    <w:rsid w:val="00D024AD"/>
    <w:rsid w:val="00D17C62"/>
    <w:rsid w:val="00D43739"/>
    <w:rsid w:val="00D43C8F"/>
    <w:rsid w:val="00D45315"/>
    <w:rsid w:val="00D50A01"/>
    <w:rsid w:val="00D54A60"/>
    <w:rsid w:val="00D579C9"/>
    <w:rsid w:val="00D761B1"/>
    <w:rsid w:val="00D810E5"/>
    <w:rsid w:val="00D84097"/>
    <w:rsid w:val="00D849BA"/>
    <w:rsid w:val="00D90938"/>
    <w:rsid w:val="00D93525"/>
    <w:rsid w:val="00D94839"/>
    <w:rsid w:val="00D9528F"/>
    <w:rsid w:val="00DA1A13"/>
    <w:rsid w:val="00DC1507"/>
    <w:rsid w:val="00DD3DEC"/>
    <w:rsid w:val="00DD4140"/>
    <w:rsid w:val="00DD6745"/>
    <w:rsid w:val="00DE0A1E"/>
    <w:rsid w:val="00DE3F91"/>
    <w:rsid w:val="00E07429"/>
    <w:rsid w:val="00E22BCE"/>
    <w:rsid w:val="00E31404"/>
    <w:rsid w:val="00E31513"/>
    <w:rsid w:val="00E33671"/>
    <w:rsid w:val="00E35E9B"/>
    <w:rsid w:val="00E36512"/>
    <w:rsid w:val="00E50A15"/>
    <w:rsid w:val="00E664DF"/>
    <w:rsid w:val="00E67B96"/>
    <w:rsid w:val="00E72D22"/>
    <w:rsid w:val="00E73207"/>
    <w:rsid w:val="00E76C75"/>
    <w:rsid w:val="00E77976"/>
    <w:rsid w:val="00EA000C"/>
    <w:rsid w:val="00EC23C0"/>
    <w:rsid w:val="00ED50E4"/>
    <w:rsid w:val="00EE15B5"/>
    <w:rsid w:val="00EE433D"/>
    <w:rsid w:val="00EF003B"/>
    <w:rsid w:val="00EF04CF"/>
    <w:rsid w:val="00EF5195"/>
    <w:rsid w:val="00EF6AA0"/>
    <w:rsid w:val="00F13598"/>
    <w:rsid w:val="00F21080"/>
    <w:rsid w:val="00F26B54"/>
    <w:rsid w:val="00F45E57"/>
    <w:rsid w:val="00F51A7D"/>
    <w:rsid w:val="00F65D8F"/>
    <w:rsid w:val="00F71CD1"/>
    <w:rsid w:val="00F77D29"/>
    <w:rsid w:val="00F803FF"/>
    <w:rsid w:val="00F84609"/>
    <w:rsid w:val="00F915ED"/>
    <w:rsid w:val="00F94832"/>
    <w:rsid w:val="00FA2704"/>
    <w:rsid w:val="00FA5A7C"/>
    <w:rsid w:val="00FA693A"/>
    <w:rsid w:val="00FA7314"/>
    <w:rsid w:val="00FC37F3"/>
    <w:rsid w:val="00FC3EAC"/>
    <w:rsid w:val="00FC49C6"/>
    <w:rsid w:val="00FD2BEE"/>
    <w:rsid w:val="00FD613A"/>
    <w:rsid w:val="00FE5321"/>
    <w:rsid w:val="00FE6284"/>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544A96"/>
    <w:rPr>
      <w:rFonts w:ascii="Times New Roman" w:eastAsia="Calibri" w:hAnsi="Times New Roman" w:cs="Times New Roman"/>
      <w:sz w:val="20"/>
      <w:szCs w:val="20"/>
    </w:rPr>
  </w:style>
  <w:style w:type="paragraph" w:styleId="Heading1">
    <w:name w:val="heading 1"/>
    <w:aliases w:val="Titolo x"/>
    <w:basedOn w:val="Normal"/>
    <w:next w:val="Paragrafodopotitolo"/>
    <w:link w:val="Heading1Char"/>
    <w:qFormat/>
    <w:rsid w:val="00223753"/>
    <w:pPr>
      <w:keepNext/>
      <w:keepLines/>
      <w:tabs>
        <w:tab w:val="left" w:pos="284"/>
      </w:tabs>
      <w:overflowPunct w:val="0"/>
      <w:autoSpaceDE w:val="0"/>
      <w:autoSpaceDN w:val="0"/>
      <w:adjustRightInd w:val="0"/>
      <w:spacing w:before="480" w:after="240" w:line="260" w:lineRule="exact"/>
      <w:jc w:val="both"/>
      <w:textAlignment w:val="baseline"/>
      <w:outlineLvl w:val="0"/>
    </w:pPr>
    <w:rPr>
      <w:rFonts w:eastAsia="Times New Roman"/>
      <w:b/>
      <w:caps/>
      <w:sz w:val="24"/>
      <w:lang w:val="it-IT" w:eastAsia="it-IT"/>
    </w:rPr>
  </w:style>
  <w:style w:type="paragraph" w:styleId="Heading2">
    <w:name w:val="heading 2"/>
    <w:basedOn w:val="Normal"/>
    <w:next w:val="Paragrafodopotitolo"/>
    <w:link w:val="Heading2Char"/>
    <w:qFormat/>
    <w:rsid w:val="00223753"/>
    <w:pPr>
      <w:keepNext/>
      <w:keepLines/>
      <w:overflowPunct w:val="0"/>
      <w:autoSpaceDE w:val="0"/>
      <w:autoSpaceDN w:val="0"/>
      <w:adjustRightInd w:val="0"/>
      <w:spacing w:before="360" w:after="160" w:line="260" w:lineRule="exact"/>
      <w:jc w:val="both"/>
      <w:textAlignment w:val="baseline"/>
      <w:outlineLvl w:val="1"/>
    </w:pPr>
    <w:rPr>
      <w:rFonts w:eastAsia="Times New Roman"/>
      <w:b/>
      <w:caps/>
      <w:sz w:val="22"/>
      <w:lang w:val="it-IT" w:eastAsia="it-IT"/>
    </w:rPr>
  </w:style>
  <w:style w:type="paragraph" w:styleId="Heading3">
    <w:name w:val="heading 3"/>
    <w:basedOn w:val="Normal"/>
    <w:next w:val="Normal"/>
    <w:link w:val="Heading3Char"/>
    <w:autoRedefine/>
    <w:qFormat/>
    <w:rsid w:val="00223753"/>
    <w:pPr>
      <w:keepNext/>
      <w:autoSpaceDE w:val="0"/>
      <w:autoSpaceDN w:val="0"/>
      <w:spacing w:before="240" w:after="60" w:line="360" w:lineRule="auto"/>
      <w:outlineLvl w:val="2"/>
    </w:pPr>
    <w:rPr>
      <w:rFonts w:ascii="Arial" w:eastAsia="Times New Roman" w:hAnsi="Arial" w:cs="Arial"/>
      <w:b/>
      <w:bCs/>
      <w:sz w:val="26"/>
      <w:szCs w:val="26"/>
      <w:lang w:val="it-IT" w:eastAsia="it-IT"/>
    </w:rPr>
  </w:style>
  <w:style w:type="paragraph" w:styleId="Heading4">
    <w:name w:val="heading 4"/>
    <w:basedOn w:val="Normal"/>
    <w:next w:val="Normal"/>
    <w:link w:val="Heading4Char"/>
    <w:qFormat/>
    <w:rsid w:val="00223753"/>
    <w:pPr>
      <w:keepNext/>
      <w:overflowPunct w:val="0"/>
      <w:autoSpaceDE w:val="0"/>
      <w:autoSpaceDN w:val="0"/>
      <w:adjustRightInd w:val="0"/>
      <w:spacing w:before="260" w:line="260" w:lineRule="exact"/>
      <w:jc w:val="both"/>
      <w:textAlignment w:val="baseline"/>
      <w:outlineLvl w:val="3"/>
    </w:pPr>
    <w:rPr>
      <w:rFonts w:eastAsia="Times New Roman"/>
      <w:sz w:val="22"/>
      <w:lang w:val="it-IT" w:eastAsia="it-IT"/>
    </w:rPr>
  </w:style>
  <w:style w:type="paragraph" w:styleId="Heading5">
    <w:name w:val="heading 5"/>
    <w:basedOn w:val="Normal"/>
    <w:next w:val="Normal"/>
    <w:link w:val="Heading5Char"/>
    <w:qFormat/>
    <w:rsid w:val="00223753"/>
    <w:pPr>
      <w:overflowPunct w:val="0"/>
      <w:autoSpaceDE w:val="0"/>
      <w:autoSpaceDN w:val="0"/>
      <w:adjustRightInd w:val="0"/>
      <w:spacing w:before="240" w:after="60" w:line="260" w:lineRule="exact"/>
      <w:jc w:val="both"/>
      <w:textAlignment w:val="baseline"/>
      <w:outlineLvl w:val="4"/>
    </w:pPr>
    <w:rPr>
      <w:rFonts w:ascii="Arial" w:eastAsia="Times New Roman" w:hAnsi="Arial"/>
      <w:sz w:val="22"/>
      <w:lang w:val="it-IT" w:eastAsia="it-IT"/>
    </w:rPr>
  </w:style>
  <w:style w:type="paragraph" w:styleId="Heading6">
    <w:name w:val="heading 6"/>
    <w:basedOn w:val="Normal"/>
    <w:next w:val="Normal"/>
    <w:link w:val="Heading6Char"/>
    <w:qFormat/>
    <w:rsid w:val="00223753"/>
    <w:pPr>
      <w:overflowPunct w:val="0"/>
      <w:autoSpaceDE w:val="0"/>
      <w:autoSpaceDN w:val="0"/>
      <w:adjustRightInd w:val="0"/>
      <w:spacing w:before="240" w:after="60" w:line="260" w:lineRule="exact"/>
      <w:jc w:val="both"/>
      <w:textAlignment w:val="baseline"/>
      <w:outlineLvl w:val="5"/>
    </w:pPr>
    <w:rPr>
      <w:rFonts w:ascii="Arial" w:eastAsia="Times New Roman" w:hAnsi="Arial"/>
      <w:i/>
      <w:sz w:val="22"/>
      <w:lang w:val="it-IT" w:eastAsia="it-IT"/>
    </w:rPr>
  </w:style>
  <w:style w:type="paragraph" w:styleId="Heading7">
    <w:name w:val="heading 7"/>
    <w:aliases w:val="figure"/>
    <w:basedOn w:val="Normal"/>
    <w:next w:val="Normal"/>
    <w:link w:val="Heading7Char"/>
    <w:uiPriority w:val="99"/>
    <w:qFormat/>
    <w:rsid w:val="00223753"/>
    <w:pPr>
      <w:overflowPunct w:val="0"/>
      <w:autoSpaceDE w:val="0"/>
      <w:autoSpaceDN w:val="0"/>
      <w:adjustRightInd w:val="0"/>
      <w:spacing w:before="240" w:after="60" w:line="260" w:lineRule="exact"/>
      <w:jc w:val="both"/>
      <w:textAlignment w:val="baseline"/>
      <w:outlineLvl w:val="6"/>
    </w:pPr>
    <w:rPr>
      <w:rFonts w:ascii="Arial" w:eastAsia="Times New Roman" w:hAnsi="Arial"/>
      <w:sz w:val="24"/>
      <w:lang w:val="it-IT" w:eastAsia="it-IT"/>
    </w:rPr>
  </w:style>
  <w:style w:type="paragraph" w:styleId="Heading8">
    <w:name w:val="heading 8"/>
    <w:basedOn w:val="Normal"/>
    <w:next w:val="Normal"/>
    <w:link w:val="Heading8Char"/>
    <w:uiPriority w:val="99"/>
    <w:qFormat/>
    <w:rsid w:val="00223753"/>
    <w:pPr>
      <w:overflowPunct w:val="0"/>
      <w:autoSpaceDE w:val="0"/>
      <w:autoSpaceDN w:val="0"/>
      <w:adjustRightInd w:val="0"/>
      <w:spacing w:before="240" w:after="60" w:line="260" w:lineRule="exact"/>
      <w:jc w:val="both"/>
      <w:textAlignment w:val="baseline"/>
      <w:outlineLvl w:val="7"/>
    </w:pPr>
    <w:rPr>
      <w:rFonts w:ascii="Arial" w:eastAsia="Times New Roman" w:hAnsi="Arial"/>
      <w:i/>
      <w:sz w:val="24"/>
      <w:lang w:val="it-IT" w:eastAsia="it-IT"/>
    </w:rPr>
  </w:style>
  <w:style w:type="paragraph" w:styleId="Heading9">
    <w:name w:val="heading 9"/>
    <w:basedOn w:val="Normal"/>
    <w:next w:val="Normal"/>
    <w:link w:val="Heading9Char"/>
    <w:uiPriority w:val="99"/>
    <w:qFormat/>
    <w:rsid w:val="00223753"/>
    <w:pPr>
      <w:overflowPunct w:val="0"/>
      <w:autoSpaceDE w:val="0"/>
      <w:autoSpaceDN w:val="0"/>
      <w:adjustRightInd w:val="0"/>
      <w:spacing w:before="240" w:after="60" w:line="260" w:lineRule="exact"/>
      <w:jc w:val="both"/>
      <w:textAlignment w:val="baseline"/>
      <w:outlineLvl w:val="8"/>
    </w:pPr>
    <w:rPr>
      <w:rFonts w:ascii="Arial" w:eastAsia="Times New Roman" w:hAnsi="Arial"/>
      <w:i/>
      <w:sz w:val="22"/>
      <w:lang w:val="it-IT" w:eastAsia="it-I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link w:val="NoteCarattere"/>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nhideWhenUsed/>
    <w:rsid w:val="00F45E57"/>
    <w:rPr>
      <w:color w:val="954F72" w:themeColor="followedHyperlink"/>
      <w:u w:val="single"/>
    </w:rPr>
  </w:style>
  <w:style w:type="character" w:styleId="LineNumber">
    <w:name w:val="line number"/>
    <w:basedOn w:val="DefaultParagraphFont"/>
    <w:unhideWhenUsed/>
    <w:rsid w:val="00BD47BB"/>
  </w:style>
  <w:style w:type="table" w:styleId="TableGrid">
    <w:name w:val="Table Grid"/>
    <w:basedOn w:val="TableNormal"/>
    <w:uiPriority w:val="59"/>
    <w:rsid w:val="004678FA"/>
    <w:rPr>
      <w:rFonts w:ascii="Times New Roman" w:eastAsia="Times New Roman" w:hAnsi="Times New Roman" w:cs="Times New Roman"/>
      <w:sz w:val="20"/>
      <w:szCs w:val="20"/>
      <w:lang w:val="en-GB"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Titolo x Char"/>
    <w:basedOn w:val="DefaultParagraphFont"/>
    <w:link w:val="Heading1"/>
    <w:rsid w:val="00223753"/>
    <w:rPr>
      <w:rFonts w:ascii="Times New Roman" w:eastAsia="Times New Roman" w:hAnsi="Times New Roman" w:cs="Times New Roman"/>
      <w:b/>
      <w:caps/>
      <w:szCs w:val="20"/>
      <w:lang w:val="it-IT" w:eastAsia="it-IT"/>
    </w:rPr>
  </w:style>
  <w:style w:type="character" w:customStyle="1" w:styleId="Heading2Char">
    <w:name w:val="Heading 2 Char"/>
    <w:basedOn w:val="DefaultParagraphFont"/>
    <w:link w:val="Heading2"/>
    <w:rsid w:val="00223753"/>
    <w:rPr>
      <w:rFonts w:ascii="Times New Roman" w:eastAsia="Times New Roman" w:hAnsi="Times New Roman" w:cs="Times New Roman"/>
      <w:b/>
      <w:caps/>
      <w:sz w:val="22"/>
      <w:szCs w:val="20"/>
      <w:lang w:val="it-IT" w:eastAsia="it-IT"/>
    </w:rPr>
  </w:style>
  <w:style w:type="character" w:customStyle="1" w:styleId="Heading3Char">
    <w:name w:val="Heading 3 Char"/>
    <w:basedOn w:val="DefaultParagraphFont"/>
    <w:link w:val="Heading3"/>
    <w:rsid w:val="00223753"/>
    <w:rPr>
      <w:rFonts w:ascii="Arial" w:eastAsia="Times New Roman" w:hAnsi="Arial" w:cs="Arial"/>
      <w:b/>
      <w:bCs/>
      <w:sz w:val="26"/>
      <w:szCs w:val="26"/>
      <w:lang w:val="it-IT" w:eastAsia="it-IT"/>
    </w:rPr>
  </w:style>
  <w:style w:type="character" w:customStyle="1" w:styleId="Heading4Char">
    <w:name w:val="Heading 4 Char"/>
    <w:basedOn w:val="DefaultParagraphFont"/>
    <w:link w:val="Heading4"/>
    <w:rsid w:val="00223753"/>
    <w:rPr>
      <w:rFonts w:ascii="Times New Roman" w:eastAsia="Times New Roman" w:hAnsi="Times New Roman" w:cs="Times New Roman"/>
      <w:sz w:val="22"/>
      <w:szCs w:val="20"/>
      <w:lang w:val="it-IT" w:eastAsia="it-IT"/>
    </w:rPr>
  </w:style>
  <w:style w:type="character" w:customStyle="1" w:styleId="Heading5Char">
    <w:name w:val="Heading 5 Char"/>
    <w:basedOn w:val="DefaultParagraphFont"/>
    <w:link w:val="Heading5"/>
    <w:rsid w:val="00223753"/>
    <w:rPr>
      <w:rFonts w:ascii="Arial" w:eastAsia="Times New Roman" w:hAnsi="Arial" w:cs="Times New Roman"/>
      <w:sz w:val="22"/>
      <w:szCs w:val="20"/>
      <w:lang w:val="it-IT" w:eastAsia="it-IT"/>
    </w:rPr>
  </w:style>
  <w:style w:type="character" w:customStyle="1" w:styleId="Heading6Char">
    <w:name w:val="Heading 6 Char"/>
    <w:basedOn w:val="DefaultParagraphFont"/>
    <w:link w:val="Heading6"/>
    <w:rsid w:val="00223753"/>
    <w:rPr>
      <w:rFonts w:ascii="Arial" w:eastAsia="Times New Roman" w:hAnsi="Arial" w:cs="Times New Roman"/>
      <w:i/>
      <w:sz w:val="22"/>
      <w:szCs w:val="20"/>
      <w:lang w:val="it-IT" w:eastAsia="it-IT"/>
    </w:rPr>
  </w:style>
  <w:style w:type="character" w:customStyle="1" w:styleId="Heading7Char">
    <w:name w:val="Heading 7 Char"/>
    <w:aliases w:val="figure Char"/>
    <w:basedOn w:val="DefaultParagraphFont"/>
    <w:link w:val="Heading7"/>
    <w:uiPriority w:val="99"/>
    <w:rsid w:val="00223753"/>
    <w:rPr>
      <w:rFonts w:ascii="Arial" w:eastAsia="Times New Roman" w:hAnsi="Arial" w:cs="Times New Roman"/>
      <w:szCs w:val="20"/>
      <w:lang w:val="it-IT" w:eastAsia="it-IT"/>
    </w:rPr>
  </w:style>
  <w:style w:type="character" w:customStyle="1" w:styleId="Heading8Char">
    <w:name w:val="Heading 8 Char"/>
    <w:basedOn w:val="DefaultParagraphFont"/>
    <w:link w:val="Heading8"/>
    <w:uiPriority w:val="99"/>
    <w:rsid w:val="00223753"/>
    <w:rPr>
      <w:rFonts w:ascii="Arial" w:eastAsia="Times New Roman" w:hAnsi="Arial" w:cs="Times New Roman"/>
      <w:i/>
      <w:szCs w:val="20"/>
      <w:lang w:val="it-IT" w:eastAsia="it-IT"/>
    </w:rPr>
  </w:style>
  <w:style w:type="character" w:customStyle="1" w:styleId="Heading9Char">
    <w:name w:val="Heading 9 Char"/>
    <w:basedOn w:val="DefaultParagraphFont"/>
    <w:link w:val="Heading9"/>
    <w:uiPriority w:val="99"/>
    <w:rsid w:val="00223753"/>
    <w:rPr>
      <w:rFonts w:ascii="Arial" w:eastAsia="Times New Roman" w:hAnsi="Arial" w:cs="Times New Roman"/>
      <w:i/>
      <w:sz w:val="22"/>
      <w:szCs w:val="20"/>
      <w:lang w:val="it-IT" w:eastAsia="it-IT"/>
    </w:rPr>
  </w:style>
  <w:style w:type="paragraph" w:customStyle="1" w:styleId="Paragrafodopotitolo">
    <w:name w:val="Paragrafo dopo titolo"/>
    <w:basedOn w:val="Normal"/>
    <w:next w:val="Normal"/>
    <w:rsid w:val="00223753"/>
    <w:pPr>
      <w:overflowPunct w:val="0"/>
      <w:autoSpaceDE w:val="0"/>
      <w:autoSpaceDN w:val="0"/>
      <w:adjustRightInd w:val="0"/>
      <w:spacing w:line="260" w:lineRule="exact"/>
      <w:jc w:val="both"/>
      <w:textAlignment w:val="baseline"/>
    </w:pPr>
    <w:rPr>
      <w:rFonts w:eastAsia="Times New Roman"/>
      <w:sz w:val="22"/>
      <w:lang w:val="it-IT" w:eastAsia="it-IT"/>
    </w:rPr>
  </w:style>
  <w:style w:type="paragraph" w:customStyle="1" w:styleId="NormaleStiletabella">
    <w:name w:val="Normale.Stile tabella"/>
    <w:autoRedefine/>
    <w:rsid w:val="00223753"/>
    <w:pPr>
      <w:autoSpaceDE w:val="0"/>
      <w:autoSpaceDN w:val="0"/>
      <w:spacing w:line="480" w:lineRule="auto"/>
      <w:jc w:val="center"/>
    </w:pPr>
    <w:rPr>
      <w:rFonts w:ascii="Times New Roman" w:eastAsia="Times New Roman" w:hAnsi="Times New Roman" w:cs="Times New Roman"/>
      <w:b/>
      <w:noProof/>
      <w:szCs w:val="20"/>
      <w:lang w:val="it-IT" w:eastAsia="it-IT"/>
    </w:rPr>
  </w:style>
  <w:style w:type="paragraph" w:customStyle="1" w:styleId="TitoloMemoria">
    <w:name w:val="Titolo_Memoria"/>
    <w:next w:val="Autori"/>
    <w:rsid w:val="00223753"/>
    <w:pPr>
      <w:autoSpaceDE w:val="0"/>
      <w:autoSpaceDN w:val="0"/>
      <w:jc w:val="center"/>
    </w:pPr>
    <w:rPr>
      <w:rFonts w:ascii="Times New Roman" w:eastAsia="Times New Roman" w:hAnsi="Times New Roman" w:cs="Times New Roman"/>
      <w:b/>
      <w:bCs/>
      <w:caps/>
      <w:noProof/>
      <w:lang w:val="it-IT" w:eastAsia="it-IT"/>
    </w:rPr>
  </w:style>
  <w:style w:type="paragraph" w:customStyle="1" w:styleId="Autori">
    <w:name w:val="Autori"/>
    <w:next w:val="Indirizzo"/>
    <w:autoRedefine/>
    <w:rsid w:val="00223753"/>
    <w:pPr>
      <w:autoSpaceDE w:val="0"/>
      <w:autoSpaceDN w:val="0"/>
      <w:spacing w:before="360" w:after="280" w:line="480" w:lineRule="auto"/>
      <w:jc w:val="center"/>
    </w:pPr>
    <w:rPr>
      <w:rFonts w:ascii="Times New Roman" w:eastAsia="Times New Roman" w:hAnsi="Times New Roman" w:cs="Times New Roman"/>
      <w:bCs/>
      <w:noProof/>
      <w:szCs w:val="20"/>
      <w:lang w:val="it-IT" w:eastAsia="it-IT"/>
    </w:rPr>
  </w:style>
  <w:style w:type="paragraph" w:customStyle="1" w:styleId="Indirizzo">
    <w:name w:val="Indirizzo"/>
    <w:autoRedefine/>
    <w:rsid w:val="00223753"/>
    <w:pPr>
      <w:autoSpaceDE w:val="0"/>
      <w:autoSpaceDN w:val="0"/>
      <w:spacing w:after="60"/>
      <w:ind w:left="284" w:hanging="284"/>
      <w:jc w:val="both"/>
    </w:pPr>
    <w:rPr>
      <w:rFonts w:ascii="Times New Roman" w:eastAsia="Times New Roman" w:hAnsi="Times New Roman" w:cs="Times New Roman"/>
      <w:noProof/>
      <w:sz w:val="18"/>
      <w:szCs w:val="18"/>
      <w:lang w:val="it-IT" w:eastAsia="it-IT"/>
    </w:rPr>
  </w:style>
  <w:style w:type="paragraph" w:customStyle="1" w:styleId="Sezionenonnumerato">
    <w:name w:val="Sezione_non_numerato"/>
    <w:next w:val="CorpoSommario"/>
    <w:autoRedefine/>
    <w:rsid w:val="00223753"/>
    <w:pPr>
      <w:autoSpaceDE w:val="0"/>
      <w:autoSpaceDN w:val="0"/>
      <w:spacing w:line="480" w:lineRule="auto"/>
      <w:jc w:val="both"/>
    </w:pPr>
    <w:rPr>
      <w:rFonts w:ascii="Times New Roman" w:eastAsia="Times New Roman" w:hAnsi="Times New Roman" w:cs="Times New Roman"/>
      <w:b/>
      <w:caps/>
      <w:noProof/>
      <w:lang w:val="it-IT" w:eastAsia="it-IT"/>
    </w:rPr>
  </w:style>
  <w:style w:type="paragraph" w:customStyle="1" w:styleId="CorpoSommario">
    <w:name w:val="Corpo_Sommario"/>
    <w:autoRedefine/>
    <w:rsid w:val="00223753"/>
    <w:pPr>
      <w:autoSpaceDE w:val="0"/>
      <w:autoSpaceDN w:val="0"/>
      <w:spacing w:line="480" w:lineRule="auto"/>
      <w:jc w:val="both"/>
    </w:pPr>
    <w:rPr>
      <w:rFonts w:ascii="Times New Roman" w:eastAsia="Times New Roman" w:hAnsi="Times New Roman" w:cs="Times New Roman"/>
      <w:noProof/>
      <w:lang w:val="it-IT" w:eastAsia="it-IT"/>
    </w:rPr>
  </w:style>
  <w:style w:type="paragraph" w:customStyle="1" w:styleId="Corpodeltesto">
    <w:name w:val="Corpo_del _testo"/>
    <w:rsid w:val="00223753"/>
    <w:pPr>
      <w:widowControl w:val="0"/>
      <w:autoSpaceDE w:val="0"/>
      <w:autoSpaceDN w:val="0"/>
      <w:ind w:firstLine="284"/>
      <w:jc w:val="both"/>
    </w:pPr>
    <w:rPr>
      <w:rFonts w:ascii="Times New Roman" w:eastAsia="Times New Roman" w:hAnsi="Times New Roman" w:cs="Times New Roman"/>
      <w:noProof/>
      <w:sz w:val="20"/>
      <w:szCs w:val="20"/>
      <w:lang w:val="it-IT" w:eastAsia="it-IT"/>
    </w:rPr>
  </w:style>
  <w:style w:type="paragraph" w:customStyle="1" w:styleId="Sezione0">
    <w:name w:val="Sezione_0"/>
    <w:next w:val="Corpodeltesto"/>
    <w:autoRedefine/>
    <w:rsid w:val="00223753"/>
    <w:pPr>
      <w:widowControl w:val="0"/>
      <w:autoSpaceDE w:val="0"/>
      <w:autoSpaceDN w:val="0"/>
      <w:spacing w:line="480" w:lineRule="auto"/>
      <w:jc w:val="both"/>
    </w:pPr>
    <w:rPr>
      <w:rFonts w:ascii="Times New Roman" w:eastAsia="Times New Roman" w:hAnsi="Times New Roman" w:cs="Times New Roman"/>
      <w:b/>
      <w:bCs/>
      <w:noProof/>
      <w:lang w:val="it-IT" w:eastAsia="it-IT"/>
    </w:rPr>
  </w:style>
  <w:style w:type="paragraph" w:customStyle="1" w:styleId="Sezione1">
    <w:name w:val="Sezione_1"/>
    <w:next w:val="Corpodeltesto"/>
    <w:autoRedefine/>
    <w:rsid w:val="00223753"/>
    <w:pPr>
      <w:autoSpaceDE w:val="0"/>
      <w:autoSpaceDN w:val="0"/>
      <w:spacing w:before="240" w:after="120" w:line="480" w:lineRule="auto"/>
      <w:jc w:val="both"/>
    </w:pPr>
    <w:rPr>
      <w:rFonts w:ascii="Times New Roman" w:eastAsia="Times New Roman" w:hAnsi="Times New Roman" w:cs="Times New Roman"/>
      <w:b/>
      <w:smallCaps/>
      <w:noProof/>
      <w:szCs w:val="20"/>
      <w:lang w:val="it-IT" w:eastAsia="it-IT"/>
    </w:rPr>
  </w:style>
  <w:style w:type="paragraph" w:customStyle="1" w:styleId="Sezione2">
    <w:name w:val="Sezione_2"/>
    <w:next w:val="Corpodeltesto"/>
    <w:autoRedefine/>
    <w:rsid w:val="00223753"/>
    <w:pPr>
      <w:numPr>
        <w:ilvl w:val="2"/>
        <w:numId w:val="16"/>
      </w:numPr>
      <w:autoSpaceDE w:val="0"/>
      <w:autoSpaceDN w:val="0"/>
      <w:spacing w:before="240" w:after="120"/>
      <w:jc w:val="both"/>
    </w:pPr>
    <w:rPr>
      <w:rFonts w:ascii="Times New Roman" w:eastAsia="Times New Roman" w:hAnsi="Times New Roman" w:cs="Times New Roman"/>
      <w:b/>
      <w:bCs/>
      <w:noProof/>
      <w:sz w:val="20"/>
      <w:szCs w:val="20"/>
      <w:lang w:val="it-IT" w:eastAsia="it-IT"/>
    </w:rPr>
  </w:style>
  <w:style w:type="paragraph" w:customStyle="1" w:styleId="Parolechiave">
    <w:name w:val="Parole_chiave"/>
    <w:next w:val="Sezionenonnumerato"/>
    <w:rsid w:val="00223753"/>
    <w:pPr>
      <w:spacing w:before="240" w:after="120"/>
    </w:pPr>
    <w:rPr>
      <w:rFonts w:ascii="Times New Roman" w:eastAsia="Times New Roman" w:hAnsi="Times New Roman" w:cs="Times New Roman"/>
      <w:noProof/>
      <w:sz w:val="20"/>
      <w:szCs w:val="18"/>
      <w:lang w:val="it-IT" w:eastAsia="it-IT"/>
    </w:rPr>
  </w:style>
  <w:style w:type="paragraph" w:styleId="BodyText">
    <w:name w:val="Body Text"/>
    <w:basedOn w:val="Normal"/>
    <w:link w:val="BodyTextChar"/>
    <w:uiPriority w:val="99"/>
    <w:rsid w:val="00223753"/>
    <w:pPr>
      <w:spacing w:line="360" w:lineRule="auto"/>
      <w:ind w:left="1080" w:right="284"/>
      <w:jc w:val="both"/>
    </w:pPr>
    <w:rPr>
      <w:rFonts w:eastAsia="Times New Roman"/>
      <w:sz w:val="24"/>
      <w:szCs w:val="24"/>
      <w:lang w:val="it-IT" w:eastAsia="it-IT"/>
    </w:rPr>
  </w:style>
  <w:style w:type="character" w:customStyle="1" w:styleId="BodyTextChar">
    <w:name w:val="Body Text Char"/>
    <w:basedOn w:val="DefaultParagraphFont"/>
    <w:link w:val="BodyText"/>
    <w:uiPriority w:val="99"/>
    <w:rsid w:val="00223753"/>
    <w:rPr>
      <w:rFonts w:ascii="Times New Roman" w:eastAsia="Times New Roman" w:hAnsi="Times New Roman" w:cs="Times New Roman"/>
      <w:lang w:val="it-IT" w:eastAsia="it-IT"/>
    </w:rPr>
  </w:style>
  <w:style w:type="character" w:customStyle="1" w:styleId="CorpodeltestoCarattere">
    <w:name w:val="Corpo del testo Carattere"/>
    <w:rsid w:val="00223753"/>
    <w:rPr>
      <w:sz w:val="24"/>
      <w:szCs w:val="24"/>
      <w:lang w:val="it-IT" w:eastAsia="it-IT" w:bidi="ar-SA"/>
    </w:rPr>
  </w:style>
  <w:style w:type="paragraph" w:customStyle="1" w:styleId="Figura">
    <w:name w:val="Figura"/>
    <w:next w:val="Didascal"/>
    <w:autoRedefine/>
    <w:rsid w:val="00223753"/>
    <w:pPr>
      <w:keepNext/>
      <w:keepLines/>
      <w:autoSpaceDE w:val="0"/>
      <w:autoSpaceDN w:val="0"/>
      <w:spacing w:before="120"/>
      <w:jc w:val="center"/>
    </w:pPr>
    <w:rPr>
      <w:rFonts w:ascii="Times New Roman" w:eastAsia="Times New Roman" w:hAnsi="Times New Roman" w:cs="Times New Roman"/>
      <w:noProof/>
      <w:sz w:val="20"/>
      <w:szCs w:val="20"/>
      <w:lang w:eastAsia="it-IT"/>
    </w:rPr>
  </w:style>
  <w:style w:type="paragraph" w:customStyle="1" w:styleId="Didascal">
    <w:name w:val="Didascal"/>
    <w:next w:val="Corpodeltesto"/>
    <w:autoRedefine/>
    <w:rsid w:val="00223753"/>
    <w:pPr>
      <w:keepLines/>
      <w:autoSpaceDE w:val="0"/>
      <w:autoSpaceDN w:val="0"/>
      <w:spacing w:line="480" w:lineRule="auto"/>
      <w:jc w:val="both"/>
    </w:pPr>
    <w:rPr>
      <w:rFonts w:ascii="Times" w:eastAsia="Times New Roman" w:hAnsi="Times" w:cs="Times New Roman"/>
      <w:noProof/>
      <w:szCs w:val="20"/>
      <w:lang w:val="it-IT" w:eastAsia="it-IT"/>
    </w:rPr>
  </w:style>
  <w:style w:type="paragraph" w:customStyle="1" w:styleId="Equazione">
    <w:name w:val="Equazione"/>
    <w:next w:val="Corpodeltesto"/>
    <w:link w:val="EquazioneCarattere"/>
    <w:autoRedefine/>
    <w:qFormat/>
    <w:rsid w:val="00223753"/>
    <w:pPr>
      <w:tabs>
        <w:tab w:val="center" w:pos="4536"/>
        <w:tab w:val="right" w:pos="9072"/>
      </w:tabs>
      <w:autoSpaceDE w:val="0"/>
      <w:autoSpaceDN w:val="0"/>
      <w:spacing w:line="480" w:lineRule="auto"/>
      <w:ind w:right="-2"/>
      <w:jc w:val="both"/>
    </w:pPr>
    <w:rPr>
      <w:rFonts w:ascii="Times New Roman" w:eastAsia="Times New Roman" w:hAnsi="Times New Roman" w:cs="Times New Roman"/>
      <w:noProof/>
      <w:position w:val="-4"/>
      <w:szCs w:val="20"/>
      <w:lang w:eastAsia="it-IT"/>
    </w:rPr>
  </w:style>
  <w:style w:type="paragraph" w:styleId="Bibliography">
    <w:name w:val="Bibliography"/>
    <w:basedOn w:val="NormaleStiletabella"/>
    <w:autoRedefine/>
    <w:uiPriority w:val="37"/>
    <w:rsid w:val="00223753"/>
    <w:pPr>
      <w:widowControl w:val="0"/>
      <w:ind w:left="284" w:hanging="284"/>
      <w:jc w:val="both"/>
    </w:pPr>
    <w:rPr>
      <w:b w:val="0"/>
    </w:rPr>
  </w:style>
  <w:style w:type="character" w:styleId="PageNumber">
    <w:name w:val="page number"/>
    <w:basedOn w:val="DefaultParagraphFont"/>
    <w:rsid w:val="00223753"/>
  </w:style>
  <w:style w:type="paragraph" w:customStyle="1" w:styleId="CorpoAbstract">
    <w:name w:val="Corpo_Abstract"/>
    <w:autoRedefine/>
    <w:rsid w:val="00223753"/>
    <w:pPr>
      <w:autoSpaceDE w:val="0"/>
      <w:autoSpaceDN w:val="0"/>
      <w:jc w:val="both"/>
    </w:pPr>
    <w:rPr>
      <w:rFonts w:ascii="Times New Roman" w:eastAsia="Times New Roman" w:hAnsi="Times New Roman" w:cs="Times New Roman"/>
      <w:noProof/>
      <w:sz w:val="20"/>
      <w:szCs w:val="20"/>
      <w:lang w:val="it-IT" w:eastAsia="it-IT"/>
    </w:rPr>
  </w:style>
  <w:style w:type="paragraph" w:styleId="BodyText2">
    <w:name w:val="Body Text 2"/>
    <w:basedOn w:val="Normal"/>
    <w:link w:val="BodyText2Char"/>
    <w:uiPriority w:val="99"/>
    <w:rsid w:val="00223753"/>
    <w:pPr>
      <w:tabs>
        <w:tab w:val="left" w:pos="0"/>
        <w:tab w:val="left" w:pos="80"/>
      </w:tabs>
      <w:spacing w:line="480" w:lineRule="auto"/>
      <w:ind w:right="-15"/>
      <w:jc w:val="both"/>
    </w:pPr>
    <w:rPr>
      <w:rFonts w:ascii="Times" w:eastAsia="Times New Roman" w:hAnsi="Times"/>
      <w:sz w:val="24"/>
      <w:lang w:val="it-IT" w:eastAsia="it-IT"/>
    </w:rPr>
  </w:style>
  <w:style w:type="character" w:customStyle="1" w:styleId="BodyText2Char">
    <w:name w:val="Body Text 2 Char"/>
    <w:basedOn w:val="DefaultParagraphFont"/>
    <w:link w:val="BodyText2"/>
    <w:uiPriority w:val="99"/>
    <w:rsid w:val="00223753"/>
    <w:rPr>
      <w:rFonts w:ascii="Times" w:eastAsia="Times New Roman" w:hAnsi="Times" w:cs="Times New Roman"/>
      <w:szCs w:val="20"/>
      <w:lang w:val="it-IT" w:eastAsia="it-IT"/>
    </w:rPr>
  </w:style>
  <w:style w:type="paragraph" w:customStyle="1" w:styleId="28IdrReference">
    <w:name w:val="28Idr_Reference"/>
    <w:basedOn w:val="Normal"/>
    <w:autoRedefine/>
    <w:rsid w:val="00223753"/>
    <w:pPr>
      <w:widowControl w:val="0"/>
      <w:spacing w:line="480" w:lineRule="auto"/>
      <w:ind w:left="284" w:hanging="284"/>
      <w:jc w:val="both"/>
    </w:pPr>
    <w:rPr>
      <w:rFonts w:eastAsia="Times New Roman"/>
      <w:sz w:val="24"/>
      <w:lang w:val="it-IT" w:eastAsia="it-IT"/>
    </w:rPr>
  </w:style>
  <w:style w:type="paragraph" w:customStyle="1" w:styleId="Autore">
    <w:name w:val="Autore"/>
    <w:basedOn w:val="Normal"/>
    <w:rsid w:val="00223753"/>
    <w:pPr>
      <w:suppressAutoHyphens/>
      <w:overflowPunct w:val="0"/>
      <w:autoSpaceDE w:val="0"/>
      <w:autoSpaceDN w:val="0"/>
      <w:adjustRightInd w:val="0"/>
      <w:spacing w:line="280" w:lineRule="exact"/>
      <w:jc w:val="both"/>
      <w:textAlignment w:val="baseline"/>
    </w:pPr>
    <w:rPr>
      <w:rFonts w:eastAsia="Times New Roman"/>
      <w:b/>
      <w:sz w:val="24"/>
      <w:lang w:val="it-IT" w:eastAsia="it-IT"/>
    </w:rPr>
  </w:style>
  <w:style w:type="paragraph" w:styleId="Caption">
    <w:name w:val="caption"/>
    <w:aliases w:val="_Figura,Didascalia Carattere"/>
    <w:basedOn w:val="Normal"/>
    <w:next w:val="Normal"/>
    <w:link w:val="CaptionChar"/>
    <w:uiPriority w:val="35"/>
    <w:qFormat/>
    <w:rsid w:val="00223753"/>
    <w:pPr>
      <w:overflowPunct w:val="0"/>
      <w:autoSpaceDE w:val="0"/>
      <w:autoSpaceDN w:val="0"/>
      <w:adjustRightInd w:val="0"/>
      <w:spacing w:after="120" w:line="260" w:lineRule="exact"/>
      <w:jc w:val="both"/>
      <w:textAlignment w:val="baseline"/>
    </w:pPr>
    <w:rPr>
      <w:rFonts w:eastAsia="Times New Roman"/>
      <w:sz w:val="22"/>
      <w:lang w:val="it-IT" w:eastAsia="it-IT"/>
    </w:rPr>
  </w:style>
  <w:style w:type="paragraph" w:styleId="BodyTextIndent">
    <w:name w:val="Body Text Indent"/>
    <w:basedOn w:val="Normal"/>
    <w:link w:val="BodyTextIndentChar"/>
    <w:uiPriority w:val="99"/>
    <w:rsid w:val="00223753"/>
    <w:pPr>
      <w:overflowPunct w:val="0"/>
      <w:autoSpaceDE w:val="0"/>
      <w:autoSpaceDN w:val="0"/>
      <w:adjustRightInd w:val="0"/>
      <w:spacing w:line="260" w:lineRule="exact"/>
      <w:ind w:firstLine="227"/>
      <w:jc w:val="both"/>
      <w:textAlignment w:val="baseline"/>
    </w:pPr>
    <w:rPr>
      <w:rFonts w:eastAsia="Times New Roman"/>
      <w:sz w:val="22"/>
      <w:lang w:val="it-IT" w:eastAsia="it-IT"/>
    </w:rPr>
  </w:style>
  <w:style w:type="character" w:customStyle="1" w:styleId="BodyTextIndentChar">
    <w:name w:val="Body Text Indent Char"/>
    <w:basedOn w:val="DefaultParagraphFont"/>
    <w:link w:val="BodyTextIndent"/>
    <w:uiPriority w:val="99"/>
    <w:rsid w:val="00223753"/>
    <w:rPr>
      <w:rFonts w:ascii="Times New Roman" w:eastAsia="Times New Roman" w:hAnsi="Times New Roman" w:cs="Times New Roman"/>
      <w:sz w:val="22"/>
      <w:szCs w:val="20"/>
      <w:lang w:val="it-IT" w:eastAsia="it-IT"/>
    </w:rPr>
  </w:style>
  <w:style w:type="paragraph" w:customStyle="1" w:styleId="Titolo1doposommario">
    <w:name w:val="Titolo 1 dopo sommario"/>
    <w:basedOn w:val="Heading1"/>
    <w:next w:val="Paragrafodopotitolo"/>
    <w:rsid w:val="00223753"/>
    <w:pPr>
      <w:numPr>
        <w:numId w:val="15"/>
      </w:numPr>
      <w:spacing w:before="0"/>
    </w:pPr>
  </w:style>
  <w:style w:type="paragraph" w:styleId="FootnoteText">
    <w:name w:val="footnote text"/>
    <w:basedOn w:val="Normal"/>
    <w:link w:val="FootnoteTextChar"/>
    <w:uiPriority w:val="99"/>
    <w:rsid w:val="00223753"/>
    <w:pPr>
      <w:autoSpaceDE w:val="0"/>
      <w:autoSpaceDN w:val="0"/>
      <w:spacing w:line="360" w:lineRule="auto"/>
    </w:pPr>
    <w:rPr>
      <w:rFonts w:eastAsia="Times New Roman"/>
      <w:sz w:val="24"/>
      <w:lang w:val="it-IT" w:eastAsia="it-IT"/>
    </w:rPr>
  </w:style>
  <w:style w:type="character" w:customStyle="1" w:styleId="FootnoteTextChar">
    <w:name w:val="Footnote Text Char"/>
    <w:basedOn w:val="DefaultParagraphFont"/>
    <w:link w:val="FootnoteText"/>
    <w:uiPriority w:val="99"/>
    <w:rsid w:val="00223753"/>
    <w:rPr>
      <w:rFonts w:ascii="Times New Roman" w:eastAsia="Times New Roman" w:hAnsi="Times New Roman" w:cs="Times New Roman"/>
      <w:szCs w:val="20"/>
      <w:lang w:val="it-IT" w:eastAsia="it-IT"/>
    </w:rPr>
  </w:style>
  <w:style w:type="character" w:styleId="FootnoteReference">
    <w:name w:val="footnote reference"/>
    <w:rsid w:val="00223753"/>
    <w:rPr>
      <w:vertAlign w:val="superscript"/>
    </w:rPr>
  </w:style>
  <w:style w:type="paragraph" w:styleId="BodyText3">
    <w:name w:val="Body Text 3"/>
    <w:basedOn w:val="Normal"/>
    <w:link w:val="BodyText3Char"/>
    <w:uiPriority w:val="99"/>
    <w:rsid w:val="00223753"/>
    <w:pPr>
      <w:widowControl w:val="0"/>
      <w:autoSpaceDE w:val="0"/>
      <w:autoSpaceDN w:val="0"/>
      <w:adjustRightInd w:val="0"/>
      <w:spacing w:line="480" w:lineRule="auto"/>
      <w:jc w:val="both"/>
    </w:pPr>
    <w:rPr>
      <w:rFonts w:ascii="ArialMT" w:eastAsia="Times New Roman" w:hAnsi="ArialMT"/>
      <w:sz w:val="24"/>
      <w:lang w:val="it-IT" w:eastAsia="it-IT"/>
    </w:rPr>
  </w:style>
  <w:style w:type="character" w:customStyle="1" w:styleId="BodyText3Char">
    <w:name w:val="Body Text 3 Char"/>
    <w:basedOn w:val="DefaultParagraphFont"/>
    <w:link w:val="BodyText3"/>
    <w:uiPriority w:val="99"/>
    <w:rsid w:val="00223753"/>
    <w:rPr>
      <w:rFonts w:ascii="ArialMT" w:eastAsia="Times New Roman" w:hAnsi="ArialMT" w:cs="Times New Roman"/>
      <w:szCs w:val="20"/>
      <w:lang w:val="it-IT" w:eastAsia="it-IT"/>
    </w:rPr>
  </w:style>
  <w:style w:type="paragraph" w:customStyle="1" w:styleId="Risultato">
    <w:name w:val="Risultato"/>
    <w:basedOn w:val="BodyText"/>
    <w:rsid w:val="00223753"/>
    <w:pPr>
      <w:numPr>
        <w:numId w:val="17"/>
      </w:numPr>
      <w:spacing w:after="60" w:line="220" w:lineRule="atLeast"/>
      <w:ind w:right="0"/>
    </w:pPr>
    <w:rPr>
      <w:rFonts w:ascii="Arial" w:hAnsi="Arial"/>
      <w:spacing w:val="-5"/>
      <w:sz w:val="20"/>
    </w:rPr>
  </w:style>
  <w:style w:type="paragraph" w:customStyle="1" w:styleId="28IdrBodyText">
    <w:name w:val="28Idr_Body_Text"/>
    <w:rsid w:val="00223753"/>
    <w:pPr>
      <w:widowControl w:val="0"/>
      <w:autoSpaceDE w:val="0"/>
      <w:autoSpaceDN w:val="0"/>
      <w:ind w:firstLine="284"/>
      <w:jc w:val="both"/>
    </w:pPr>
    <w:rPr>
      <w:rFonts w:ascii="Times New Roman" w:eastAsia="Times New Roman" w:hAnsi="Times New Roman" w:cs="Times New Roman"/>
      <w:noProof/>
      <w:sz w:val="20"/>
      <w:szCs w:val="20"/>
      <w:lang w:val="it-IT" w:eastAsia="it-IT"/>
    </w:rPr>
  </w:style>
  <w:style w:type="paragraph" w:customStyle="1" w:styleId="28IdrEquation">
    <w:name w:val="28Idr_Equation"/>
    <w:next w:val="28IdrBodyText"/>
    <w:autoRedefine/>
    <w:rsid w:val="00223753"/>
    <w:pPr>
      <w:widowControl w:val="0"/>
      <w:tabs>
        <w:tab w:val="center" w:pos="4678"/>
        <w:tab w:val="right" w:pos="9072"/>
      </w:tabs>
      <w:autoSpaceDE w:val="0"/>
      <w:autoSpaceDN w:val="0"/>
      <w:adjustRightInd w:val="0"/>
      <w:spacing w:line="480" w:lineRule="auto"/>
      <w:jc w:val="center"/>
    </w:pPr>
    <w:rPr>
      <w:rFonts w:ascii="Times New Roman" w:eastAsia="Times New Roman" w:hAnsi="Times New Roman" w:cs="Times New Roman"/>
      <w:b/>
      <w:caps/>
      <w:noProof/>
      <w:szCs w:val="20"/>
      <w:lang w:val="it-IT" w:eastAsia="it-IT"/>
    </w:rPr>
  </w:style>
  <w:style w:type="character" w:styleId="PlaceholderText">
    <w:name w:val="Placeholder Text"/>
    <w:basedOn w:val="DefaultParagraphFont"/>
    <w:uiPriority w:val="99"/>
    <w:semiHidden/>
    <w:rsid w:val="00223753"/>
    <w:rPr>
      <w:color w:val="808080"/>
    </w:rPr>
  </w:style>
  <w:style w:type="paragraph" w:styleId="CommentText">
    <w:name w:val="annotation text"/>
    <w:basedOn w:val="Normal"/>
    <w:link w:val="CommentTextChar"/>
    <w:uiPriority w:val="99"/>
    <w:unhideWhenUsed/>
    <w:rsid w:val="00223753"/>
    <w:pPr>
      <w:spacing w:before="240" w:line="360" w:lineRule="auto"/>
      <w:ind w:firstLine="284"/>
      <w:contextualSpacing/>
      <w:jc w:val="both"/>
    </w:pPr>
    <w:rPr>
      <w:sz w:val="24"/>
      <w:lang w:val="it-IT"/>
    </w:rPr>
  </w:style>
  <w:style w:type="character" w:customStyle="1" w:styleId="CommentTextChar">
    <w:name w:val="Comment Text Char"/>
    <w:basedOn w:val="DefaultParagraphFont"/>
    <w:link w:val="CommentText"/>
    <w:uiPriority w:val="99"/>
    <w:rsid w:val="00223753"/>
    <w:rPr>
      <w:rFonts w:ascii="Times New Roman" w:eastAsia="Calibri" w:hAnsi="Times New Roman" w:cs="Times New Roman"/>
      <w:szCs w:val="20"/>
      <w:lang w:val="it-IT"/>
    </w:rPr>
  </w:style>
  <w:style w:type="character" w:styleId="CommentReference">
    <w:name w:val="annotation reference"/>
    <w:basedOn w:val="DefaultParagraphFont"/>
    <w:uiPriority w:val="99"/>
    <w:semiHidden/>
    <w:unhideWhenUsed/>
    <w:rsid w:val="00223753"/>
    <w:rPr>
      <w:sz w:val="16"/>
      <w:szCs w:val="16"/>
    </w:rPr>
  </w:style>
  <w:style w:type="paragraph" w:styleId="CommentSubject">
    <w:name w:val="annotation subject"/>
    <w:basedOn w:val="CommentText"/>
    <w:next w:val="CommentText"/>
    <w:link w:val="CommentSubjectChar"/>
    <w:uiPriority w:val="99"/>
    <w:semiHidden/>
    <w:unhideWhenUsed/>
    <w:rsid w:val="00223753"/>
    <w:pPr>
      <w:spacing w:before="0" w:after="160"/>
      <w:ind w:firstLine="567"/>
      <w:contextualSpacing w:val="0"/>
      <w:jc w:val="left"/>
    </w:pPr>
    <w:rPr>
      <w:rFonts w:eastAsiaTheme="minorHAnsi" w:cstheme="minorBidi"/>
      <w:b/>
      <w:bCs/>
      <w:lang w:val="en-GB"/>
    </w:rPr>
  </w:style>
  <w:style w:type="character" w:customStyle="1" w:styleId="CommentSubjectChar">
    <w:name w:val="Comment Subject Char"/>
    <w:basedOn w:val="CommentTextChar"/>
    <w:link w:val="CommentSubject"/>
    <w:uiPriority w:val="99"/>
    <w:semiHidden/>
    <w:rsid w:val="00223753"/>
    <w:rPr>
      <w:rFonts w:ascii="Times New Roman" w:eastAsia="Calibri" w:hAnsi="Times New Roman" w:cs="Times New Roman"/>
      <w:b/>
      <w:bCs/>
      <w:szCs w:val="20"/>
      <w:lang w:val="en-GB"/>
    </w:rPr>
  </w:style>
  <w:style w:type="character" w:customStyle="1" w:styleId="CaptionChar">
    <w:name w:val="Caption Char"/>
    <w:aliases w:val="_Figura Char,Didascalia Carattere Char"/>
    <w:basedOn w:val="DefaultParagraphFont"/>
    <w:link w:val="Caption"/>
    <w:uiPriority w:val="35"/>
    <w:locked/>
    <w:rsid w:val="00223753"/>
    <w:rPr>
      <w:rFonts w:ascii="Times New Roman" w:eastAsia="Times New Roman" w:hAnsi="Times New Roman" w:cs="Times New Roman"/>
      <w:sz w:val="22"/>
      <w:szCs w:val="20"/>
      <w:lang w:val="it-IT" w:eastAsia="it-IT"/>
    </w:rPr>
  </w:style>
  <w:style w:type="character" w:styleId="Strong">
    <w:name w:val="Strong"/>
    <w:basedOn w:val="DefaultParagraphFont"/>
    <w:qFormat/>
    <w:rsid w:val="00223753"/>
    <w:rPr>
      <w:b/>
      <w:bCs/>
      <w:spacing w:val="0"/>
      <w:w w:val="100"/>
      <w:kern w:val="0"/>
      <w:position w:val="0"/>
    </w:rPr>
  </w:style>
  <w:style w:type="paragraph" w:customStyle="1" w:styleId="msonormal0">
    <w:name w:val="msonormal"/>
    <w:basedOn w:val="Normal"/>
    <w:uiPriority w:val="99"/>
    <w:rsid w:val="00223753"/>
    <w:pPr>
      <w:spacing w:before="100" w:beforeAutospacing="1" w:after="100" w:afterAutospacing="1" w:line="360" w:lineRule="auto"/>
      <w:ind w:firstLine="284"/>
      <w:contextualSpacing/>
      <w:jc w:val="both"/>
    </w:pPr>
    <w:rPr>
      <w:rFonts w:eastAsia="Times New Roman"/>
      <w:sz w:val="24"/>
      <w:szCs w:val="24"/>
      <w:lang w:val="it-IT" w:eastAsia="it-IT"/>
    </w:rPr>
  </w:style>
  <w:style w:type="character" w:customStyle="1" w:styleId="Titolo7Carattere1">
    <w:name w:val="Titolo 7 Carattere1"/>
    <w:aliases w:val="figure Carattere1"/>
    <w:basedOn w:val="DefaultParagraphFont"/>
    <w:semiHidden/>
    <w:rsid w:val="00223753"/>
    <w:rPr>
      <w:rFonts w:asciiTheme="majorHAnsi" w:eastAsiaTheme="majorEastAsia" w:hAnsiTheme="majorHAnsi" w:cstheme="majorBidi"/>
      <w:i/>
      <w:iCs/>
      <w:color w:val="1F4D78" w:themeColor="accent1" w:themeShade="7F"/>
      <w:szCs w:val="22"/>
      <w:lang w:eastAsia="en-US"/>
    </w:rPr>
  </w:style>
  <w:style w:type="paragraph" w:styleId="Index5">
    <w:name w:val="index 5"/>
    <w:basedOn w:val="Normal"/>
    <w:next w:val="Normal"/>
    <w:autoRedefine/>
    <w:uiPriority w:val="99"/>
    <w:semiHidden/>
    <w:unhideWhenUsed/>
    <w:rsid w:val="00223753"/>
    <w:pPr>
      <w:spacing w:before="240" w:line="360" w:lineRule="auto"/>
      <w:ind w:left="1000" w:hanging="200"/>
      <w:contextualSpacing/>
      <w:jc w:val="both"/>
    </w:pPr>
    <w:rPr>
      <w:rFonts w:eastAsia="Times New Roman"/>
      <w:sz w:val="24"/>
      <w:szCs w:val="24"/>
      <w:lang w:val="it-IT" w:eastAsia="it-IT"/>
    </w:rPr>
  </w:style>
  <w:style w:type="paragraph" w:styleId="TOC1">
    <w:name w:val="toc 1"/>
    <w:basedOn w:val="Caption"/>
    <w:next w:val="Caption"/>
    <w:autoRedefine/>
    <w:uiPriority w:val="39"/>
    <w:semiHidden/>
    <w:unhideWhenUsed/>
    <w:rsid w:val="00223753"/>
    <w:pPr>
      <w:tabs>
        <w:tab w:val="left" w:pos="180"/>
        <w:tab w:val="left" w:pos="360"/>
        <w:tab w:val="left" w:pos="992"/>
        <w:tab w:val="left" w:pos="1080"/>
        <w:tab w:val="left" w:pos="1134"/>
        <w:tab w:val="left" w:pos="1200"/>
        <w:tab w:val="left" w:pos="1440"/>
        <w:tab w:val="right" w:leader="dot" w:pos="6660"/>
      </w:tabs>
      <w:overflowPunct/>
      <w:autoSpaceDE/>
      <w:autoSpaceDN/>
      <w:adjustRightInd/>
      <w:spacing w:before="240" w:after="0" w:line="360" w:lineRule="auto"/>
      <w:ind w:left="992" w:right="851" w:hanging="567"/>
      <w:contextualSpacing/>
      <w:textAlignment w:val="auto"/>
    </w:pPr>
    <w:rPr>
      <w:b/>
      <w:i/>
      <w:sz w:val="18"/>
    </w:rPr>
  </w:style>
  <w:style w:type="paragraph" w:styleId="TOC2">
    <w:name w:val="toc 2"/>
    <w:basedOn w:val="Normal"/>
    <w:next w:val="Normal"/>
    <w:autoRedefine/>
    <w:uiPriority w:val="39"/>
    <w:semiHidden/>
    <w:unhideWhenUsed/>
    <w:rsid w:val="00223753"/>
    <w:pPr>
      <w:tabs>
        <w:tab w:val="left" w:pos="900"/>
        <w:tab w:val="left" w:pos="1200"/>
        <w:tab w:val="left" w:pos="1440"/>
        <w:tab w:val="right" w:leader="dot" w:pos="6660"/>
      </w:tabs>
      <w:spacing w:before="240" w:line="360" w:lineRule="auto"/>
      <w:ind w:left="1440" w:right="567" w:hanging="360"/>
      <w:contextualSpacing/>
      <w:jc w:val="both"/>
    </w:pPr>
    <w:rPr>
      <w:rFonts w:eastAsia="Times New Roman"/>
      <w:sz w:val="24"/>
      <w:lang w:val="it-IT" w:eastAsia="it-IT"/>
    </w:rPr>
  </w:style>
  <w:style w:type="paragraph" w:styleId="TOC3">
    <w:name w:val="toc 3"/>
    <w:basedOn w:val="Normal"/>
    <w:next w:val="Normal"/>
    <w:autoRedefine/>
    <w:uiPriority w:val="39"/>
    <w:semiHidden/>
    <w:unhideWhenUsed/>
    <w:rsid w:val="00223753"/>
    <w:pPr>
      <w:tabs>
        <w:tab w:val="left" w:pos="1503"/>
        <w:tab w:val="left" w:pos="2086"/>
        <w:tab w:val="right" w:leader="dot" w:pos="6662"/>
      </w:tabs>
      <w:spacing w:before="240" w:line="360" w:lineRule="auto"/>
      <w:ind w:left="2160" w:right="567" w:hanging="720"/>
      <w:contextualSpacing/>
      <w:jc w:val="both"/>
    </w:pPr>
    <w:rPr>
      <w:rFonts w:eastAsia="Times New Roman"/>
      <w:sz w:val="24"/>
      <w:szCs w:val="24"/>
      <w:lang w:val="it-IT" w:eastAsia="it-IT"/>
    </w:rPr>
  </w:style>
  <w:style w:type="paragraph" w:styleId="TOC4">
    <w:name w:val="toc 4"/>
    <w:basedOn w:val="Normal"/>
    <w:next w:val="Normal"/>
    <w:autoRedefine/>
    <w:uiPriority w:val="99"/>
    <w:semiHidden/>
    <w:unhideWhenUsed/>
    <w:rsid w:val="00223753"/>
    <w:pPr>
      <w:tabs>
        <w:tab w:val="left" w:pos="2700"/>
        <w:tab w:val="right" w:leader="dot" w:pos="6660"/>
      </w:tabs>
      <w:spacing w:before="240" w:line="360" w:lineRule="auto"/>
      <w:ind w:left="1644" w:right="567" w:firstLine="425"/>
      <w:contextualSpacing/>
      <w:jc w:val="both"/>
    </w:pPr>
    <w:rPr>
      <w:rFonts w:eastAsia="Times New Roman"/>
      <w:sz w:val="24"/>
      <w:szCs w:val="24"/>
      <w:lang w:val="it-IT" w:eastAsia="it-IT"/>
    </w:rPr>
  </w:style>
  <w:style w:type="paragraph" w:styleId="TOC5">
    <w:name w:val="toc 5"/>
    <w:basedOn w:val="Normal"/>
    <w:next w:val="Normal"/>
    <w:autoRedefine/>
    <w:uiPriority w:val="99"/>
    <w:semiHidden/>
    <w:unhideWhenUsed/>
    <w:rsid w:val="00223753"/>
    <w:pPr>
      <w:spacing w:before="240" w:line="360" w:lineRule="auto"/>
      <w:ind w:left="960" w:firstLine="425"/>
      <w:contextualSpacing/>
      <w:jc w:val="both"/>
    </w:pPr>
    <w:rPr>
      <w:rFonts w:eastAsia="Times New Roman"/>
      <w:sz w:val="24"/>
      <w:szCs w:val="24"/>
      <w:lang w:val="it-IT" w:eastAsia="it-IT"/>
    </w:rPr>
  </w:style>
  <w:style w:type="paragraph" w:styleId="TOC6">
    <w:name w:val="toc 6"/>
    <w:basedOn w:val="Normal"/>
    <w:next w:val="Normal"/>
    <w:autoRedefine/>
    <w:uiPriority w:val="99"/>
    <w:semiHidden/>
    <w:unhideWhenUsed/>
    <w:rsid w:val="00223753"/>
    <w:pPr>
      <w:spacing w:before="240" w:line="360" w:lineRule="auto"/>
      <w:ind w:left="1200" w:firstLine="425"/>
      <w:contextualSpacing/>
      <w:jc w:val="both"/>
    </w:pPr>
    <w:rPr>
      <w:rFonts w:eastAsia="Times New Roman"/>
      <w:sz w:val="24"/>
      <w:szCs w:val="24"/>
      <w:lang w:val="it-IT" w:eastAsia="it-IT"/>
    </w:rPr>
  </w:style>
  <w:style w:type="paragraph" w:styleId="TOC7">
    <w:name w:val="toc 7"/>
    <w:basedOn w:val="Normal"/>
    <w:next w:val="Normal"/>
    <w:autoRedefine/>
    <w:uiPriority w:val="99"/>
    <w:semiHidden/>
    <w:unhideWhenUsed/>
    <w:rsid w:val="00223753"/>
    <w:pPr>
      <w:spacing w:before="240" w:line="360" w:lineRule="auto"/>
      <w:ind w:left="1440" w:firstLine="425"/>
      <w:contextualSpacing/>
      <w:jc w:val="both"/>
    </w:pPr>
    <w:rPr>
      <w:rFonts w:eastAsia="Times New Roman"/>
      <w:sz w:val="24"/>
      <w:szCs w:val="24"/>
      <w:lang w:val="it-IT" w:eastAsia="it-IT"/>
    </w:rPr>
  </w:style>
  <w:style w:type="paragraph" w:styleId="TOC8">
    <w:name w:val="toc 8"/>
    <w:basedOn w:val="Normal"/>
    <w:next w:val="Normal"/>
    <w:autoRedefine/>
    <w:uiPriority w:val="99"/>
    <w:semiHidden/>
    <w:unhideWhenUsed/>
    <w:rsid w:val="00223753"/>
    <w:pPr>
      <w:spacing w:before="240" w:line="360" w:lineRule="auto"/>
      <w:ind w:left="1680" w:firstLine="425"/>
      <w:contextualSpacing/>
      <w:jc w:val="both"/>
    </w:pPr>
    <w:rPr>
      <w:rFonts w:eastAsia="Times New Roman"/>
      <w:sz w:val="24"/>
      <w:szCs w:val="24"/>
      <w:lang w:val="it-IT" w:eastAsia="it-IT"/>
    </w:rPr>
  </w:style>
  <w:style w:type="paragraph" w:styleId="TOC9">
    <w:name w:val="toc 9"/>
    <w:basedOn w:val="Normal"/>
    <w:next w:val="Normal"/>
    <w:autoRedefine/>
    <w:uiPriority w:val="99"/>
    <w:semiHidden/>
    <w:unhideWhenUsed/>
    <w:rsid w:val="00223753"/>
    <w:pPr>
      <w:spacing w:before="240" w:line="360" w:lineRule="auto"/>
      <w:ind w:firstLine="284"/>
      <w:contextualSpacing/>
      <w:jc w:val="right"/>
    </w:pPr>
    <w:rPr>
      <w:rFonts w:eastAsia="Times New Roman"/>
      <w:b/>
      <w:sz w:val="24"/>
      <w:szCs w:val="24"/>
      <w:lang w:val="it-IT" w:eastAsia="it-IT"/>
    </w:rPr>
  </w:style>
  <w:style w:type="paragraph" w:styleId="TableofFigures">
    <w:name w:val="table of figures"/>
    <w:basedOn w:val="BodyText"/>
    <w:next w:val="Normal"/>
    <w:uiPriority w:val="99"/>
    <w:semiHidden/>
    <w:unhideWhenUsed/>
    <w:rsid w:val="00223753"/>
    <w:pPr>
      <w:spacing w:before="240" w:after="120" w:line="240" w:lineRule="auto"/>
      <w:ind w:left="1701" w:hanging="1304"/>
      <w:contextualSpacing/>
      <w:jc w:val="left"/>
    </w:pPr>
    <w:rPr>
      <w:sz w:val="20"/>
      <w:szCs w:val="20"/>
    </w:rPr>
  </w:style>
  <w:style w:type="paragraph" w:styleId="EndnoteText">
    <w:name w:val="endnote text"/>
    <w:basedOn w:val="Normal"/>
    <w:link w:val="EndnoteTextChar"/>
    <w:uiPriority w:val="99"/>
    <w:semiHidden/>
    <w:unhideWhenUsed/>
    <w:rsid w:val="00223753"/>
    <w:pPr>
      <w:spacing w:before="240" w:line="360" w:lineRule="auto"/>
      <w:ind w:firstLine="284"/>
      <w:contextualSpacing/>
      <w:jc w:val="both"/>
    </w:pPr>
    <w:rPr>
      <w:sz w:val="24"/>
      <w:lang w:val="it-IT"/>
    </w:rPr>
  </w:style>
  <w:style w:type="character" w:customStyle="1" w:styleId="EndnoteTextChar">
    <w:name w:val="Endnote Text Char"/>
    <w:basedOn w:val="DefaultParagraphFont"/>
    <w:link w:val="EndnoteText"/>
    <w:uiPriority w:val="99"/>
    <w:semiHidden/>
    <w:rsid w:val="00223753"/>
    <w:rPr>
      <w:rFonts w:ascii="Times New Roman" w:eastAsia="Calibri" w:hAnsi="Times New Roman" w:cs="Times New Roman"/>
      <w:szCs w:val="20"/>
      <w:lang w:val="it-IT"/>
    </w:rPr>
  </w:style>
  <w:style w:type="character" w:customStyle="1" w:styleId="ListBulletChar">
    <w:name w:val="List Bullet Char"/>
    <w:basedOn w:val="DefaultParagraphFont"/>
    <w:link w:val="ListBullet"/>
    <w:semiHidden/>
    <w:locked/>
    <w:rsid w:val="00223753"/>
    <w:rPr>
      <w:iCs/>
    </w:rPr>
  </w:style>
  <w:style w:type="paragraph" w:styleId="ListBullet">
    <w:name w:val="List Bullet"/>
    <w:basedOn w:val="Normal"/>
    <w:link w:val="ListBulletChar"/>
    <w:autoRedefine/>
    <w:semiHidden/>
    <w:unhideWhenUsed/>
    <w:rsid w:val="00223753"/>
    <w:pPr>
      <w:numPr>
        <w:numId w:val="19"/>
      </w:numPr>
      <w:spacing w:before="240" w:line="360" w:lineRule="auto"/>
      <w:contextualSpacing/>
      <w:jc w:val="both"/>
    </w:pPr>
    <w:rPr>
      <w:rFonts w:asciiTheme="minorHAnsi" w:eastAsiaTheme="minorHAnsi" w:hAnsiTheme="minorHAnsi" w:cstheme="minorBidi"/>
      <w:iCs/>
      <w:sz w:val="24"/>
      <w:szCs w:val="24"/>
    </w:rPr>
  </w:style>
  <w:style w:type="paragraph" w:styleId="Subtitle">
    <w:name w:val="Subtitle"/>
    <w:basedOn w:val="Normal"/>
    <w:link w:val="SubtitleChar"/>
    <w:uiPriority w:val="99"/>
    <w:qFormat/>
    <w:rsid w:val="00223753"/>
    <w:pPr>
      <w:spacing w:before="240" w:line="480" w:lineRule="auto"/>
      <w:ind w:firstLine="284"/>
      <w:contextualSpacing/>
      <w:jc w:val="center"/>
    </w:pPr>
    <w:rPr>
      <w:rFonts w:eastAsia="Times New Roman"/>
      <w:sz w:val="28"/>
      <w:szCs w:val="24"/>
      <w:lang w:val="it-IT" w:eastAsia="it-IT"/>
    </w:rPr>
  </w:style>
  <w:style w:type="character" w:customStyle="1" w:styleId="SubtitleChar">
    <w:name w:val="Subtitle Char"/>
    <w:basedOn w:val="DefaultParagraphFont"/>
    <w:link w:val="Subtitle"/>
    <w:uiPriority w:val="99"/>
    <w:rsid w:val="00223753"/>
    <w:rPr>
      <w:rFonts w:ascii="Times New Roman" w:eastAsia="Times New Roman" w:hAnsi="Times New Roman" w:cs="Times New Roman"/>
      <w:sz w:val="28"/>
      <w:lang w:val="it-IT" w:eastAsia="it-IT"/>
    </w:rPr>
  </w:style>
  <w:style w:type="paragraph" w:styleId="BodyTextIndent2">
    <w:name w:val="Body Text Indent 2"/>
    <w:basedOn w:val="Normal"/>
    <w:link w:val="BodyTextIndent2Char"/>
    <w:uiPriority w:val="99"/>
    <w:semiHidden/>
    <w:unhideWhenUsed/>
    <w:rsid w:val="00223753"/>
    <w:pPr>
      <w:spacing w:before="240" w:line="360" w:lineRule="auto"/>
      <w:ind w:firstLine="425"/>
      <w:contextualSpacing/>
      <w:jc w:val="both"/>
    </w:pPr>
    <w:rPr>
      <w:rFonts w:eastAsia="Times New Roman"/>
      <w:sz w:val="24"/>
      <w:szCs w:val="24"/>
      <w:lang w:val="it-IT" w:eastAsia="it-IT"/>
    </w:rPr>
  </w:style>
  <w:style w:type="character" w:customStyle="1" w:styleId="BodyTextIndent2Char">
    <w:name w:val="Body Text Indent 2 Char"/>
    <w:basedOn w:val="DefaultParagraphFont"/>
    <w:link w:val="BodyTextIndent2"/>
    <w:uiPriority w:val="99"/>
    <w:semiHidden/>
    <w:rsid w:val="00223753"/>
    <w:rPr>
      <w:rFonts w:ascii="Times New Roman" w:eastAsia="Times New Roman" w:hAnsi="Times New Roman" w:cs="Times New Roman"/>
      <w:lang w:val="it-IT" w:eastAsia="it-IT"/>
    </w:rPr>
  </w:style>
  <w:style w:type="paragraph" w:styleId="BodyTextIndent3">
    <w:name w:val="Body Text Indent 3"/>
    <w:basedOn w:val="Normal"/>
    <w:link w:val="BodyTextIndent3Char"/>
    <w:uiPriority w:val="99"/>
    <w:semiHidden/>
    <w:unhideWhenUsed/>
    <w:rsid w:val="00223753"/>
    <w:pPr>
      <w:spacing w:before="240" w:line="360" w:lineRule="auto"/>
      <w:ind w:firstLine="425"/>
      <w:contextualSpacing/>
      <w:jc w:val="both"/>
    </w:pPr>
    <w:rPr>
      <w:rFonts w:eastAsia="Times New Roman"/>
      <w:sz w:val="24"/>
      <w:szCs w:val="24"/>
      <w:lang w:val="it-IT" w:eastAsia="it-IT"/>
    </w:rPr>
  </w:style>
  <w:style w:type="character" w:customStyle="1" w:styleId="BodyTextIndent3Char">
    <w:name w:val="Body Text Indent 3 Char"/>
    <w:basedOn w:val="DefaultParagraphFont"/>
    <w:link w:val="BodyTextIndent3"/>
    <w:uiPriority w:val="99"/>
    <w:semiHidden/>
    <w:rsid w:val="00223753"/>
    <w:rPr>
      <w:rFonts w:ascii="Times New Roman" w:eastAsia="Times New Roman" w:hAnsi="Times New Roman" w:cs="Times New Roman"/>
      <w:lang w:val="it-IT" w:eastAsia="it-IT"/>
    </w:rPr>
  </w:style>
  <w:style w:type="paragraph" w:styleId="NoSpacing">
    <w:name w:val="No Spacing"/>
    <w:uiPriority w:val="1"/>
    <w:qFormat/>
    <w:rsid w:val="00223753"/>
    <w:pPr>
      <w:spacing w:after="200" w:line="276" w:lineRule="auto"/>
      <w:ind w:firstLine="284"/>
      <w:jc w:val="both"/>
    </w:pPr>
    <w:rPr>
      <w:rFonts w:ascii="Times New Roman" w:eastAsia="Calibri" w:hAnsi="Times New Roman" w:cs="Times New Roman"/>
      <w:sz w:val="20"/>
      <w:szCs w:val="22"/>
      <w:lang w:val="it-IT"/>
    </w:rPr>
  </w:style>
  <w:style w:type="paragraph" w:styleId="Quote">
    <w:name w:val="Quote"/>
    <w:basedOn w:val="Normal"/>
    <w:next w:val="Normal"/>
    <w:link w:val="QuoteChar"/>
    <w:uiPriority w:val="29"/>
    <w:qFormat/>
    <w:rsid w:val="00223753"/>
    <w:pPr>
      <w:spacing w:before="200" w:after="160" w:line="276" w:lineRule="auto"/>
      <w:ind w:left="864" w:right="864" w:firstLine="284"/>
      <w:contextualSpacing/>
      <w:jc w:val="center"/>
    </w:pPr>
    <w:rPr>
      <w:i/>
      <w:iCs/>
      <w:sz w:val="24"/>
      <w:szCs w:val="22"/>
      <w:lang w:val="it-IT"/>
    </w:rPr>
  </w:style>
  <w:style w:type="character" w:customStyle="1" w:styleId="QuoteChar">
    <w:name w:val="Quote Char"/>
    <w:basedOn w:val="DefaultParagraphFont"/>
    <w:link w:val="Quote"/>
    <w:uiPriority w:val="29"/>
    <w:rsid w:val="00223753"/>
    <w:rPr>
      <w:rFonts w:ascii="Times New Roman" w:eastAsia="Calibri" w:hAnsi="Times New Roman" w:cs="Times New Roman"/>
      <w:i/>
      <w:iCs/>
      <w:szCs w:val="22"/>
      <w:lang w:val="it-IT"/>
    </w:rPr>
  </w:style>
  <w:style w:type="paragraph" w:styleId="IntenseQuote">
    <w:name w:val="Intense Quote"/>
    <w:basedOn w:val="Normal"/>
    <w:next w:val="Normal"/>
    <w:link w:val="IntenseQuoteChar"/>
    <w:uiPriority w:val="30"/>
    <w:qFormat/>
    <w:rsid w:val="00223753"/>
    <w:pPr>
      <w:pBdr>
        <w:top w:val="single" w:sz="4" w:space="10" w:color="5B9BD5" w:themeColor="accent1"/>
        <w:bottom w:val="single" w:sz="4" w:space="10" w:color="5B9BD5" w:themeColor="accent1"/>
      </w:pBdr>
      <w:spacing w:before="360" w:after="360" w:line="276" w:lineRule="auto"/>
      <w:ind w:left="864" w:right="864" w:firstLine="284"/>
      <w:contextualSpacing/>
      <w:jc w:val="center"/>
    </w:pPr>
    <w:rPr>
      <w:i/>
      <w:iCs/>
      <w:color w:val="5B9BD5" w:themeColor="accent1"/>
      <w:sz w:val="24"/>
      <w:szCs w:val="22"/>
      <w:lang w:val="it-IT"/>
    </w:rPr>
  </w:style>
  <w:style w:type="character" w:customStyle="1" w:styleId="IntenseQuoteChar">
    <w:name w:val="Intense Quote Char"/>
    <w:basedOn w:val="DefaultParagraphFont"/>
    <w:link w:val="IntenseQuote"/>
    <w:uiPriority w:val="30"/>
    <w:rsid w:val="00223753"/>
    <w:rPr>
      <w:rFonts w:ascii="Times New Roman" w:eastAsia="Calibri" w:hAnsi="Times New Roman" w:cs="Times New Roman"/>
      <w:i/>
      <w:iCs/>
      <w:color w:val="5B9BD5" w:themeColor="accent1"/>
      <w:szCs w:val="22"/>
      <w:lang w:val="it-IT"/>
    </w:rPr>
  </w:style>
  <w:style w:type="paragraph" w:styleId="TOCHeading">
    <w:name w:val="TOC Heading"/>
    <w:basedOn w:val="Heading1"/>
    <w:next w:val="Normal"/>
    <w:uiPriority w:val="39"/>
    <w:semiHidden/>
    <w:unhideWhenUsed/>
    <w:qFormat/>
    <w:rsid w:val="00223753"/>
    <w:pPr>
      <w:tabs>
        <w:tab w:val="clear" w:pos="284"/>
      </w:tabs>
      <w:overflowPunct/>
      <w:autoSpaceDE/>
      <w:autoSpaceDN/>
      <w:adjustRightInd/>
      <w:spacing w:after="0" w:line="276" w:lineRule="auto"/>
      <w:contextualSpacing/>
      <w:jc w:val="left"/>
      <w:textAlignment w:val="auto"/>
      <w:outlineLvl w:val="9"/>
    </w:pPr>
    <w:rPr>
      <w:rFonts w:asciiTheme="majorHAnsi" w:eastAsiaTheme="majorEastAsia" w:hAnsiTheme="majorHAnsi" w:cstheme="majorBidi"/>
      <w:bCs/>
      <w:caps w:val="0"/>
      <w:color w:val="2E74B5" w:themeColor="accent1" w:themeShade="BF"/>
      <w:sz w:val="28"/>
      <w:szCs w:val="28"/>
      <w:lang w:val="en-US" w:eastAsia="ja-JP"/>
    </w:rPr>
  </w:style>
  <w:style w:type="paragraph" w:customStyle="1" w:styleId="Testopredefinito1">
    <w:name w:val="Testo predefinito:1"/>
    <w:basedOn w:val="Normal"/>
    <w:uiPriority w:val="99"/>
    <w:rsid w:val="00223753"/>
    <w:pPr>
      <w:overflowPunct w:val="0"/>
      <w:autoSpaceDE w:val="0"/>
      <w:autoSpaceDN w:val="0"/>
      <w:adjustRightInd w:val="0"/>
      <w:spacing w:before="240" w:line="240" w:lineRule="exact"/>
      <w:ind w:firstLine="284"/>
      <w:contextualSpacing/>
      <w:jc w:val="both"/>
    </w:pPr>
    <w:rPr>
      <w:rFonts w:eastAsia="Times New Roman"/>
      <w:sz w:val="24"/>
      <w:lang w:eastAsia="it-IT"/>
    </w:rPr>
  </w:style>
  <w:style w:type="character" w:customStyle="1" w:styleId="equazioneCarattere0">
    <w:name w:val="equazione Carattere"/>
    <w:basedOn w:val="DefaultParagraphFont"/>
    <w:link w:val="equazione0"/>
    <w:locked/>
    <w:rsid w:val="00223753"/>
  </w:style>
  <w:style w:type="paragraph" w:customStyle="1" w:styleId="equazione0">
    <w:name w:val="equazione"/>
    <w:basedOn w:val="Normal"/>
    <w:link w:val="equazioneCarattere0"/>
    <w:rsid w:val="00223753"/>
    <w:pPr>
      <w:tabs>
        <w:tab w:val="center" w:pos="3686"/>
        <w:tab w:val="right" w:pos="7370"/>
      </w:tabs>
      <w:spacing w:before="240" w:line="360" w:lineRule="auto"/>
      <w:ind w:firstLine="284"/>
      <w:contextualSpacing/>
      <w:jc w:val="both"/>
    </w:pPr>
    <w:rPr>
      <w:rFonts w:asciiTheme="minorHAnsi" w:eastAsiaTheme="minorHAnsi" w:hAnsiTheme="minorHAnsi" w:cstheme="minorBidi"/>
      <w:sz w:val="24"/>
      <w:szCs w:val="24"/>
    </w:rPr>
  </w:style>
  <w:style w:type="paragraph" w:customStyle="1" w:styleId="TxBrc2">
    <w:name w:val="TxBr_c2"/>
    <w:basedOn w:val="Normal"/>
    <w:uiPriority w:val="99"/>
    <w:rsid w:val="00223753"/>
    <w:pPr>
      <w:widowControl w:val="0"/>
      <w:snapToGrid w:val="0"/>
      <w:spacing w:before="240" w:line="240" w:lineRule="atLeast"/>
      <w:ind w:firstLine="284"/>
      <w:contextualSpacing/>
      <w:jc w:val="center"/>
    </w:pPr>
    <w:rPr>
      <w:rFonts w:eastAsia="Times New Roman"/>
      <w:sz w:val="24"/>
      <w:szCs w:val="24"/>
      <w:lang w:val="it-IT" w:eastAsia="it-IT"/>
    </w:rPr>
  </w:style>
  <w:style w:type="paragraph" w:customStyle="1" w:styleId="TxBrp15">
    <w:name w:val="TxBr_p15"/>
    <w:basedOn w:val="Normal"/>
    <w:uiPriority w:val="99"/>
    <w:rsid w:val="00223753"/>
    <w:pPr>
      <w:widowControl w:val="0"/>
      <w:snapToGrid w:val="0"/>
      <w:spacing w:before="240" w:line="240" w:lineRule="atLeast"/>
      <w:ind w:firstLine="284"/>
      <w:contextualSpacing/>
      <w:jc w:val="both"/>
    </w:pPr>
    <w:rPr>
      <w:rFonts w:eastAsia="Times New Roman"/>
      <w:sz w:val="24"/>
      <w:szCs w:val="24"/>
      <w:lang w:val="it-IT" w:eastAsia="it-IT"/>
    </w:rPr>
  </w:style>
  <w:style w:type="paragraph" w:customStyle="1" w:styleId="Testotabella">
    <w:name w:val="Testo tabella"/>
    <w:basedOn w:val="Normal"/>
    <w:uiPriority w:val="99"/>
    <w:rsid w:val="00223753"/>
    <w:pPr>
      <w:keepNext/>
      <w:spacing w:before="240" w:line="360" w:lineRule="auto"/>
      <w:ind w:firstLine="284"/>
      <w:contextualSpacing/>
      <w:jc w:val="center"/>
    </w:pPr>
    <w:rPr>
      <w:rFonts w:eastAsia="Times New Roman"/>
      <w:smallCaps/>
      <w:sz w:val="24"/>
      <w:szCs w:val="24"/>
      <w:lang w:val="it-IT" w:eastAsia="it-IT"/>
    </w:rPr>
  </w:style>
  <w:style w:type="paragraph" w:customStyle="1" w:styleId="Tabelladitesto">
    <w:name w:val="Tabella di testo"/>
    <w:basedOn w:val="Normal"/>
    <w:uiPriority w:val="99"/>
    <w:rsid w:val="00223753"/>
    <w:pPr>
      <w:spacing w:before="240" w:line="360" w:lineRule="auto"/>
      <w:ind w:firstLine="284"/>
      <w:contextualSpacing/>
      <w:jc w:val="both"/>
    </w:pPr>
    <w:rPr>
      <w:rFonts w:eastAsia="Times New Roman"/>
      <w:sz w:val="24"/>
      <w:szCs w:val="24"/>
      <w:lang w:val="it-IT" w:eastAsia="it-IT"/>
    </w:rPr>
  </w:style>
  <w:style w:type="paragraph" w:customStyle="1" w:styleId="punto">
    <w:name w:val="punto"/>
    <w:basedOn w:val="Normal"/>
    <w:uiPriority w:val="99"/>
    <w:rsid w:val="00223753"/>
    <w:pPr>
      <w:spacing w:before="240" w:line="360" w:lineRule="auto"/>
      <w:ind w:firstLine="284"/>
      <w:contextualSpacing/>
      <w:jc w:val="both"/>
    </w:pPr>
    <w:rPr>
      <w:rFonts w:eastAsia="Times New Roman"/>
      <w:sz w:val="24"/>
      <w:szCs w:val="24"/>
      <w:lang w:val="it-IT" w:eastAsia="it-IT"/>
    </w:rPr>
  </w:style>
  <w:style w:type="paragraph" w:customStyle="1" w:styleId="testotabella0">
    <w:name w:val="testo tabella"/>
    <w:basedOn w:val="Normal"/>
    <w:uiPriority w:val="99"/>
    <w:rsid w:val="00223753"/>
    <w:pPr>
      <w:spacing w:before="240" w:line="360" w:lineRule="auto"/>
      <w:ind w:firstLine="284"/>
      <w:contextualSpacing/>
      <w:jc w:val="both"/>
    </w:pPr>
    <w:rPr>
      <w:rFonts w:eastAsia="Times New Roman"/>
      <w:smallCaps/>
      <w:sz w:val="24"/>
      <w:szCs w:val="24"/>
      <w:lang w:val="it-IT" w:eastAsia="it-IT"/>
    </w:rPr>
  </w:style>
  <w:style w:type="paragraph" w:customStyle="1" w:styleId="tt">
    <w:name w:val="tt"/>
    <w:basedOn w:val="Normal"/>
    <w:uiPriority w:val="99"/>
    <w:rsid w:val="00223753"/>
    <w:pPr>
      <w:spacing w:before="100" w:beforeAutospacing="1" w:after="100" w:afterAutospacing="1" w:line="360" w:lineRule="auto"/>
      <w:ind w:firstLine="284"/>
      <w:contextualSpacing/>
      <w:jc w:val="both"/>
    </w:pPr>
    <w:rPr>
      <w:rFonts w:ascii="Arial Unicode MS" w:eastAsia="Times New Roman" w:hAnsi="Arial Unicode MS"/>
      <w:color w:val="000000"/>
      <w:sz w:val="24"/>
      <w:szCs w:val="24"/>
      <w:lang w:val="it-IT" w:eastAsia="it-IT"/>
    </w:rPr>
  </w:style>
  <w:style w:type="paragraph" w:customStyle="1" w:styleId="BiblioAutore">
    <w:name w:val="BiblioAutore"/>
    <w:next w:val="Normal"/>
    <w:uiPriority w:val="99"/>
    <w:rsid w:val="00223753"/>
    <w:pPr>
      <w:keepNext/>
      <w:spacing w:before="140" w:after="200" w:line="280" w:lineRule="exact"/>
      <w:ind w:firstLine="284"/>
      <w:jc w:val="both"/>
    </w:pPr>
    <w:rPr>
      <w:rFonts w:ascii="Times New Roman" w:eastAsia="Times New Roman" w:hAnsi="Times New Roman" w:cs="Times New Roman"/>
      <w:smallCaps/>
      <w:noProof/>
      <w:color w:val="FF0000"/>
      <w:szCs w:val="20"/>
      <w:lang w:val="it-IT" w:eastAsia="it-IT"/>
    </w:rPr>
  </w:style>
  <w:style w:type="paragraph" w:customStyle="1" w:styleId="Allegati">
    <w:name w:val="Allegati"/>
    <w:basedOn w:val="Normal"/>
    <w:uiPriority w:val="99"/>
    <w:rsid w:val="00223753"/>
    <w:pPr>
      <w:spacing w:before="240" w:line="360" w:lineRule="auto"/>
      <w:ind w:firstLine="425"/>
      <w:contextualSpacing/>
      <w:jc w:val="center"/>
    </w:pPr>
    <w:rPr>
      <w:rFonts w:eastAsia="Times New Roman"/>
      <w:b/>
      <w:bCs/>
      <w:sz w:val="28"/>
      <w:szCs w:val="24"/>
      <w:lang w:val="it-IT" w:eastAsia="it-IT"/>
    </w:rPr>
  </w:style>
  <w:style w:type="paragraph" w:customStyle="1" w:styleId="titoloappendice">
    <w:name w:val="titolo appendice"/>
    <w:basedOn w:val="Allegati"/>
    <w:uiPriority w:val="99"/>
    <w:rsid w:val="00223753"/>
    <w:pPr>
      <w:jc w:val="right"/>
    </w:pPr>
  </w:style>
  <w:style w:type="paragraph" w:customStyle="1" w:styleId="Biblio">
    <w:name w:val="Biblio"/>
    <w:basedOn w:val="BiblioAutore"/>
    <w:uiPriority w:val="99"/>
    <w:rsid w:val="00223753"/>
    <w:pPr>
      <w:keepNext w:val="0"/>
      <w:tabs>
        <w:tab w:val="left" w:pos="227"/>
      </w:tabs>
      <w:spacing w:before="0"/>
      <w:ind w:left="907" w:hanging="907"/>
    </w:pPr>
    <w:rPr>
      <w:smallCaps w:val="0"/>
      <w:color w:val="000080"/>
    </w:rPr>
  </w:style>
  <w:style w:type="character" w:customStyle="1" w:styleId="Stile1Carattere">
    <w:name w:val="Stile1 Carattere"/>
    <w:basedOn w:val="ListBulletChar"/>
    <w:link w:val="Stile1"/>
    <w:locked/>
    <w:rsid w:val="00223753"/>
    <w:rPr>
      <w:iCs/>
    </w:rPr>
  </w:style>
  <w:style w:type="paragraph" w:customStyle="1" w:styleId="Stile1">
    <w:name w:val="Stile1"/>
    <w:basedOn w:val="ListBullet"/>
    <w:link w:val="Stile1Carattere"/>
    <w:rsid w:val="00223753"/>
    <w:pPr>
      <w:spacing w:before="120"/>
    </w:pPr>
  </w:style>
  <w:style w:type="paragraph" w:customStyle="1" w:styleId="biblioban">
    <w:name w:val="biblioban"/>
    <w:basedOn w:val="ListBullet"/>
    <w:uiPriority w:val="99"/>
    <w:rsid w:val="00223753"/>
    <w:pPr>
      <w:numPr>
        <w:numId w:val="0"/>
      </w:numPr>
      <w:spacing w:before="120"/>
      <w:ind w:left="454" w:hanging="454"/>
    </w:pPr>
  </w:style>
  <w:style w:type="character" w:customStyle="1" w:styleId="Stile2Carattere">
    <w:name w:val="Stile2 Carattere"/>
    <w:basedOn w:val="ListBulletChar"/>
    <w:link w:val="Stile2"/>
    <w:locked/>
    <w:rsid w:val="00223753"/>
    <w:rPr>
      <w:iCs/>
    </w:rPr>
  </w:style>
  <w:style w:type="paragraph" w:customStyle="1" w:styleId="Stile2">
    <w:name w:val="Stile2"/>
    <w:basedOn w:val="ListBullet"/>
    <w:link w:val="Stile2Carattere"/>
    <w:rsid w:val="00223753"/>
    <w:pPr>
      <w:spacing w:after="120"/>
    </w:pPr>
  </w:style>
  <w:style w:type="paragraph" w:customStyle="1" w:styleId="ElencT">
    <w:name w:val="ElencT"/>
    <w:basedOn w:val="BodyText"/>
    <w:uiPriority w:val="99"/>
    <w:rsid w:val="00223753"/>
    <w:pPr>
      <w:spacing w:before="240"/>
      <w:ind w:left="0" w:right="0"/>
      <w:contextualSpacing/>
    </w:pPr>
    <w:rPr>
      <w:kern w:val="28"/>
      <w:szCs w:val="20"/>
    </w:rPr>
  </w:style>
  <w:style w:type="paragraph" w:customStyle="1" w:styleId="Sommario1">
    <w:name w:val="Sommario1"/>
    <w:basedOn w:val="Normal"/>
    <w:uiPriority w:val="99"/>
    <w:rsid w:val="00223753"/>
    <w:pPr>
      <w:spacing w:before="240" w:line="360" w:lineRule="auto"/>
      <w:ind w:firstLine="425"/>
      <w:contextualSpacing/>
      <w:jc w:val="both"/>
    </w:pPr>
    <w:rPr>
      <w:rFonts w:eastAsia="Times New Roman"/>
      <w:b/>
      <w:bCs/>
      <w:sz w:val="24"/>
      <w:szCs w:val="24"/>
      <w:lang w:val="it-IT" w:eastAsia="it-IT"/>
    </w:rPr>
  </w:style>
  <w:style w:type="paragraph" w:customStyle="1" w:styleId="Pa0">
    <w:name w:val="Pa0"/>
    <w:basedOn w:val="Normal"/>
    <w:next w:val="Normal"/>
    <w:uiPriority w:val="99"/>
    <w:rsid w:val="00223753"/>
    <w:pPr>
      <w:autoSpaceDE w:val="0"/>
      <w:autoSpaceDN w:val="0"/>
      <w:adjustRightInd w:val="0"/>
      <w:spacing w:before="240" w:line="241" w:lineRule="atLeast"/>
      <w:ind w:firstLine="284"/>
      <w:contextualSpacing/>
      <w:jc w:val="both"/>
    </w:pPr>
    <w:rPr>
      <w:rFonts w:ascii="Arial" w:eastAsia="Times New Roman" w:hAnsi="Arial"/>
      <w:sz w:val="24"/>
      <w:szCs w:val="24"/>
      <w:lang w:val="it-IT" w:eastAsia="it-IT"/>
    </w:rPr>
  </w:style>
  <w:style w:type="paragraph" w:customStyle="1" w:styleId="Default">
    <w:name w:val="Default"/>
    <w:rsid w:val="00223753"/>
    <w:pPr>
      <w:autoSpaceDE w:val="0"/>
      <w:autoSpaceDN w:val="0"/>
      <w:adjustRightInd w:val="0"/>
      <w:spacing w:after="200" w:line="276" w:lineRule="auto"/>
      <w:ind w:firstLine="284"/>
      <w:jc w:val="both"/>
    </w:pPr>
    <w:rPr>
      <w:rFonts w:ascii="Arial" w:eastAsia="Times New Roman" w:hAnsi="Arial" w:cs="Arial"/>
      <w:color w:val="000000"/>
      <w:lang w:val="it-IT" w:eastAsia="it-IT"/>
    </w:rPr>
  </w:style>
  <w:style w:type="paragraph" w:customStyle="1" w:styleId="Pa1">
    <w:name w:val="Pa1"/>
    <w:basedOn w:val="Default"/>
    <w:next w:val="Default"/>
    <w:uiPriority w:val="99"/>
    <w:rsid w:val="00223753"/>
    <w:pPr>
      <w:spacing w:line="201" w:lineRule="atLeast"/>
    </w:pPr>
    <w:rPr>
      <w:rFonts w:cs="Times New Roman"/>
      <w:color w:val="auto"/>
    </w:rPr>
  </w:style>
  <w:style w:type="paragraph" w:customStyle="1" w:styleId="Pa7">
    <w:name w:val="Pa7"/>
    <w:basedOn w:val="Default"/>
    <w:next w:val="Default"/>
    <w:uiPriority w:val="99"/>
    <w:rsid w:val="00223753"/>
    <w:pPr>
      <w:spacing w:line="241" w:lineRule="atLeast"/>
    </w:pPr>
    <w:rPr>
      <w:rFonts w:cs="Times New Roman"/>
      <w:color w:val="auto"/>
    </w:rPr>
  </w:style>
  <w:style w:type="paragraph" w:customStyle="1" w:styleId="figura0">
    <w:name w:val="figura"/>
    <w:basedOn w:val="Caption"/>
    <w:uiPriority w:val="99"/>
    <w:rsid w:val="00223753"/>
    <w:pPr>
      <w:overflowPunct/>
      <w:autoSpaceDE/>
      <w:autoSpaceDN/>
      <w:adjustRightInd/>
      <w:spacing w:before="120" w:line="480" w:lineRule="auto"/>
      <w:ind w:left="1276" w:hanging="1276"/>
      <w:contextualSpacing/>
      <w:textAlignment w:val="auto"/>
    </w:pPr>
    <w:rPr>
      <w:i/>
      <w:sz w:val="24"/>
    </w:rPr>
  </w:style>
  <w:style w:type="paragraph" w:customStyle="1" w:styleId="Indice">
    <w:name w:val="Indice"/>
    <w:basedOn w:val="Normal"/>
    <w:uiPriority w:val="99"/>
    <w:rsid w:val="00223753"/>
    <w:pPr>
      <w:spacing w:before="240" w:line="360" w:lineRule="auto"/>
      <w:ind w:firstLine="284"/>
      <w:contextualSpacing/>
      <w:jc w:val="both"/>
    </w:pPr>
    <w:rPr>
      <w:rFonts w:eastAsia="Times New Roman"/>
      <w:sz w:val="24"/>
      <w:szCs w:val="24"/>
      <w:lang w:eastAsia="it-IT"/>
    </w:rPr>
  </w:style>
  <w:style w:type="paragraph" w:customStyle="1" w:styleId="elencosimboli">
    <w:name w:val="elenco_simboli"/>
    <w:basedOn w:val="Normal"/>
    <w:uiPriority w:val="99"/>
    <w:rsid w:val="00223753"/>
    <w:pPr>
      <w:spacing w:before="240" w:line="360" w:lineRule="auto"/>
      <w:ind w:firstLine="284"/>
      <w:contextualSpacing/>
      <w:jc w:val="both"/>
    </w:pPr>
    <w:rPr>
      <w:rFonts w:eastAsia="Times New Roman"/>
      <w:sz w:val="24"/>
      <w:szCs w:val="24"/>
      <w:lang w:val="it-IT" w:eastAsia="it-IT"/>
    </w:rPr>
  </w:style>
  <w:style w:type="paragraph" w:customStyle="1" w:styleId="formule">
    <w:name w:val="formule"/>
    <w:basedOn w:val="Normal"/>
    <w:uiPriority w:val="99"/>
    <w:rsid w:val="00223753"/>
    <w:pPr>
      <w:tabs>
        <w:tab w:val="center" w:pos="4500"/>
        <w:tab w:val="right" w:pos="9360"/>
      </w:tabs>
      <w:autoSpaceDE w:val="0"/>
      <w:autoSpaceDN w:val="0"/>
      <w:adjustRightInd w:val="0"/>
      <w:spacing w:before="240" w:line="360" w:lineRule="auto"/>
      <w:ind w:firstLine="284"/>
      <w:contextualSpacing/>
      <w:jc w:val="center"/>
    </w:pPr>
    <w:rPr>
      <w:rFonts w:eastAsia="Times New Roman"/>
      <w:sz w:val="24"/>
      <w:szCs w:val="24"/>
      <w:lang w:val="it-IT" w:eastAsia="it-IT"/>
    </w:rPr>
  </w:style>
  <w:style w:type="paragraph" w:customStyle="1" w:styleId="font5">
    <w:name w:val="font5"/>
    <w:basedOn w:val="Normal"/>
    <w:uiPriority w:val="99"/>
    <w:rsid w:val="00223753"/>
    <w:pPr>
      <w:spacing w:before="100" w:beforeAutospacing="1" w:after="100" w:afterAutospacing="1" w:line="360" w:lineRule="auto"/>
      <w:ind w:firstLine="284"/>
      <w:contextualSpacing/>
      <w:jc w:val="both"/>
    </w:pPr>
    <w:rPr>
      <w:rFonts w:eastAsia="Times New Roman"/>
      <w:b/>
      <w:bCs/>
      <w:sz w:val="24"/>
      <w:lang w:val="it-IT" w:eastAsia="it-IT"/>
    </w:rPr>
  </w:style>
  <w:style w:type="paragraph" w:customStyle="1" w:styleId="font6">
    <w:name w:val="font6"/>
    <w:basedOn w:val="Normal"/>
    <w:uiPriority w:val="99"/>
    <w:rsid w:val="00223753"/>
    <w:pPr>
      <w:spacing w:before="100" w:beforeAutospacing="1" w:after="100" w:afterAutospacing="1" w:line="360" w:lineRule="auto"/>
      <w:ind w:firstLine="284"/>
      <w:contextualSpacing/>
      <w:jc w:val="both"/>
    </w:pPr>
    <w:rPr>
      <w:rFonts w:eastAsia="Times New Roman"/>
      <w:b/>
      <w:bCs/>
      <w:sz w:val="24"/>
      <w:lang w:val="it-IT" w:eastAsia="it-IT"/>
    </w:rPr>
  </w:style>
  <w:style w:type="paragraph" w:customStyle="1" w:styleId="xl24">
    <w:name w:val="xl24"/>
    <w:basedOn w:val="Normal"/>
    <w:uiPriority w:val="99"/>
    <w:rsid w:val="00223753"/>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25">
    <w:name w:val="xl25"/>
    <w:basedOn w:val="Normal"/>
    <w:uiPriority w:val="99"/>
    <w:rsid w:val="00223753"/>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26">
    <w:name w:val="xl26"/>
    <w:basedOn w:val="Normal"/>
    <w:uiPriority w:val="99"/>
    <w:rsid w:val="00223753"/>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27">
    <w:name w:val="xl27"/>
    <w:basedOn w:val="Normal"/>
    <w:uiPriority w:val="99"/>
    <w:rsid w:val="00223753"/>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28">
    <w:name w:val="xl28"/>
    <w:basedOn w:val="Normal"/>
    <w:uiPriority w:val="99"/>
    <w:rsid w:val="00223753"/>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29">
    <w:name w:val="xl29"/>
    <w:basedOn w:val="Normal"/>
    <w:uiPriority w:val="99"/>
    <w:rsid w:val="00223753"/>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0">
    <w:name w:val="xl30"/>
    <w:basedOn w:val="Normal"/>
    <w:uiPriority w:val="99"/>
    <w:rsid w:val="00223753"/>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1">
    <w:name w:val="xl31"/>
    <w:basedOn w:val="Normal"/>
    <w:uiPriority w:val="99"/>
    <w:rsid w:val="00223753"/>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2">
    <w:name w:val="xl32"/>
    <w:basedOn w:val="Normal"/>
    <w:uiPriority w:val="99"/>
    <w:rsid w:val="00223753"/>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3">
    <w:name w:val="xl33"/>
    <w:basedOn w:val="Normal"/>
    <w:uiPriority w:val="99"/>
    <w:rsid w:val="00223753"/>
    <w:pPr>
      <w:pBdr>
        <w:top w:val="single" w:sz="4" w:space="0" w:color="auto"/>
        <w:left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4">
    <w:name w:val="xl34"/>
    <w:basedOn w:val="Normal"/>
    <w:uiPriority w:val="99"/>
    <w:rsid w:val="00223753"/>
    <w:pPr>
      <w:pBdr>
        <w:top w:val="single" w:sz="4" w:space="0" w:color="auto"/>
        <w:left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5">
    <w:name w:val="xl35"/>
    <w:basedOn w:val="Normal"/>
    <w:uiPriority w:val="99"/>
    <w:rsid w:val="00223753"/>
    <w:pPr>
      <w:spacing w:before="100" w:beforeAutospacing="1" w:after="100" w:afterAutospacing="1" w:line="360" w:lineRule="auto"/>
      <w:ind w:firstLine="284"/>
      <w:contextualSpacing/>
      <w:jc w:val="both"/>
    </w:pPr>
    <w:rPr>
      <w:rFonts w:eastAsia="Times New Roman"/>
      <w:sz w:val="24"/>
      <w:szCs w:val="24"/>
      <w:lang w:val="it-IT" w:eastAsia="it-IT"/>
    </w:rPr>
  </w:style>
  <w:style w:type="paragraph" w:customStyle="1" w:styleId="xl36">
    <w:name w:val="xl36"/>
    <w:basedOn w:val="Normal"/>
    <w:uiPriority w:val="99"/>
    <w:rsid w:val="00223753"/>
    <w:pPr>
      <w:pBdr>
        <w:lef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7">
    <w:name w:val="xl37"/>
    <w:basedOn w:val="Normal"/>
    <w:uiPriority w:val="99"/>
    <w:rsid w:val="00223753"/>
    <w:pPr>
      <w:pBdr>
        <w:top w:val="single" w:sz="8" w:space="0" w:color="auto"/>
        <w:lef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8">
    <w:name w:val="xl38"/>
    <w:basedOn w:val="Normal"/>
    <w:uiPriority w:val="99"/>
    <w:rsid w:val="00223753"/>
    <w:pPr>
      <w:pBdr>
        <w:top w:val="single" w:sz="8" w:space="0" w:color="auto"/>
        <w:left w:val="single" w:sz="8"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39">
    <w:name w:val="xl39"/>
    <w:basedOn w:val="Normal"/>
    <w:uiPriority w:val="99"/>
    <w:rsid w:val="00223753"/>
    <w:pPr>
      <w:pBdr>
        <w:top w:val="single" w:sz="4" w:space="0" w:color="auto"/>
        <w:left w:val="single" w:sz="8"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0">
    <w:name w:val="xl40"/>
    <w:basedOn w:val="Normal"/>
    <w:uiPriority w:val="99"/>
    <w:rsid w:val="00223753"/>
    <w:pPr>
      <w:pBdr>
        <w:top w:val="single" w:sz="4" w:space="0" w:color="auto"/>
        <w:left w:val="single" w:sz="8"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1">
    <w:name w:val="xl41"/>
    <w:basedOn w:val="Normal"/>
    <w:uiPriority w:val="99"/>
    <w:rsid w:val="00223753"/>
    <w:pPr>
      <w:pBdr>
        <w:top w:val="single" w:sz="4" w:space="0" w:color="auto"/>
        <w:left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2">
    <w:name w:val="xl42"/>
    <w:basedOn w:val="Normal"/>
    <w:uiPriority w:val="99"/>
    <w:rsid w:val="00223753"/>
    <w:pPr>
      <w:pBdr>
        <w:top w:val="single" w:sz="4" w:space="0" w:color="auto"/>
        <w:left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3">
    <w:name w:val="xl43"/>
    <w:basedOn w:val="Normal"/>
    <w:uiPriority w:val="99"/>
    <w:rsid w:val="00223753"/>
    <w:pPr>
      <w:pBdr>
        <w:top w:val="single" w:sz="8" w:space="0" w:color="auto"/>
        <w:left w:val="single" w:sz="4" w:space="0" w:color="auto"/>
        <w:bottom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4">
    <w:name w:val="xl44"/>
    <w:basedOn w:val="Normal"/>
    <w:uiPriority w:val="99"/>
    <w:rsid w:val="00223753"/>
    <w:pPr>
      <w:pBdr>
        <w:top w:val="single" w:sz="4" w:space="0" w:color="auto"/>
        <w:left w:val="single" w:sz="4" w:space="0" w:color="auto"/>
        <w:bottom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5">
    <w:name w:val="xl45"/>
    <w:basedOn w:val="Normal"/>
    <w:uiPriority w:val="99"/>
    <w:rsid w:val="00223753"/>
    <w:pPr>
      <w:pBdr>
        <w:top w:val="single" w:sz="4" w:space="0" w:color="auto"/>
        <w:lef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6">
    <w:name w:val="xl46"/>
    <w:basedOn w:val="Normal"/>
    <w:uiPriority w:val="99"/>
    <w:rsid w:val="00223753"/>
    <w:pPr>
      <w:pBdr>
        <w:top w:val="single" w:sz="4" w:space="0" w:color="auto"/>
        <w:left w:val="single" w:sz="4" w:space="0" w:color="auto"/>
        <w:bottom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7">
    <w:name w:val="xl47"/>
    <w:basedOn w:val="Normal"/>
    <w:uiPriority w:val="99"/>
    <w:rsid w:val="00223753"/>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8">
    <w:name w:val="xl48"/>
    <w:basedOn w:val="Normal"/>
    <w:uiPriority w:val="99"/>
    <w:rsid w:val="00223753"/>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49">
    <w:name w:val="xl49"/>
    <w:basedOn w:val="Normal"/>
    <w:uiPriority w:val="99"/>
    <w:rsid w:val="00223753"/>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0">
    <w:name w:val="xl50"/>
    <w:basedOn w:val="Normal"/>
    <w:uiPriority w:val="99"/>
    <w:rsid w:val="00223753"/>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1">
    <w:name w:val="xl51"/>
    <w:basedOn w:val="Normal"/>
    <w:uiPriority w:val="99"/>
    <w:rsid w:val="00223753"/>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2">
    <w:name w:val="xl52"/>
    <w:basedOn w:val="Normal"/>
    <w:uiPriority w:val="99"/>
    <w:rsid w:val="00223753"/>
    <w:pPr>
      <w:pBdr>
        <w:left w:val="single" w:sz="8"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3">
    <w:name w:val="xl53"/>
    <w:basedOn w:val="Normal"/>
    <w:uiPriority w:val="99"/>
    <w:rsid w:val="00223753"/>
    <w:pPr>
      <w:pBdr>
        <w:left w:val="single" w:sz="4" w:space="0" w:color="auto"/>
        <w:bottom w:val="single" w:sz="4"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4">
    <w:name w:val="xl54"/>
    <w:basedOn w:val="Normal"/>
    <w:uiPriority w:val="99"/>
    <w:rsid w:val="00223753"/>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5">
    <w:name w:val="xl55"/>
    <w:basedOn w:val="Normal"/>
    <w:uiPriority w:val="99"/>
    <w:rsid w:val="00223753"/>
    <w:pPr>
      <w:pBdr>
        <w:left w:val="single" w:sz="8"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6">
    <w:name w:val="xl56"/>
    <w:basedOn w:val="Normal"/>
    <w:uiPriority w:val="99"/>
    <w:rsid w:val="00223753"/>
    <w:pPr>
      <w:pBdr>
        <w:left w:val="single" w:sz="4" w:space="0" w:color="auto"/>
        <w:bottom w:val="single" w:sz="8" w:space="0" w:color="auto"/>
        <w:right w:val="single" w:sz="4" w:space="0" w:color="auto"/>
      </w:pBdr>
      <w:spacing w:before="100" w:beforeAutospacing="1" w:after="100" w:afterAutospacing="1" w:line="360" w:lineRule="auto"/>
      <w:ind w:firstLine="284"/>
      <w:contextualSpacing/>
      <w:jc w:val="center"/>
    </w:pPr>
    <w:rPr>
      <w:rFonts w:eastAsia="Times New Roman"/>
      <w:sz w:val="24"/>
      <w:szCs w:val="24"/>
      <w:lang w:val="it-IT" w:eastAsia="it-IT"/>
    </w:rPr>
  </w:style>
  <w:style w:type="paragraph" w:customStyle="1" w:styleId="xl57">
    <w:name w:val="xl57"/>
    <w:basedOn w:val="Normal"/>
    <w:uiPriority w:val="99"/>
    <w:rsid w:val="00223753"/>
    <w:pPr>
      <w:pBdr>
        <w:top w:val="single" w:sz="8" w:space="0" w:color="auto"/>
        <w:left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58">
    <w:name w:val="xl58"/>
    <w:basedOn w:val="Normal"/>
    <w:uiPriority w:val="99"/>
    <w:rsid w:val="00223753"/>
    <w:pPr>
      <w:pBdr>
        <w:left w:val="single" w:sz="8" w:space="0" w:color="auto"/>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59">
    <w:name w:val="xl59"/>
    <w:basedOn w:val="Normal"/>
    <w:uiPriority w:val="99"/>
    <w:rsid w:val="00223753"/>
    <w:pPr>
      <w:pBdr>
        <w:left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60">
    <w:name w:val="xl60"/>
    <w:basedOn w:val="Normal"/>
    <w:uiPriority w:val="99"/>
    <w:rsid w:val="00223753"/>
    <w:pPr>
      <w:pBdr>
        <w:top w:val="single" w:sz="8" w:space="0" w:color="auto"/>
        <w:left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61">
    <w:name w:val="xl61"/>
    <w:basedOn w:val="Normal"/>
    <w:uiPriority w:val="99"/>
    <w:rsid w:val="00223753"/>
    <w:pPr>
      <w:pBdr>
        <w:left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62">
    <w:name w:val="xl62"/>
    <w:basedOn w:val="Normal"/>
    <w:uiPriority w:val="99"/>
    <w:rsid w:val="00223753"/>
    <w:pPr>
      <w:pBdr>
        <w:left w:val="single" w:sz="8" w:space="0" w:color="auto"/>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63">
    <w:name w:val="xl63"/>
    <w:basedOn w:val="Normal"/>
    <w:uiPriority w:val="99"/>
    <w:rsid w:val="00223753"/>
    <w:pPr>
      <w:pBdr>
        <w:top w:val="single" w:sz="8" w:space="0" w:color="auto"/>
        <w:left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4">
    <w:name w:val="xl64"/>
    <w:basedOn w:val="Normal"/>
    <w:uiPriority w:val="99"/>
    <w:rsid w:val="00223753"/>
    <w:pPr>
      <w:pBdr>
        <w:top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5">
    <w:name w:val="xl65"/>
    <w:basedOn w:val="Normal"/>
    <w:uiPriority w:val="99"/>
    <w:rsid w:val="00223753"/>
    <w:pPr>
      <w:pBdr>
        <w:top w:val="single" w:sz="8" w:space="0" w:color="auto"/>
        <w:right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6">
    <w:name w:val="xl66"/>
    <w:basedOn w:val="Normal"/>
    <w:uiPriority w:val="99"/>
    <w:rsid w:val="00223753"/>
    <w:pPr>
      <w:pBdr>
        <w:left w:val="single" w:sz="8" w:space="0" w:color="auto"/>
        <w:bottom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7">
    <w:name w:val="xl67"/>
    <w:basedOn w:val="Normal"/>
    <w:uiPriority w:val="99"/>
    <w:rsid w:val="00223753"/>
    <w:pPr>
      <w:pBdr>
        <w:bottom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8">
    <w:name w:val="xl68"/>
    <w:basedOn w:val="Normal"/>
    <w:uiPriority w:val="99"/>
    <w:rsid w:val="00223753"/>
    <w:pPr>
      <w:pBdr>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i/>
      <w:iCs/>
      <w:sz w:val="28"/>
      <w:szCs w:val="28"/>
      <w:lang w:val="it-IT" w:eastAsia="it-IT"/>
    </w:rPr>
  </w:style>
  <w:style w:type="paragraph" w:customStyle="1" w:styleId="xl69">
    <w:name w:val="xl69"/>
    <w:basedOn w:val="Normal"/>
    <w:uiPriority w:val="99"/>
    <w:rsid w:val="00223753"/>
    <w:pPr>
      <w:pBdr>
        <w:top w:val="single" w:sz="8" w:space="0" w:color="auto"/>
        <w:lef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70">
    <w:name w:val="xl70"/>
    <w:basedOn w:val="Normal"/>
    <w:uiPriority w:val="99"/>
    <w:rsid w:val="00223753"/>
    <w:pPr>
      <w:pBdr>
        <w:top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71">
    <w:name w:val="xl71"/>
    <w:basedOn w:val="Normal"/>
    <w:uiPriority w:val="99"/>
    <w:rsid w:val="00223753"/>
    <w:pPr>
      <w:pBdr>
        <w:top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72">
    <w:name w:val="xl72"/>
    <w:basedOn w:val="Normal"/>
    <w:uiPriority w:val="99"/>
    <w:rsid w:val="00223753"/>
    <w:pPr>
      <w:pBdr>
        <w:left w:val="single" w:sz="8" w:space="0" w:color="auto"/>
        <w:bottom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73">
    <w:name w:val="xl73"/>
    <w:basedOn w:val="Normal"/>
    <w:uiPriority w:val="99"/>
    <w:rsid w:val="00223753"/>
    <w:pPr>
      <w:pBdr>
        <w:bottom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xl74">
    <w:name w:val="xl74"/>
    <w:basedOn w:val="Normal"/>
    <w:uiPriority w:val="99"/>
    <w:rsid w:val="00223753"/>
    <w:pPr>
      <w:pBdr>
        <w:bottom w:val="single" w:sz="8" w:space="0" w:color="auto"/>
        <w:right w:val="single" w:sz="8" w:space="0" w:color="auto"/>
      </w:pBdr>
      <w:spacing w:before="100" w:beforeAutospacing="1" w:after="100" w:afterAutospacing="1" w:line="360" w:lineRule="auto"/>
      <w:ind w:firstLine="284"/>
      <w:contextualSpacing/>
      <w:jc w:val="center"/>
    </w:pPr>
    <w:rPr>
      <w:rFonts w:eastAsia="Times New Roman"/>
      <w:b/>
      <w:bCs/>
      <w:sz w:val="24"/>
      <w:szCs w:val="24"/>
      <w:lang w:val="it-IT" w:eastAsia="it-IT"/>
    </w:rPr>
  </w:style>
  <w:style w:type="paragraph" w:customStyle="1" w:styleId="Didascalia1">
    <w:name w:val="Didascalia1"/>
    <w:basedOn w:val="Caption"/>
    <w:uiPriority w:val="99"/>
    <w:rsid w:val="00223753"/>
    <w:pPr>
      <w:tabs>
        <w:tab w:val="left" w:pos="1800"/>
      </w:tabs>
      <w:overflowPunct/>
      <w:autoSpaceDE/>
      <w:autoSpaceDN/>
      <w:adjustRightInd/>
      <w:spacing w:before="120" w:line="360" w:lineRule="auto"/>
      <w:ind w:left="1800" w:hanging="1800"/>
      <w:contextualSpacing/>
      <w:textAlignment w:val="auto"/>
    </w:pPr>
    <w:rPr>
      <w:rFonts w:ascii="Verdana" w:hAnsi="Verdana"/>
      <w:b/>
      <w:bCs/>
      <w:i/>
      <w:sz w:val="24"/>
      <w:szCs w:val="24"/>
    </w:rPr>
  </w:style>
  <w:style w:type="paragraph" w:customStyle="1" w:styleId="Appendice">
    <w:name w:val="Appendice"/>
    <w:basedOn w:val="Heading1"/>
    <w:next w:val="Normal"/>
    <w:uiPriority w:val="99"/>
    <w:rsid w:val="00223753"/>
    <w:pPr>
      <w:keepLines w:val="0"/>
      <w:numPr>
        <w:numId w:val="20"/>
      </w:numPr>
      <w:tabs>
        <w:tab w:val="clear" w:pos="284"/>
      </w:tabs>
      <w:overflowPunct/>
      <w:autoSpaceDE/>
      <w:autoSpaceDN/>
      <w:adjustRightInd/>
      <w:spacing w:before="240" w:after="480" w:line="360" w:lineRule="auto"/>
      <w:contextualSpacing/>
      <w:textAlignment w:val="auto"/>
    </w:pPr>
    <w:rPr>
      <w:rFonts w:ascii="Arial" w:hAnsi="Arial" w:cs="Arial"/>
      <w:bCs/>
      <w:caps w:val="0"/>
      <w:kern w:val="32"/>
      <w:sz w:val="32"/>
      <w:szCs w:val="32"/>
    </w:rPr>
  </w:style>
  <w:style w:type="paragraph" w:customStyle="1" w:styleId="bibliografia">
    <w:name w:val="bibliografia"/>
    <w:basedOn w:val="Normal"/>
    <w:uiPriority w:val="99"/>
    <w:rsid w:val="00223753"/>
    <w:pPr>
      <w:spacing w:before="240" w:line="360" w:lineRule="auto"/>
      <w:ind w:left="360" w:hanging="360"/>
      <w:contextualSpacing/>
      <w:jc w:val="both"/>
    </w:pPr>
    <w:rPr>
      <w:rFonts w:ascii="Verdana" w:eastAsia="Times New Roman" w:hAnsi="Verdana"/>
      <w:sz w:val="24"/>
      <w:szCs w:val="24"/>
      <w:lang w:val="en-GB" w:eastAsia="it-IT"/>
    </w:rPr>
  </w:style>
  <w:style w:type="paragraph" w:customStyle="1" w:styleId="Stile4">
    <w:name w:val="Stile4"/>
    <w:basedOn w:val="Normal"/>
    <w:uiPriority w:val="99"/>
    <w:rsid w:val="00223753"/>
    <w:pPr>
      <w:spacing w:before="240" w:line="360" w:lineRule="auto"/>
      <w:ind w:firstLine="425"/>
      <w:contextualSpacing/>
      <w:jc w:val="both"/>
    </w:pPr>
    <w:rPr>
      <w:rFonts w:eastAsia="Times New Roman"/>
      <w:b/>
      <w:i/>
      <w:sz w:val="24"/>
      <w:szCs w:val="24"/>
      <w:lang w:val="it-IT" w:eastAsia="it-IT"/>
    </w:rPr>
  </w:style>
  <w:style w:type="paragraph" w:customStyle="1" w:styleId="28IdrFigure">
    <w:name w:val="28Idr_Figure"/>
    <w:next w:val="Normal"/>
    <w:autoRedefine/>
    <w:uiPriority w:val="99"/>
    <w:rsid w:val="00223753"/>
    <w:pPr>
      <w:keepNext/>
      <w:keepLines/>
      <w:autoSpaceDE w:val="0"/>
      <w:autoSpaceDN w:val="0"/>
      <w:spacing w:before="120" w:after="200" w:line="276" w:lineRule="auto"/>
      <w:ind w:firstLine="284"/>
      <w:jc w:val="center"/>
    </w:pPr>
    <w:rPr>
      <w:rFonts w:ascii="Times New Roman" w:eastAsia="Times New Roman" w:hAnsi="Times New Roman" w:cs="Times New Roman"/>
      <w:noProof/>
      <w:sz w:val="20"/>
      <w:szCs w:val="20"/>
      <w:lang w:eastAsia="it-IT"/>
    </w:rPr>
  </w:style>
  <w:style w:type="character" w:customStyle="1" w:styleId="NoteCarattere">
    <w:name w:val="Note Carattere"/>
    <w:basedOn w:val="DefaultParagraphFont"/>
    <w:link w:val="Note"/>
    <w:locked/>
    <w:rsid w:val="00223753"/>
    <w:rPr>
      <w:rFonts w:ascii="Times New Roman" w:eastAsia="Calibri" w:hAnsi="Times New Roman" w:cs="Times New Roman"/>
      <w:color w:val="00B0F0"/>
      <w:sz w:val="20"/>
      <w:szCs w:val="20"/>
    </w:rPr>
  </w:style>
  <w:style w:type="character" w:customStyle="1" w:styleId="EquazioneCarattere">
    <w:name w:val="Equazione Carattere"/>
    <w:basedOn w:val="DefaultParagraphFont"/>
    <w:link w:val="Equazione"/>
    <w:locked/>
    <w:rsid w:val="00223753"/>
    <w:rPr>
      <w:rFonts w:ascii="Times New Roman" w:eastAsia="Times New Roman" w:hAnsi="Times New Roman" w:cs="Times New Roman"/>
      <w:noProof/>
      <w:position w:val="-4"/>
      <w:szCs w:val="20"/>
      <w:lang w:eastAsia="it-IT"/>
    </w:rPr>
  </w:style>
  <w:style w:type="character" w:styleId="EndnoteReference">
    <w:name w:val="endnote reference"/>
    <w:basedOn w:val="DefaultParagraphFont"/>
    <w:uiPriority w:val="99"/>
    <w:semiHidden/>
    <w:unhideWhenUsed/>
    <w:rsid w:val="00223753"/>
    <w:rPr>
      <w:vertAlign w:val="superscript"/>
    </w:rPr>
  </w:style>
  <w:style w:type="character" w:styleId="SubtleEmphasis">
    <w:name w:val="Subtle Emphasis"/>
    <w:basedOn w:val="DefaultParagraphFont"/>
    <w:uiPriority w:val="19"/>
    <w:qFormat/>
    <w:rsid w:val="00223753"/>
    <w:rPr>
      <w:i/>
      <w:iCs/>
      <w:color w:val="404040" w:themeColor="text1" w:themeTint="BF"/>
    </w:rPr>
  </w:style>
  <w:style w:type="character" w:styleId="IntenseEmphasis">
    <w:name w:val="Intense Emphasis"/>
    <w:basedOn w:val="DefaultParagraphFont"/>
    <w:uiPriority w:val="21"/>
    <w:qFormat/>
    <w:rsid w:val="00223753"/>
    <w:rPr>
      <w:i/>
      <w:iCs/>
      <w:color w:val="5B9BD5" w:themeColor="accent1"/>
    </w:rPr>
  </w:style>
  <w:style w:type="character" w:styleId="SubtleReference">
    <w:name w:val="Subtle Reference"/>
    <w:basedOn w:val="DefaultParagraphFont"/>
    <w:uiPriority w:val="31"/>
    <w:qFormat/>
    <w:rsid w:val="00223753"/>
    <w:rPr>
      <w:smallCaps/>
      <w:color w:val="5A5A5A" w:themeColor="text1" w:themeTint="A5"/>
    </w:rPr>
  </w:style>
  <w:style w:type="character" w:customStyle="1" w:styleId="A0">
    <w:name w:val="A0"/>
    <w:rsid w:val="00223753"/>
    <w:rPr>
      <w:rFonts w:ascii="Times" w:hAnsi="Times" w:cs="Times" w:hint="default"/>
      <w:color w:val="000000"/>
      <w:sz w:val="20"/>
      <w:szCs w:val="20"/>
    </w:rPr>
  </w:style>
  <w:style w:type="character" w:customStyle="1" w:styleId="A3">
    <w:name w:val="A3"/>
    <w:rsid w:val="00223753"/>
    <w:rPr>
      <w:rFonts w:ascii="Times" w:hAnsi="Times" w:cs="Times" w:hint="default"/>
      <w:color w:val="000000"/>
      <w:sz w:val="11"/>
      <w:szCs w:val="11"/>
    </w:rPr>
  </w:style>
  <w:style w:type="character" w:customStyle="1" w:styleId="021stparagraph">
    <w:name w:val="02. 1st paragraph"/>
    <w:basedOn w:val="DefaultParagraphFont"/>
    <w:rsid w:val="00223753"/>
    <w:rPr>
      <w:color w:val="auto"/>
      <w:sz w:val="20"/>
    </w:rPr>
  </w:style>
  <w:style w:type="character" w:customStyle="1" w:styleId="textp">
    <w:name w:val="text_p"/>
    <w:basedOn w:val="DefaultParagraphFont"/>
    <w:rsid w:val="00223753"/>
  </w:style>
  <w:style w:type="character" w:customStyle="1" w:styleId="apple-converted-space">
    <w:name w:val="apple-converted-space"/>
    <w:basedOn w:val="DefaultParagraphFont"/>
    <w:rsid w:val="00223753"/>
  </w:style>
  <w:style w:type="numbering" w:customStyle="1" w:styleId="Stile3">
    <w:name w:val="Stile3"/>
    <w:rsid w:val="00223753"/>
    <w:pPr>
      <w:numPr>
        <w:numId w:val="21"/>
      </w:numPr>
    </w:pPr>
  </w:style>
  <w:style w:type="character" w:customStyle="1" w:styleId="Menzionenonrisolta1">
    <w:name w:val="Menzione non risolta1"/>
    <w:basedOn w:val="DefaultParagraphFont"/>
    <w:uiPriority w:val="99"/>
    <w:semiHidden/>
    <w:unhideWhenUsed/>
    <w:rsid w:val="00223753"/>
    <w:rPr>
      <w:color w:val="605E5C"/>
      <w:shd w:val="clear" w:color="auto" w:fill="E1DFDD"/>
    </w:rPr>
  </w:style>
  <w:style w:type="paragraph" w:customStyle="1" w:styleId="HeadingPaper">
    <w:name w:val="Heading Paper"/>
    <w:basedOn w:val="Normal"/>
    <w:link w:val="HeadingPaperChar"/>
    <w:qFormat/>
    <w:rsid w:val="00223753"/>
    <w:pPr>
      <w:keepNext/>
      <w:keepLines/>
      <w:autoSpaceDE w:val="0"/>
      <w:autoSpaceDN w:val="0"/>
      <w:spacing w:before="40" w:line="480" w:lineRule="auto"/>
      <w:outlineLvl w:val="1"/>
    </w:pPr>
    <w:rPr>
      <w:rFonts w:eastAsiaTheme="majorEastAsia" w:cstheme="majorBidi"/>
      <w:b/>
      <w:sz w:val="24"/>
      <w:szCs w:val="24"/>
      <w:lang w:val="en-GB" w:eastAsia="it-IT"/>
    </w:rPr>
  </w:style>
  <w:style w:type="paragraph" w:customStyle="1" w:styleId="headingpaper2">
    <w:name w:val="heading paper 2"/>
    <w:basedOn w:val="Normal"/>
    <w:link w:val="headingpaper2Char"/>
    <w:qFormat/>
    <w:rsid w:val="00223753"/>
    <w:pPr>
      <w:keepNext/>
      <w:keepLines/>
      <w:autoSpaceDE w:val="0"/>
      <w:autoSpaceDN w:val="0"/>
      <w:spacing w:before="40" w:line="480" w:lineRule="auto"/>
      <w:jc w:val="both"/>
      <w:outlineLvl w:val="2"/>
    </w:pPr>
    <w:rPr>
      <w:rFonts w:eastAsiaTheme="majorEastAsia" w:cstheme="majorBidi"/>
      <w:b/>
      <w:i/>
      <w:iCs/>
      <w:color w:val="000000" w:themeColor="text1"/>
      <w:sz w:val="24"/>
      <w:szCs w:val="24"/>
      <w:lang w:val="en-GB" w:eastAsia="it-IT"/>
    </w:rPr>
  </w:style>
  <w:style w:type="character" w:customStyle="1" w:styleId="HeadingPaperChar">
    <w:name w:val="Heading Paper Char"/>
    <w:basedOn w:val="DefaultParagraphFont"/>
    <w:link w:val="HeadingPaper"/>
    <w:rsid w:val="00223753"/>
    <w:rPr>
      <w:rFonts w:ascii="Times New Roman" w:eastAsiaTheme="majorEastAsia" w:hAnsi="Times New Roman" w:cstheme="majorBidi"/>
      <w:b/>
      <w:lang w:val="en-GB" w:eastAsia="it-IT"/>
    </w:rPr>
  </w:style>
  <w:style w:type="character" w:customStyle="1" w:styleId="headingpaper2Char">
    <w:name w:val="heading paper 2 Char"/>
    <w:basedOn w:val="DefaultParagraphFont"/>
    <w:link w:val="headingpaper2"/>
    <w:rsid w:val="00223753"/>
    <w:rPr>
      <w:rFonts w:ascii="Times New Roman" w:eastAsiaTheme="majorEastAsia" w:hAnsi="Times New Roman" w:cstheme="majorBidi"/>
      <w:b/>
      <w:i/>
      <w:iCs/>
      <w:color w:val="000000" w:themeColor="text1"/>
      <w:lang w:val="en-GB" w:eastAsia="it-IT"/>
    </w:rPr>
  </w:style>
  <w:style w:type="paragraph" w:customStyle="1" w:styleId="headingpaper3">
    <w:name w:val="heading paper 3"/>
    <w:basedOn w:val="headingpaper2"/>
    <w:link w:val="headingpaper3Char"/>
    <w:qFormat/>
    <w:rsid w:val="00223753"/>
    <w:pPr>
      <w:numPr>
        <w:ilvl w:val="1"/>
        <w:numId w:val="30"/>
      </w:numPr>
      <w:ind w:left="720"/>
    </w:pPr>
  </w:style>
  <w:style w:type="character" w:customStyle="1" w:styleId="headingpaper3Char">
    <w:name w:val="heading paper 3 Char"/>
    <w:basedOn w:val="headingpaper2Char"/>
    <w:link w:val="headingpaper3"/>
    <w:rsid w:val="00223753"/>
    <w:rPr>
      <w:rFonts w:ascii="Times New Roman" w:eastAsiaTheme="majorEastAsia" w:hAnsi="Times New Roman" w:cstheme="majorBidi"/>
      <w:b/>
      <w:i/>
      <w:iCs/>
      <w:color w:val="000000" w:themeColor="text1"/>
      <w:lang w:val="en-GB" w:eastAsia="it-IT"/>
    </w:rPr>
  </w:style>
  <w:style w:type="paragraph" w:styleId="Revision">
    <w:name w:val="Revision"/>
    <w:hidden/>
    <w:uiPriority w:val="99"/>
    <w:semiHidden/>
    <w:rsid w:val="00223753"/>
    <w:rPr>
      <w:rFonts w:ascii="Times New Roman" w:eastAsia="Times New Roman" w:hAnsi="Times New Roman" w:cs="Times New Roman"/>
      <w:szCs w:val="20"/>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hyperlink" Target="https://pubs.usgs.gov/wri/wri034176/PDF/wrir034176.pdf" TargetMode="External"/><Relationship Id="rId3" Type="http://schemas.openxmlformats.org/officeDocument/2006/relationships/settings" Target="settings.xml"/><Relationship Id="rId21" Type="http://schemas.openxmlformats.org/officeDocument/2006/relationships/hyperlink" Target="http://dx.doi.org/10.5066/F7P55KJN" TargetMode="External"/><Relationship Id="rId7" Type="http://schemas.openxmlformats.org/officeDocument/2006/relationships/image" Target="media/image1.png"/><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doi.org/10.3133/sir20145121"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s://www.virginiadot.org/business/locdes/hydra-drainage-manual.as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dllaira@memphis.edu)" TargetMode="External"/><Relationship Id="rId24" Type="http://schemas.openxmlformats.org/officeDocument/2006/relationships/hyperlink" Target="https://rosap.ntl.bts.gov/view/dot/27190" TargetMode="Externa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doi.org/10.5066/P9CW9EF0" TargetMode="External"/><Relationship Id="rId28" Type="http://schemas.openxmlformats.org/officeDocument/2006/relationships/hyperlink" Target="http://dx.doi.org/10.5066/F7P55KJN" TargetMode="External"/><Relationship Id="rId10" Type="http://schemas.openxmlformats.org/officeDocument/2006/relationships/header" Target="header2.xml"/><Relationship Id="rId19" Type="http://schemas.openxmlformats.org/officeDocument/2006/relationships/image" Target="media/image9.jp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hyperlink" Target="https://ral.ucar.edu/solutions/products/camels" TargetMode="External"/><Relationship Id="rId27" Type="http://schemas.openxmlformats.org/officeDocument/2006/relationships/hyperlink" Target="https://doi.org/10.3133/sir20105073"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894</TotalTime>
  <Pages>45</Pages>
  <Words>14224</Words>
  <Characters>81080</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Francesco Dell'Aira (fdllaira)</cp:lastModifiedBy>
  <cp:revision>260</cp:revision>
  <dcterms:created xsi:type="dcterms:W3CDTF">2023-03-29T16:25:00Z</dcterms:created>
  <dcterms:modified xsi:type="dcterms:W3CDTF">2023-07-13T08:58:00Z</dcterms:modified>
</cp:coreProperties>
</file>