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B89526" w14:textId="77777777" w:rsidR="007759EF" w:rsidRPr="00941F74" w:rsidRDefault="007759EF" w:rsidP="00060700">
      <w:pPr>
        <w:pStyle w:val="Sansinterligne"/>
        <w:spacing w:line="480" w:lineRule="auto"/>
        <w:rPr>
          <w:rFonts w:cstheme="minorHAnsi"/>
          <w:lang w:val="en-GB"/>
        </w:rPr>
      </w:pPr>
      <w:r>
        <w:rPr>
          <w:rFonts w:cstheme="minorHAnsi"/>
          <w:b/>
          <w:lang w:val="en-GB"/>
        </w:rPr>
        <w:t>Title</w:t>
      </w:r>
      <w:r w:rsidRPr="00941F74">
        <w:rPr>
          <w:rFonts w:cstheme="minorHAnsi"/>
          <w:b/>
          <w:lang w:val="en-GB"/>
        </w:rPr>
        <w:t xml:space="preserve">: </w:t>
      </w:r>
      <w:r w:rsidRPr="00941F74">
        <w:rPr>
          <w:rFonts w:cstheme="minorHAnsi"/>
          <w:lang w:val="en-GB"/>
        </w:rPr>
        <w:t xml:space="preserve">BACKLAND: spatially explicit and high resolution pollen-based </w:t>
      </w:r>
      <w:proofErr w:type="spellStart"/>
      <w:r w:rsidRPr="00941F74">
        <w:rPr>
          <w:rFonts w:cstheme="minorHAnsi"/>
          <w:lang w:val="en-GB"/>
        </w:rPr>
        <w:t>BACKward</w:t>
      </w:r>
      <w:proofErr w:type="spellEnd"/>
      <w:r w:rsidRPr="00941F74">
        <w:rPr>
          <w:rFonts w:cstheme="minorHAnsi"/>
          <w:lang w:val="en-GB"/>
        </w:rPr>
        <w:t xml:space="preserve"> </w:t>
      </w:r>
      <w:proofErr w:type="spellStart"/>
      <w:r w:rsidRPr="00941F74">
        <w:rPr>
          <w:rFonts w:cstheme="minorHAnsi"/>
          <w:lang w:val="en-GB"/>
        </w:rPr>
        <w:t>LANDscape</w:t>
      </w:r>
      <w:proofErr w:type="spellEnd"/>
      <w:r w:rsidRPr="00941F74">
        <w:rPr>
          <w:rFonts w:cstheme="minorHAnsi"/>
          <w:lang w:val="en-GB"/>
        </w:rPr>
        <w:t xml:space="preserve"> reconstructions.</w:t>
      </w:r>
    </w:p>
    <w:p w14:paraId="653E800F" w14:textId="77777777" w:rsidR="007759EF" w:rsidRDefault="007759EF" w:rsidP="00060700">
      <w:pPr>
        <w:spacing w:line="480" w:lineRule="auto"/>
        <w:rPr>
          <w:rFonts w:cstheme="minorHAnsi"/>
          <w:b/>
          <w:lang w:val="en-GB"/>
        </w:rPr>
      </w:pPr>
    </w:p>
    <w:p w14:paraId="29C3B490" w14:textId="77777777" w:rsidR="007759EF" w:rsidRDefault="007759EF" w:rsidP="00060700">
      <w:pPr>
        <w:spacing w:line="480" w:lineRule="auto"/>
        <w:rPr>
          <w:rFonts w:cstheme="minorHAnsi"/>
          <w:b/>
          <w:lang w:val="en-US"/>
        </w:rPr>
      </w:pPr>
      <w:r w:rsidRPr="007C28C5">
        <w:rPr>
          <w:rFonts w:cstheme="minorHAnsi"/>
          <w:b/>
          <w:lang w:val="en-US"/>
        </w:rPr>
        <w:t>Abstract</w:t>
      </w:r>
    </w:p>
    <w:p w14:paraId="53F2CE7B" w14:textId="77777777" w:rsidR="007759EF" w:rsidRDefault="007759EF" w:rsidP="00060700">
      <w:pPr>
        <w:spacing w:line="480" w:lineRule="auto"/>
        <w:rPr>
          <w:rStyle w:val="rynqvb"/>
          <w:lang w:val="en"/>
        </w:rPr>
      </w:pPr>
      <w:r>
        <w:rPr>
          <w:rStyle w:val="rynqvb"/>
          <w:lang w:val="en"/>
        </w:rPr>
        <w:t>Studying the interactions between humans, landscapes and biodiversity is necessary for the sustainable management of socio-ecosystems and requires long-term reconstructions of past landscapes, improving the integration of slow ecological processes.</w:t>
      </w:r>
      <w:r>
        <w:rPr>
          <w:rStyle w:val="hwtze"/>
          <w:lang w:val="en"/>
        </w:rPr>
        <w:t xml:space="preserve"> </w:t>
      </w:r>
      <w:r>
        <w:rPr>
          <w:rStyle w:val="rynqvb"/>
          <w:lang w:val="en"/>
        </w:rPr>
        <w:t>The main source of information on past vegetation is fossil pollen, but pollen data are biased by inter-taxonomic differential production and dispersal.</w:t>
      </w:r>
      <w:r>
        <w:rPr>
          <w:rStyle w:val="hwtze"/>
          <w:lang w:val="en"/>
        </w:rPr>
        <w:t xml:space="preserve"> </w:t>
      </w:r>
      <w:r>
        <w:rPr>
          <w:rStyle w:val="rynqvb"/>
          <w:lang w:val="en"/>
        </w:rPr>
        <w:t xml:space="preserve">The Landscape Reconstruction Algorithm (LRA) approach is today the most widely used </w:t>
      </w:r>
      <w:proofErr w:type="gramStart"/>
      <w:r>
        <w:rPr>
          <w:rStyle w:val="rynqvb"/>
          <w:lang w:val="en"/>
        </w:rPr>
        <w:t>to</w:t>
      </w:r>
      <w:proofErr w:type="gramEnd"/>
      <w:r>
        <w:rPr>
          <w:rStyle w:val="rynqvb"/>
          <w:lang w:val="en"/>
        </w:rPr>
        <w:t xml:space="preserve"> correct pollen data for these biases and also allows to identify the spatial extent of the local vegetation reconstruction zone via the Relevant Source Area of</w:t>
      </w:r>
      <w:r>
        <w:rPr>
          <w:rStyle w:val="hwtze"/>
          <w:lang w:val="en"/>
        </w:rPr>
        <w:t xml:space="preserve"> </w:t>
      </w:r>
      <w:r>
        <w:rPr>
          <w:rStyle w:val="rynqvb"/>
          <w:lang w:val="en"/>
        </w:rPr>
        <w:t>Pollen (RSAP).</w:t>
      </w:r>
      <w:r>
        <w:rPr>
          <w:rStyle w:val="hwtze"/>
          <w:lang w:val="en"/>
        </w:rPr>
        <w:t xml:space="preserve"> While </w:t>
      </w:r>
      <w:r>
        <w:rPr>
          <w:rStyle w:val="rynqvb"/>
          <w:lang w:val="en"/>
        </w:rPr>
        <w:t>LRA estimates have already been integrated into certain past land-cover mapping approaches, none have been designed to allow the diachronic reconstruction of the land-cover mosaic of a landscape over the long term combining</w:t>
      </w:r>
      <w:r>
        <w:rPr>
          <w:rStyle w:val="hwtze"/>
          <w:lang w:val="en"/>
        </w:rPr>
        <w:t xml:space="preserve"> </w:t>
      </w:r>
      <w:r>
        <w:rPr>
          <w:rStyle w:val="rynqvb"/>
          <w:lang w:val="en"/>
        </w:rPr>
        <w:t>the following points: the direct integration of LRA estimates as a source of variability in the composition and distribution of pollen taxa, without resorting to multiple scenarios, and the integration of spatiotemporal autocorrelation in the taxa distribution between two periods.</w:t>
      </w:r>
      <w:r>
        <w:rPr>
          <w:rStyle w:val="hwtze"/>
          <w:lang w:val="en"/>
        </w:rPr>
        <w:t xml:space="preserve"> </w:t>
      </w:r>
      <w:r>
        <w:rPr>
          <w:rStyle w:val="rynqvb"/>
          <w:lang w:val="en"/>
        </w:rPr>
        <w:t>In this study, we propose an innovative approach for Backward Landscape reconstruction (BACKLAND), combining these previous points and estimating past landscapes within a set of RSAPs.</w:t>
      </w:r>
      <w:r>
        <w:rPr>
          <w:rStyle w:val="hwtze"/>
          <w:lang w:val="en"/>
        </w:rPr>
        <w:t xml:space="preserve"> </w:t>
      </w:r>
      <w:r>
        <w:rPr>
          <w:rStyle w:val="rynqvb"/>
          <w:lang w:val="en"/>
        </w:rPr>
        <w:t>Based on three stages using parsimonious assumptions and easy-to-implement probabilistic and statistical tools, the implementation of this approach requires LRA estimates of sites with overlapping RSAPs, botanical data, a Digital Elevation Model and two recent land-cover maps.</w:t>
      </w:r>
      <w:r>
        <w:rPr>
          <w:rStyle w:val="hwtze"/>
          <w:lang w:val="en"/>
        </w:rPr>
        <w:t xml:space="preserve"> </w:t>
      </w:r>
      <w:r>
        <w:rPr>
          <w:rStyle w:val="rynqvb"/>
          <w:lang w:val="en"/>
        </w:rPr>
        <w:t xml:space="preserve">Developed and tested on a small study area within the mountain landscape of the </w:t>
      </w:r>
      <w:proofErr w:type="spellStart"/>
      <w:r>
        <w:rPr>
          <w:rStyle w:val="rynqvb"/>
          <w:lang w:val="en"/>
        </w:rPr>
        <w:t>Bassiès</w:t>
      </w:r>
      <w:proofErr w:type="spellEnd"/>
      <w:r>
        <w:rPr>
          <w:rStyle w:val="rynqvb"/>
          <w:lang w:val="en"/>
        </w:rPr>
        <w:t xml:space="preserve"> valley (French Pyrenees), BACKLAND achieved the reconstruction of a past land-cover map representing eight land-cover types at a spatial resolution of 20m with a good level of accuracy. We showed in this study the originality of this approach and </w:t>
      </w:r>
      <w:r>
        <w:rPr>
          <w:rStyle w:val="rynqvb"/>
          <w:lang w:val="en"/>
        </w:rPr>
        <w:lastRenderedPageBreak/>
        <w:t xml:space="preserve">discussed its potential for </w:t>
      </w:r>
      <w:proofErr w:type="spellStart"/>
      <w:r>
        <w:rPr>
          <w:rStyle w:val="rynqvb"/>
          <w:lang w:val="en"/>
        </w:rPr>
        <w:t>palaeoenvironmental</w:t>
      </w:r>
      <w:proofErr w:type="spellEnd"/>
      <w:r>
        <w:rPr>
          <w:rStyle w:val="rynqvb"/>
          <w:lang w:val="en"/>
        </w:rPr>
        <w:t xml:space="preserve"> studies, historical ecology and the management of socio-</w:t>
      </w:r>
      <w:r>
        <w:rPr>
          <w:rStyle w:val="hwtze"/>
          <w:lang w:val="en"/>
        </w:rPr>
        <w:t xml:space="preserve"> </w:t>
      </w:r>
      <w:r>
        <w:rPr>
          <w:rStyle w:val="rynqvb"/>
          <w:lang w:val="en"/>
        </w:rPr>
        <w:t>ecosystems.</w:t>
      </w:r>
    </w:p>
    <w:p w14:paraId="24E81A2E" w14:textId="77777777" w:rsidR="007759EF" w:rsidRPr="00451B2B" w:rsidRDefault="007759EF" w:rsidP="00060700">
      <w:pPr>
        <w:spacing w:line="480" w:lineRule="auto"/>
        <w:rPr>
          <w:b/>
          <w:lang w:val="en"/>
        </w:rPr>
      </w:pPr>
      <w:r w:rsidRPr="00451B2B">
        <w:rPr>
          <w:b/>
          <w:lang w:val="en"/>
        </w:rPr>
        <w:t>Keywords</w:t>
      </w:r>
    </w:p>
    <w:p w14:paraId="774113D9" w14:textId="77777777" w:rsidR="007759EF" w:rsidRPr="006558EB" w:rsidRDefault="007759EF" w:rsidP="00060700">
      <w:pPr>
        <w:spacing w:line="480" w:lineRule="auto"/>
        <w:rPr>
          <w:lang w:val="en"/>
        </w:rPr>
      </w:pPr>
      <w:proofErr w:type="spellStart"/>
      <w:r>
        <w:rPr>
          <w:lang w:val="en"/>
        </w:rPr>
        <w:t>LOcal</w:t>
      </w:r>
      <w:proofErr w:type="spellEnd"/>
      <w:r>
        <w:rPr>
          <w:lang w:val="en"/>
        </w:rPr>
        <w:t xml:space="preserve"> </w:t>
      </w:r>
      <w:proofErr w:type="spellStart"/>
      <w:r>
        <w:rPr>
          <w:lang w:val="en"/>
        </w:rPr>
        <w:t>VEgetation</w:t>
      </w:r>
      <w:proofErr w:type="spellEnd"/>
      <w:r>
        <w:rPr>
          <w:lang w:val="en"/>
        </w:rPr>
        <w:t xml:space="preserve"> estimates, Relevant Source Area of Pollen,</w:t>
      </w:r>
      <w:r w:rsidRPr="00001E30">
        <w:rPr>
          <w:lang w:val="en"/>
        </w:rPr>
        <w:t xml:space="preserve"> </w:t>
      </w:r>
      <w:r>
        <w:rPr>
          <w:lang w:val="en"/>
        </w:rPr>
        <w:t xml:space="preserve">Vegetation distribution, Landscape reconstruction, Land-cover, </w:t>
      </w:r>
      <w:proofErr w:type="gramStart"/>
      <w:r>
        <w:rPr>
          <w:lang w:val="en"/>
        </w:rPr>
        <w:t>Multiple</w:t>
      </w:r>
      <w:proofErr w:type="gramEnd"/>
      <w:r>
        <w:rPr>
          <w:lang w:val="en"/>
        </w:rPr>
        <w:t xml:space="preserve"> linear regression, Validation</w:t>
      </w:r>
    </w:p>
    <w:p w14:paraId="34EA38FE" w14:textId="731AD23F" w:rsidR="00440609" w:rsidRPr="00941F74" w:rsidRDefault="00D62525">
      <w:pPr>
        <w:pStyle w:val="Titre1"/>
        <w:spacing w:line="480" w:lineRule="auto"/>
        <w:rPr>
          <w:rFonts w:asciiTheme="minorHAnsi" w:hAnsiTheme="minorHAnsi" w:cstheme="minorHAnsi"/>
          <w:sz w:val="22"/>
          <w:szCs w:val="22"/>
          <w:lang w:val="en-GB"/>
        </w:rPr>
      </w:pPr>
      <w:r w:rsidRPr="00941F74">
        <w:rPr>
          <w:rFonts w:asciiTheme="minorHAnsi" w:hAnsiTheme="minorHAnsi" w:cstheme="minorHAnsi"/>
          <w:sz w:val="22"/>
          <w:szCs w:val="22"/>
          <w:lang w:val="en-GB"/>
        </w:rPr>
        <w:t>Introduction</w:t>
      </w:r>
    </w:p>
    <w:p w14:paraId="68371CC4" w14:textId="06699B68" w:rsidR="004367D6" w:rsidRPr="00941F74" w:rsidRDefault="00BD423A">
      <w:pPr>
        <w:spacing w:after="0" w:line="480" w:lineRule="auto"/>
        <w:contextualSpacing/>
        <w:rPr>
          <w:rFonts w:cstheme="minorHAnsi"/>
          <w:lang w:val="en-GB"/>
        </w:rPr>
      </w:pPr>
      <w:r w:rsidRPr="00941F74">
        <w:rPr>
          <w:rFonts w:cstheme="minorHAnsi"/>
          <w:lang w:val="en-GB"/>
        </w:rPr>
        <w:t xml:space="preserve">Landscapes are dynamic land-cover </w:t>
      </w:r>
      <w:r w:rsidR="00B00855" w:rsidRPr="00941F74">
        <w:rPr>
          <w:rFonts w:cstheme="minorHAnsi"/>
          <w:lang w:val="en-GB"/>
        </w:rPr>
        <w:t xml:space="preserve">type (LCT) </w:t>
      </w:r>
      <w:r w:rsidRPr="00941F74">
        <w:rPr>
          <w:rFonts w:cstheme="minorHAnsi"/>
          <w:lang w:val="en-GB"/>
        </w:rPr>
        <w:t xml:space="preserve">mosaics whose composition and </w:t>
      </w:r>
      <w:r w:rsidR="00873462" w:rsidRPr="00941F74">
        <w:rPr>
          <w:rFonts w:cstheme="minorHAnsi"/>
          <w:lang w:val="en-GB"/>
        </w:rPr>
        <w:t xml:space="preserve">configuration (i.e. </w:t>
      </w:r>
      <w:r w:rsidRPr="00941F74">
        <w:rPr>
          <w:rFonts w:cstheme="minorHAnsi"/>
          <w:lang w:val="en-GB"/>
        </w:rPr>
        <w:t>sp</w:t>
      </w:r>
      <w:r w:rsidR="004106C3" w:rsidRPr="00941F74">
        <w:rPr>
          <w:rFonts w:cstheme="minorHAnsi"/>
          <w:lang w:val="en-GB"/>
        </w:rPr>
        <w:t xml:space="preserve">atial </w:t>
      </w:r>
      <w:r w:rsidR="00730F7B" w:rsidRPr="00941F74">
        <w:rPr>
          <w:rFonts w:cstheme="minorHAnsi"/>
          <w:lang w:val="en-GB"/>
        </w:rPr>
        <w:t>arrangements</w:t>
      </w:r>
      <w:r w:rsidR="00873462" w:rsidRPr="00941F74">
        <w:rPr>
          <w:rFonts w:cstheme="minorHAnsi"/>
          <w:lang w:val="en-GB"/>
        </w:rPr>
        <w:t>)</w:t>
      </w:r>
      <w:r w:rsidR="004106C3" w:rsidRPr="00941F74">
        <w:rPr>
          <w:rFonts w:cstheme="minorHAnsi"/>
          <w:lang w:val="en-GB"/>
        </w:rPr>
        <w:t xml:space="preserve"> are influenced by </w:t>
      </w:r>
      <w:r w:rsidR="00873462" w:rsidRPr="00941F74">
        <w:rPr>
          <w:rFonts w:cstheme="minorHAnsi"/>
          <w:lang w:val="en-GB"/>
        </w:rPr>
        <w:t>ecological</w:t>
      </w:r>
      <w:r w:rsidR="00DB14DD" w:rsidRPr="00941F74">
        <w:rPr>
          <w:rFonts w:cstheme="minorHAnsi"/>
          <w:lang w:val="en-GB"/>
        </w:rPr>
        <w:t xml:space="preserve">, </w:t>
      </w:r>
      <w:r w:rsidR="00982326" w:rsidRPr="00941F74">
        <w:rPr>
          <w:rFonts w:cstheme="minorHAnsi"/>
          <w:lang w:val="en-GB"/>
        </w:rPr>
        <w:t>socio-economic, political, technological,</w:t>
      </w:r>
      <w:r w:rsidR="00DB14DD" w:rsidRPr="00941F74">
        <w:rPr>
          <w:rFonts w:cstheme="minorHAnsi"/>
          <w:lang w:val="en-GB"/>
        </w:rPr>
        <w:t xml:space="preserve"> </w:t>
      </w:r>
      <w:r w:rsidR="00873462" w:rsidRPr="00941F74">
        <w:rPr>
          <w:rFonts w:cstheme="minorHAnsi"/>
          <w:lang w:val="en-GB"/>
        </w:rPr>
        <w:t>and/</w:t>
      </w:r>
      <w:r w:rsidR="00982326" w:rsidRPr="00941F74">
        <w:rPr>
          <w:rFonts w:cstheme="minorHAnsi"/>
          <w:lang w:val="en-GB"/>
        </w:rPr>
        <w:t>or cultural driv</w:t>
      </w:r>
      <w:r w:rsidR="004106C3" w:rsidRPr="00941F74">
        <w:rPr>
          <w:rFonts w:cstheme="minorHAnsi"/>
          <w:lang w:val="en-GB"/>
        </w:rPr>
        <w:t>ing forces</w:t>
      </w:r>
      <w:r w:rsidR="00941F74" w:rsidRPr="00941F74">
        <w:rPr>
          <w:rFonts w:cstheme="minorHAnsi"/>
          <w:lang w:val="en-GB"/>
        </w:rPr>
        <w:t xml:space="preserve"> </w:t>
      </w:r>
      <w:r w:rsidR="00436747" w:rsidRPr="00941F74">
        <w:rPr>
          <w:rFonts w:cstheme="minorHAnsi"/>
          <w:lang w:val="en-GB"/>
        </w:rPr>
        <w:fldChar w:fldCharType="begin"/>
      </w:r>
      <w:r w:rsidR="003B1EC2">
        <w:rPr>
          <w:rFonts w:cstheme="minorHAnsi"/>
          <w:lang w:val="en-GB"/>
        </w:rPr>
        <w:instrText xml:space="preserve"> ADDIN ZOTERO_ITEM CSL_CITATION {"citationID":"ATyV9fHw","properties":{"formattedCitation":"(Brandt et al., 1999; B\\uc0\\u252{}rgi et al., 2004; Hersperger and B\\uc0\\u252{}rgi, 2009)","plainCitation":"(Brandt et al., 1999; Bürgi et al., 2004; Hersperger and Bürgi, 2009)","noteIndex":0},"citationItems":[{"id":3225,"uris":["http://zotero.org/users/10290022/items/8WQUJGFC"],"itemData":{"id":3225,"type":"chapter","collection-number":"24","collection-title":"Man and the Biosphere Series","container-title":"Land-use changes and their environmental impact in rural areas in Europe","page":"81-102","title":"Rural land-use and landscape dynamics - analysis of 'driving forces' in space and time","author":[{"family":"Brandt","given":"Jesper"},{"family":"Primdahl","given":"Jorgen"},{"family":"Reenberg","given":"Anette"}],"issued":{"date-parts":[["1999"]]}}},{"id":822,"uris":["http://zotero.org/users/10290022/items/B34GB7GJ"],"itemData":{"id":822,"type":"article-journal","abstract":"The concept of driving forces is gaining increasing attention in landscape-change research. We summarize the state of the art of this field and present new conceptual and methodological directions for the study of driving forces of landscape changes. These new directions address four major challenges faced by landscape-change studies, i.e., studying processes and not merely spatial patterns, extrapolating results in space and time, linking data of different qualities, and considering culture as a driver of landscape change. The proposed research direc- tions include: studying landscape change across borders and transects, focusing on persistence as well as change, investigating rates of change, considering attractors of landscape change, targeting correlation and causality, and searching for precursors of landscape change. Based on established knowledge and the new approaches we out- line a standard procedure to study driving forces of landscape change. We anticipate that our analytical and sys- tematic approach increases the relevance of studies of landscape change for science as well as for the solution of real world problems","container-title":"Landscape Ecology","DOI":"10.1007/s10980-005-0245-3","ISSN":"0921-2973","issue":"8","note":"ISBN: 0921-2973","page":"857-868","title":"Driving forces of landscape change - current and new directions","URL":"http://link.springer.com/10.1007/s10980-005-0245-3","volume":"19","author":[{"family":"Bürgi","given":"Matthias"},{"family":"Hersperger","given":"Anna M."},{"family":"Schneeberger","given":"Nina"}],"issued":{"date-parts":[["2004"]]}}},{"id":872,"uris":["http://zotero.org/users/10290022/items/AEGVAHBE"],"itemData":{"id":872,"type":"article-journal","abstract":"Over the past decades, urban sprawl and agricultural intensification have enormously changed the traditional cultural landscape of the Swiss lowlands. This research aims to analyze the driving forces of urbanization, agricultural intensification, and greening in five municipalities of the periurban Limmat Valley, near Zurich, Switzerland. The main objectives of the paper are (1) to quantify the change in urbanization, agricultural intensification, and greening, (2) to determine the driving forces of landscape change, (3) to determine the relative importance of socioeconomic, political, cultural, technological, and natural/spatial driving forces, and (4) to establish from which administrative levels and spatial scales the most important driving forces originate. Changes for the periods 1930-1956, 1957-1976, and 1977-2000 are documented based on a comparison of cartographic maps. A list of 73 potentially relevant driving forces is established based on document analysis. Based on further document analysis and expert interviews, 52 of them were found to be relevant primary driving forces for the documented landscape changes. We found that in all three periods, urbanization was the most important process of change. Greening is steadily increasing in importance and surpassed agricultural intensification in the last period. Overall, as well as for urbanization, the economic driving forces, followed by political driving forces, are most important for landscape changes in all three periods. Cantonal driving forces are most important, followed by the national, local and international driving forces. By presenting an approach to quantify the contribution of major driving forces groups to landscape change this study contributes to method development in land change research. © 2008 Elsevier Ltd. All rights reserved.","container-title":"Land Use Policy","DOI":"10.1016/j.landusepol.2008.08.015","ISSN":"02648377","issue":"3","note":"ISBN: 0264-8377","page":"640-648","title":"Going beyond landscape change description: Quantifying the importance of driving forces of landscape change in a Central Europe case study","volume":"26","author":[{"family":"Hersperger","given":"Anna M."},{"family":"Bürgi","given":"Matthias"}],"issued":{"date-parts":[["2009"]]}}}],"schema":"https://github.com/citation-style-language/schema/raw/master/csl-citation.json"} </w:instrText>
      </w:r>
      <w:r w:rsidR="00436747" w:rsidRPr="00941F74">
        <w:rPr>
          <w:rFonts w:cstheme="minorHAnsi"/>
          <w:lang w:val="en-GB"/>
        </w:rPr>
        <w:fldChar w:fldCharType="separate"/>
      </w:r>
      <w:r w:rsidR="003B1EC2" w:rsidRPr="003B1EC2">
        <w:rPr>
          <w:rFonts w:ascii="Calibri" w:hAnsi="Calibri" w:cs="Calibri"/>
          <w:szCs w:val="24"/>
          <w:lang w:val="en-US"/>
        </w:rPr>
        <w:t>(Brandt et al., 1999; Bürgi et al., 2004; Hersperger and Bürgi, 2009)</w:t>
      </w:r>
      <w:r w:rsidR="00436747" w:rsidRPr="00941F74">
        <w:rPr>
          <w:rFonts w:cstheme="minorHAnsi"/>
          <w:lang w:val="en-GB"/>
        </w:rPr>
        <w:fldChar w:fldCharType="end"/>
      </w:r>
      <w:r w:rsidR="0082682C" w:rsidRPr="00941F74">
        <w:rPr>
          <w:rFonts w:cstheme="minorHAnsi"/>
          <w:lang w:val="en-GB"/>
        </w:rPr>
        <w:t>.</w:t>
      </w:r>
      <w:r w:rsidR="00DB14DD" w:rsidRPr="00941F74">
        <w:rPr>
          <w:rFonts w:cstheme="minorHAnsi"/>
          <w:lang w:val="en-GB"/>
        </w:rPr>
        <w:t xml:space="preserve"> </w:t>
      </w:r>
      <w:r w:rsidR="005A74F9" w:rsidRPr="00941F74">
        <w:rPr>
          <w:rFonts w:cstheme="minorHAnsi"/>
          <w:lang w:val="en-GB"/>
        </w:rPr>
        <w:t xml:space="preserve">Due to the strong influence of anthropogenic activities on </w:t>
      </w:r>
      <w:r w:rsidR="00FC0A5C">
        <w:rPr>
          <w:rFonts w:cstheme="minorHAnsi"/>
          <w:lang w:val="en-GB"/>
        </w:rPr>
        <w:t>the</w:t>
      </w:r>
      <w:r w:rsidR="00FC0A5C" w:rsidRPr="00941F74">
        <w:rPr>
          <w:rFonts w:cstheme="minorHAnsi"/>
          <w:lang w:val="en-GB"/>
        </w:rPr>
        <w:t xml:space="preserve"> </w:t>
      </w:r>
      <w:r w:rsidR="00BE4782" w:rsidRPr="00941F74">
        <w:rPr>
          <w:rFonts w:cstheme="minorHAnsi"/>
          <w:lang w:val="en-GB"/>
        </w:rPr>
        <w:t xml:space="preserve">composition and configuration </w:t>
      </w:r>
      <w:r w:rsidR="00FC0A5C">
        <w:rPr>
          <w:rFonts w:cstheme="minorHAnsi"/>
          <w:lang w:val="en-GB"/>
        </w:rPr>
        <w:t xml:space="preserve">of landscapes </w:t>
      </w:r>
      <w:r w:rsidR="00BE4782" w:rsidRPr="00941F74">
        <w:rPr>
          <w:rFonts w:cstheme="minorHAnsi"/>
          <w:lang w:val="en-GB"/>
        </w:rPr>
        <w:t>over time</w:t>
      </w:r>
      <w:r w:rsidR="005A74F9" w:rsidRPr="00941F74">
        <w:rPr>
          <w:rFonts w:cstheme="minorHAnsi"/>
          <w:lang w:val="en-GB"/>
        </w:rPr>
        <w:t>, it is essential to refine our understanding of the spatial and temporal interactions between humans, landscape</w:t>
      </w:r>
      <w:r w:rsidR="00F15DB2" w:rsidRPr="00941F74">
        <w:rPr>
          <w:rFonts w:cstheme="minorHAnsi"/>
          <w:lang w:val="en-GB"/>
        </w:rPr>
        <w:t>s</w:t>
      </w:r>
      <w:r w:rsidR="005A74F9" w:rsidRPr="00941F74">
        <w:rPr>
          <w:rFonts w:cstheme="minorHAnsi"/>
          <w:lang w:val="en-GB"/>
        </w:rPr>
        <w:t xml:space="preserve"> and biodiversity in order to better anticipate the possible futures of landscapes and to guide stakeholders to</w:t>
      </w:r>
      <w:r w:rsidR="00BE4782" w:rsidRPr="00941F74">
        <w:rPr>
          <w:rFonts w:cstheme="minorHAnsi"/>
          <w:lang w:val="en-GB"/>
        </w:rPr>
        <w:t>wards appropriate</w:t>
      </w:r>
      <w:r w:rsidR="005A74F9" w:rsidRPr="00941F74">
        <w:rPr>
          <w:rFonts w:cstheme="minorHAnsi"/>
          <w:lang w:val="en-GB"/>
        </w:rPr>
        <w:t xml:space="preserve"> management </w:t>
      </w:r>
      <w:r w:rsidR="00EA0B3F" w:rsidRPr="00941F74">
        <w:rPr>
          <w:rFonts w:cstheme="minorHAnsi"/>
          <w:lang w:val="en-GB"/>
        </w:rPr>
        <w:t xml:space="preserve">measures </w:t>
      </w:r>
      <w:r w:rsidR="00515BCC" w:rsidRPr="00941F74">
        <w:rPr>
          <w:rFonts w:cstheme="minorHAnsi"/>
          <w:lang w:val="en-GB"/>
        </w:rPr>
        <w:fldChar w:fldCharType="begin"/>
      </w:r>
      <w:r w:rsidR="003B1EC2">
        <w:rPr>
          <w:rFonts w:cstheme="minorHAnsi"/>
          <w:lang w:val="en-GB"/>
        </w:rPr>
        <w:instrText xml:space="preserve"> ADDIN ZOTERO_ITEM CSL_CITATION {"citationID":"kMWSgGsj","properties":{"formattedCitation":"(Antrop, 2005; Cousins, 2006; Delcourt and Delcourt, 1998; Plieninger et al., 2015)","plainCitation":"(Antrop, 2005; Cousins, 2006; Delcourt and Delcourt, 1998; Plieninger et al., 2015)","noteIndex":0},"citationItems":[{"id":814,"uris":["http://zotero.org/users/10290022/items/ERD4JRU5"],"itemData":{"id":814,"type":"article-journal","abstract":"Landscapes change because they are the expression of the dynamic interaction between natural and cultural forces in the environment. Cultural landscapes are the result of consecutive reorganization of the land in order to adapt its use and spatial structure better to the changing societal demands. Particularly in Europe, history has recorded many successive and even devastating landscape changes, which have left barely any relics today. Today, the changes are seen as a menace, as a negative evolution because they cause a loss of diversity, coherence and identity, which were characteristic for the traditional cultural landscapes that are rapidly vanishing. This growing concern is also expressed in the European Landscape Convention, which will be used as a start for the analysis in this article. Three periods of landscape dynamics are considered: the traditional landscapes before the important changes that started in the 18th century, the landscapes of the revolutions age of the 19th to 20th century, and the post-modern new landscapes. The combined effect of the driving forces such as accessibility, urbanization, globalization and the impact of calamities have been different in each of the periods and affected the nature and pace of the changes as well as the perception people have had about the landscape. Values change accordingly and so does the way of using and shaping the landscape. It is argued that this changing perception also influences what kind and aspects of landscapes are studied, protected and managed. Diversity and identity of cultural landscapes are central in the discussion. It is shown that coherence between small composing elements in a broader spatial context is important for the legibility of the landscape and that the ability to tell the (his)story of a place strongly enhances the identity and the overall value. This offers criteria for inventorying and assessing landscapes, which is needed to define future management and development. Although the general trends of future development of the European landscapes are rather well known, planning and managing future landscape remains difficult and extremely uncertain. The processes and management in past traditional landscapes and the manifold relations people have towards the perceivable environment and the symbolic meaning it generates, offer valuable knowledge for more sustainable planning and management for future landscapes. © 2003 Elsevier B.V. All rights reserved.","container-title":"Landscape and Urban Planning","DOI":"10.1016/j.landurbplan.2003.10.002","ISSN":"01692046","issue":"1-2","note":"ISBN: 0169-2046","page":"21-34","title":"Why landscapes of the past are important for the future","volume":"70","author":[{"family":"Antrop","given":"Marc"}],"issued":{"date-parts":[["2005"]]}}},{"id":832,"uris":["http://zotero.org/users/10290022/items/MX4DBH86"],"itemData":{"id":832,"type":"article-journal","abstract":"Small marginal habitats in the rural landscape may play an important role for plant species richness as refugias. Little is known how the surrounding landscape and landscape history influence these patterns. I analysed how plant species richness was affected by isolation, habitat area, past and present land use, and if landscape context matters. Plant species occurrence in two different types of small marginal habitats were analysed, road verges and midfield islets. The study was conducted in two different agricultural landscapes in Sweden; one open modern agricultural landscape and one traditional rural landscape, and the results compared. Present and past land use, and landscape change was analysed using aerial photographs and old maps. There was a large grassland reduction more than 50 years ago in the modern landscape, when there still were quite a lot of grasslands left in the traditional landscape. Area and connectivity were more important for plant incidence in small remnant habitats in the modern landscape, compared to the less fragmented, traditional rural landscape. On the other hand there were more grassland specialists, 23% in the traditional landscape compared to 16%. Species richness became higher on midfield islet if grazing was re-introduced. The legacy of surrounding landscape remains in the species pool for a long time, atleast 50 years, even in small grassland fragments. Although small grassland remnants are more sensitive to fragmentation effects compared to larger grasslands, they still encompass a substantial part of the grassland species pool and may be valuable for reconstructing grassland management at a landscape scale. © 2005 Elsevier Ltd. All rights reserved.","container-title":"Biological Conservation","DOI":"10.1016/j.biocon.2005.09.009","ISSN":"00063207","issue":"4","note":"PMID: 274\nISBN: 0006-3207","page":"500-509","title":"Plant species richness in midfield islets and road verges - The effect of landscape fragmentation","volume":"127","author":[{"family":"Cousins","given":"Sara A.O."}],"issued":{"date-parts":[["2006"]]}}},{"id":852,"uris":["http://zotero.org/users/10290022/items/HUYWBB9X"],"itemData":{"id":852,"type":"article-journal","abstract":"Environmental changes of the Quaternary have driven changes in biodiversity at every level of organization from genetic variation within populations of individual species to gradients in composition of biotic communities and heterogeneity of vegetation mosaics across landscapes. In the southern Appalachian Mountains, increased seasonality of climate during the changeover from glacial to interglacial conditions in the late Pleistocene and Holocene resulted in landscape instability that fostered a fine-grained, heterogeneous mosaic of habitats supporting a diverse biota. Ecotones between alpine, boreal, and temperate ecosystems in the Appalachians shifted dramatically through the Holocene in response to the passage of critical thresholds of temperature and changing disturbance regimes. Regional projections of future greenhouse-gas-induced climatic warming indicate that alpine tundra may be lost between 44 degrees and 57 degrees N and Picea rubens-Abies fraseri forests may become extinct in the southern Appalachians. Montane Picea rubens-Abies balsamea forests probably will be perpetuated between 44 degrees and 49 degrees N. Disjunct populations of alpine tundra species may persist below climatic treeline in small patches of open habitat. Biotic responses to late-Quaternary environmental changes indicate that a primary conservation emphasis should be to predict the: effects of changes in landscape-level environmental processes on biodiversity.","container-title":"Ecological Applications","DOI":"10.1890/1051-0761(1998)008[0921:PIOCOB]2.0.CO;2","ISSN":"10510761","issue":"4","note":"ISBN: 1051-0761","page":"921-934","title":"Paleoecological insights on conservation of biodiversity: A focus on species, ecosystems, and landscapes","volume":"8","author":[{"family":"Delcourt","given":"Paul A."},{"family":"Delcourt","given":"Hazel R."}],"issued":{"date-parts":[["1998"]]}}},{"id":2778,"uris":["http://zotero.org/users/10290022/items/WN53U2CN"],"itemData":{"id":2778,"type":"article-journal","DOI":"10.5751/ES-07443-200205","issue":"2","note":"publisher: and Society\nISBN: 202114:03:42","title":"Exploring ecosystem-change and society through a landscape lens: recent progress in European landscape research","URL":"http://dx.doi.org/10.5751/","volume":"20","author":[{"family":"Plieninger","given":"Tobias"},{"family":"Kizos","given":"Thanasis"},{"family":"Bieling","given":"Claudia"},{"family":"Le Dû-Blayo","given":"Laurence"},{"family":"Budniok","given":"Marie-Alice"},{"family":"Bürgi","given":"Matthias"},{"family":"Crumley","given":"Carole L"},{"family":"Girod","given":"Geneviève"},{"family":"Howard","given":"Pip"},{"family":"Kolen","given":"Jan"},{"family":"Kuemmerle","given":"Tobias"},{"family":"Milcinski","given":"Grega"},{"family":"Palang","given":"Hannes"},{"family":"Trommler","given":"Kathrin"},{"family":"Verburg","given":"Peter H"}],"accessed":{"date-parts":[["2021",2,23]]},"issued":{"date-parts":[["2015"]]}},"label":"page"}],"schema":"https://github.com/citation-style-language/schema/raw/master/csl-citation.json"} </w:instrText>
      </w:r>
      <w:r w:rsidR="00515BCC" w:rsidRPr="00941F74">
        <w:rPr>
          <w:rFonts w:cstheme="minorHAnsi"/>
          <w:lang w:val="en-GB"/>
        </w:rPr>
        <w:fldChar w:fldCharType="separate"/>
      </w:r>
      <w:r w:rsidR="003B1EC2" w:rsidRPr="003B1EC2">
        <w:rPr>
          <w:rFonts w:ascii="Calibri" w:hAnsi="Calibri" w:cs="Calibri"/>
          <w:lang w:val="en-US"/>
        </w:rPr>
        <w:t>(Antrop, 2005; Cousins, 2006; Delcourt and Delcourt, 1998; Plieninger et al., 2015)</w:t>
      </w:r>
      <w:r w:rsidR="00515BCC" w:rsidRPr="00941F74">
        <w:rPr>
          <w:rFonts w:cstheme="minorHAnsi"/>
          <w:lang w:val="en-GB"/>
        </w:rPr>
        <w:fldChar w:fldCharType="end"/>
      </w:r>
      <w:r w:rsidR="00DB14DD" w:rsidRPr="00941F74">
        <w:rPr>
          <w:rFonts w:cstheme="minorHAnsi"/>
          <w:lang w:val="en-GB"/>
        </w:rPr>
        <w:t xml:space="preserve">. </w:t>
      </w:r>
      <w:r w:rsidR="00B00855" w:rsidRPr="00941F74">
        <w:rPr>
          <w:rFonts w:cstheme="minorHAnsi"/>
          <w:lang w:val="en-GB"/>
        </w:rPr>
        <w:t xml:space="preserve">Studying these interactions requires the reconstruction of past landscapes over the long term, in order to integrate their responses to slower ecological processes. </w:t>
      </w:r>
    </w:p>
    <w:p w14:paraId="69230E23" w14:textId="7E797F33" w:rsidR="00C400D2" w:rsidRPr="00941F74" w:rsidRDefault="00F048D4">
      <w:pPr>
        <w:spacing w:after="0" w:line="480" w:lineRule="auto"/>
        <w:contextualSpacing/>
        <w:rPr>
          <w:rFonts w:cstheme="minorHAnsi"/>
          <w:lang w:val="en-GB"/>
        </w:rPr>
      </w:pPr>
      <w:r w:rsidRPr="00941F74">
        <w:rPr>
          <w:rFonts w:cstheme="minorHAnsi"/>
          <w:lang w:val="en-GB"/>
        </w:rPr>
        <w:t>The production of detai</w:t>
      </w:r>
      <w:r w:rsidR="00902190" w:rsidRPr="00941F74">
        <w:rPr>
          <w:rFonts w:cstheme="minorHAnsi"/>
          <w:lang w:val="en-GB"/>
        </w:rPr>
        <w:t xml:space="preserve">led </w:t>
      </w:r>
      <w:r w:rsidR="00FC0A5C">
        <w:rPr>
          <w:rFonts w:cstheme="minorHAnsi"/>
          <w:lang w:val="en-GB"/>
        </w:rPr>
        <w:t>LCT</w:t>
      </w:r>
      <w:r w:rsidR="00FC0A5C" w:rsidRPr="00941F74">
        <w:rPr>
          <w:rFonts w:cstheme="minorHAnsi"/>
          <w:lang w:val="en-GB"/>
        </w:rPr>
        <w:t xml:space="preserve"> </w:t>
      </w:r>
      <w:r w:rsidR="00902190" w:rsidRPr="00941F74">
        <w:rPr>
          <w:rFonts w:cstheme="minorHAnsi"/>
          <w:lang w:val="en-GB"/>
        </w:rPr>
        <w:t>maps</w:t>
      </w:r>
      <w:r w:rsidRPr="00941F74">
        <w:rPr>
          <w:rFonts w:cstheme="minorHAnsi"/>
          <w:lang w:val="en-GB"/>
        </w:rPr>
        <w:t xml:space="preserve"> </w:t>
      </w:r>
      <w:r w:rsidR="004367D6" w:rsidRPr="00941F74">
        <w:rPr>
          <w:rFonts w:cstheme="minorHAnsi"/>
          <w:lang w:val="en-GB"/>
        </w:rPr>
        <w:t xml:space="preserve">over the long term, without loss of resolution of </w:t>
      </w:r>
      <w:r w:rsidR="00FC0A5C">
        <w:rPr>
          <w:rFonts w:cstheme="minorHAnsi"/>
          <w:lang w:val="en-GB"/>
        </w:rPr>
        <w:t xml:space="preserve">the </w:t>
      </w:r>
      <w:r w:rsidR="004367D6" w:rsidRPr="00941F74">
        <w:rPr>
          <w:rFonts w:cstheme="minorHAnsi"/>
          <w:lang w:val="en-GB"/>
        </w:rPr>
        <w:t>composition and configuration of the LCT mosaic</w:t>
      </w:r>
      <w:r w:rsidR="00FC0A5C">
        <w:rPr>
          <w:rFonts w:cstheme="minorHAnsi"/>
          <w:lang w:val="en-GB"/>
        </w:rPr>
        <w:t>,</w:t>
      </w:r>
      <w:r w:rsidR="004367D6" w:rsidRPr="00941F74">
        <w:rPr>
          <w:rFonts w:cstheme="minorHAnsi"/>
          <w:lang w:val="en-GB"/>
        </w:rPr>
        <w:t xml:space="preserve"> would allow a fine reconstruction of </w:t>
      </w:r>
      <w:r w:rsidR="00C400D2" w:rsidRPr="00941F74">
        <w:rPr>
          <w:rFonts w:cstheme="minorHAnsi"/>
          <w:lang w:val="en-GB"/>
        </w:rPr>
        <w:t>land</w:t>
      </w:r>
      <w:r w:rsidR="00F53454" w:rsidRPr="00941F74">
        <w:rPr>
          <w:rFonts w:cstheme="minorHAnsi"/>
          <w:lang w:val="en-GB"/>
        </w:rPr>
        <w:t>s</w:t>
      </w:r>
      <w:r w:rsidR="00C400D2" w:rsidRPr="00941F74">
        <w:rPr>
          <w:rFonts w:cstheme="minorHAnsi"/>
          <w:lang w:val="en-GB"/>
        </w:rPr>
        <w:t xml:space="preserve">cape </w:t>
      </w:r>
      <w:r w:rsidR="00937848" w:rsidRPr="00941F74">
        <w:rPr>
          <w:rFonts w:cstheme="minorHAnsi"/>
          <w:lang w:val="en-GB"/>
        </w:rPr>
        <w:t>spatio</w:t>
      </w:r>
      <w:r w:rsidR="004367D6" w:rsidRPr="00941F74">
        <w:rPr>
          <w:rFonts w:cstheme="minorHAnsi"/>
          <w:lang w:val="en-GB"/>
        </w:rPr>
        <w:t xml:space="preserve">temporal dynamics. However, mapping past landscapes at a regional and local scale remains challenging due to the loss of both spatial and classification resolution of LCTs beyond the time extent of remote sensing </w:t>
      </w:r>
      <w:r w:rsidR="00F53454" w:rsidRPr="00941F74">
        <w:rPr>
          <w:rFonts w:cstheme="minorHAnsi"/>
          <w:lang w:val="en-GB"/>
        </w:rPr>
        <w:t>data</w:t>
      </w:r>
      <w:r w:rsidR="004367D6" w:rsidRPr="00941F74">
        <w:rPr>
          <w:rFonts w:cstheme="minorHAnsi"/>
          <w:lang w:val="en-GB"/>
        </w:rPr>
        <w:t>, i.e. before the late 20</w:t>
      </w:r>
      <w:r w:rsidR="004367D6" w:rsidRPr="00941F74">
        <w:rPr>
          <w:rFonts w:cstheme="minorHAnsi"/>
          <w:vertAlign w:val="superscript"/>
          <w:lang w:val="en-GB"/>
        </w:rPr>
        <w:t>th</w:t>
      </w:r>
      <w:r w:rsidR="004367D6" w:rsidRPr="00941F74">
        <w:rPr>
          <w:rFonts w:cstheme="minorHAnsi"/>
          <w:lang w:val="en-GB"/>
        </w:rPr>
        <w:t xml:space="preserve"> century</w:t>
      </w:r>
      <w:r w:rsidR="00F53454" w:rsidRPr="00941F74">
        <w:rPr>
          <w:rFonts w:cstheme="minorHAnsi"/>
          <w:lang w:val="en-GB"/>
        </w:rPr>
        <w:t xml:space="preserve"> for satellite </w:t>
      </w:r>
      <w:r w:rsidR="00FC0A5C">
        <w:rPr>
          <w:rFonts w:cstheme="minorHAnsi"/>
          <w:lang w:val="en-GB"/>
        </w:rPr>
        <w:t>imagery</w:t>
      </w:r>
      <w:r w:rsidR="00FC0A5C" w:rsidRPr="00941F74">
        <w:rPr>
          <w:rFonts w:cstheme="minorHAnsi"/>
          <w:lang w:val="en-GB"/>
        </w:rPr>
        <w:t xml:space="preserve"> </w:t>
      </w:r>
      <w:r w:rsidR="00F53454" w:rsidRPr="00941F74">
        <w:rPr>
          <w:rFonts w:cstheme="minorHAnsi"/>
          <w:lang w:val="en-GB"/>
        </w:rPr>
        <w:t>and the 1950s for panchromatic historical aerial photographs</w:t>
      </w:r>
      <w:r w:rsidR="004367D6" w:rsidRPr="00941F74">
        <w:rPr>
          <w:rFonts w:cstheme="minorHAnsi"/>
          <w:lang w:val="en-GB"/>
        </w:rPr>
        <w:t xml:space="preserve">. </w:t>
      </w:r>
      <w:r w:rsidRPr="00941F74">
        <w:rPr>
          <w:rFonts w:cstheme="minorHAnsi"/>
          <w:lang w:val="en-GB"/>
        </w:rPr>
        <w:t xml:space="preserve">Cadastral maps and </w:t>
      </w:r>
      <w:r w:rsidR="004367D6" w:rsidRPr="00941F74">
        <w:rPr>
          <w:rFonts w:cstheme="minorHAnsi"/>
          <w:lang w:val="en-GB"/>
        </w:rPr>
        <w:t>LCT</w:t>
      </w:r>
      <w:r w:rsidR="00902190" w:rsidRPr="00941F74">
        <w:rPr>
          <w:rFonts w:cstheme="minorHAnsi"/>
          <w:lang w:val="en-GB"/>
        </w:rPr>
        <w:t xml:space="preserve"> </w:t>
      </w:r>
      <w:r w:rsidRPr="00941F74">
        <w:rPr>
          <w:rFonts w:cstheme="minorHAnsi"/>
          <w:lang w:val="en-GB"/>
        </w:rPr>
        <w:t>surveys may extend mapping back to the 19</w:t>
      </w:r>
      <w:r w:rsidRPr="006330DE">
        <w:rPr>
          <w:rFonts w:cstheme="minorHAnsi"/>
          <w:vertAlign w:val="superscript"/>
          <w:lang w:val="en-GB"/>
        </w:rPr>
        <w:t>th</w:t>
      </w:r>
      <w:r w:rsidR="00FC0A5C">
        <w:rPr>
          <w:rFonts w:cstheme="minorHAnsi"/>
          <w:lang w:val="en-GB"/>
        </w:rPr>
        <w:t xml:space="preserve"> </w:t>
      </w:r>
      <w:r w:rsidRPr="00941F74">
        <w:rPr>
          <w:rFonts w:cstheme="minorHAnsi"/>
          <w:lang w:val="en-GB"/>
        </w:rPr>
        <w:t xml:space="preserve">centuries (e.g., </w:t>
      </w:r>
      <w:r w:rsidR="00FC0A5C">
        <w:rPr>
          <w:rFonts w:cstheme="minorHAnsi"/>
          <w:lang w:val="en-GB"/>
        </w:rPr>
        <w:t xml:space="preserve">the </w:t>
      </w:r>
      <w:r w:rsidR="00183848" w:rsidRPr="00941F74">
        <w:rPr>
          <w:rFonts w:cstheme="minorHAnsi"/>
          <w:lang w:val="en-GB"/>
        </w:rPr>
        <w:t>French Napoleoni</w:t>
      </w:r>
      <w:r w:rsidR="00990CA9" w:rsidRPr="00941F74">
        <w:rPr>
          <w:rFonts w:cstheme="minorHAnsi"/>
          <w:lang w:val="en-GB"/>
        </w:rPr>
        <w:t xml:space="preserve">c </w:t>
      </w:r>
      <w:r w:rsidR="00FC0A5C">
        <w:rPr>
          <w:rFonts w:cstheme="minorHAnsi"/>
          <w:lang w:val="en-GB"/>
        </w:rPr>
        <w:t>C</w:t>
      </w:r>
      <w:r w:rsidR="00F53454" w:rsidRPr="00941F74">
        <w:rPr>
          <w:rFonts w:cstheme="minorHAnsi"/>
          <w:lang w:val="en-GB"/>
        </w:rPr>
        <w:t>adastre</w:t>
      </w:r>
      <w:r w:rsidRPr="00941F74">
        <w:rPr>
          <w:rFonts w:cstheme="minorHAnsi"/>
          <w:lang w:val="en-GB"/>
        </w:rPr>
        <w:t>), but these</w:t>
      </w:r>
      <w:r w:rsidR="00902190" w:rsidRPr="00941F74">
        <w:rPr>
          <w:rFonts w:cstheme="minorHAnsi"/>
          <w:lang w:val="en-GB"/>
        </w:rPr>
        <w:t xml:space="preserve"> </w:t>
      </w:r>
      <w:r w:rsidRPr="00941F74">
        <w:rPr>
          <w:rFonts w:cstheme="minorHAnsi"/>
          <w:lang w:val="en-GB"/>
        </w:rPr>
        <w:t xml:space="preserve">are </w:t>
      </w:r>
      <w:r w:rsidR="00F53454" w:rsidRPr="00941F74">
        <w:rPr>
          <w:rFonts w:cstheme="minorHAnsi"/>
          <w:lang w:val="en-GB"/>
        </w:rPr>
        <w:t xml:space="preserve">non-exhaustive </w:t>
      </w:r>
      <w:r w:rsidRPr="00941F74">
        <w:rPr>
          <w:rFonts w:cstheme="minorHAnsi"/>
          <w:lang w:val="en-GB"/>
        </w:rPr>
        <w:t xml:space="preserve">in </w:t>
      </w:r>
      <w:r w:rsidR="00F53454" w:rsidRPr="00941F74">
        <w:rPr>
          <w:rFonts w:cstheme="minorHAnsi"/>
          <w:lang w:val="en-GB"/>
        </w:rPr>
        <w:t xml:space="preserve">time and </w:t>
      </w:r>
      <w:r w:rsidRPr="00941F74">
        <w:rPr>
          <w:rFonts w:cstheme="minorHAnsi"/>
          <w:lang w:val="en-GB"/>
        </w:rPr>
        <w:t>spatial coverage</w:t>
      </w:r>
      <w:r w:rsidR="00FC0A5C">
        <w:rPr>
          <w:rFonts w:cstheme="minorHAnsi"/>
          <w:lang w:val="en-GB"/>
        </w:rPr>
        <w:t>,</w:t>
      </w:r>
      <w:r w:rsidRPr="00941F74">
        <w:rPr>
          <w:rFonts w:cstheme="minorHAnsi"/>
          <w:lang w:val="en-GB"/>
        </w:rPr>
        <w:t xml:space="preserve"> </w:t>
      </w:r>
      <w:r w:rsidR="00F53454" w:rsidRPr="00941F74">
        <w:rPr>
          <w:rFonts w:cstheme="minorHAnsi"/>
          <w:lang w:val="en-GB"/>
        </w:rPr>
        <w:t xml:space="preserve">which </w:t>
      </w:r>
      <w:r w:rsidR="00FC0A5C">
        <w:rPr>
          <w:rFonts w:cstheme="minorHAnsi"/>
          <w:lang w:val="en-GB"/>
        </w:rPr>
        <w:t>does</w:t>
      </w:r>
      <w:r w:rsidR="00FC0A5C" w:rsidRPr="00941F74">
        <w:rPr>
          <w:rFonts w:cstheme="minorHAnsi"/>
          <w:lang w:val="en-GB"/>
        </w:rPr>
        <w:t xml:space="preserve"> </w:t>
      </w:r>
      <w:r w:rsidRPr="00941F74">
        <w:rPr>
          <w:rFonts w:cstheme="minorHAnsi"/>
          <w:lang w:val="en-GB"/>
        </w:rPr>
        <w:t>not facilitate</w:t>
      </w:r>
      <w:r w:rsidR="00902190" w:rsidRPr="00941F74">
        <w:rPr>
          <w:rFonts w:cstheme="minorHAnsi"/>
          <w:lang w:val="en-GB"/>
        </w:rPr>
        <w:t xml:space="preserve"> </w:t>
      </w:r>
      <w:r w:rsidRPr="00941F74">
        <w:rPr>
          <w:rFonts w:cstheme="minorHAnsi"/>
          <w:lang w:val="en-GB"/>
        </w:rPr>
        <w:t xml:space="preserve">greater time-depth </w:t>
      </w:r>
      <w:r w:rsidR="00BA5BCD" w:rsidRPr="00941F74">
        <w:rPr>
          <w:rFonts w:cstheme="minorHAnsi"/>
          <w:lang w:val="en-GB"/>
        </w:rPr>
        <w:t>in</w:t>
      </w:r>
      <w:r w:rsidRPr="00941F74">
        <w:rPr>
          <w:rFonts w:cstheme="minorHAnsi"/>
          <w:lang w:val="en-GB"/>
        </w:rPr>
        <w:t xml:space="preserve"> land</w:t>
      </w:r>
      <w:r w:rsidR="00BA5BCD" w:rsidRPr="00941F74">
        <w:rPr>
          <w:rFonts w:cstheme="minorHAnsi"/>
          <w:lang w:val="en-GB"/>
        </w:rPr>
        <w:t>-</w:t>
      </w:r>
      <w:r w:rsidRPr="00941F74">
        <w:rPr>
          <w:rFonts w:cstheme="minorHAnsi"/>
          <w:lang w:val="en-GB"/>
        </w:rPr>
        <w:t>cover change</w:t>
      </w:r>
      <w:r w:rsidR="000D6511" w:rsidRPr="00941F74">
        <w:rPr>
          <w:rFonts w:cstheme="minorHAnsi"/>
          <w:lang w:val="en-GB"/>
        </w:rPr>
        <w:t xml:space="preserve"> </w:t>
      </w:r>
      <w:r w:rsidR="00BA5BCD" w:rsidRPr="00941F74">
        <w:rPr>
          <w:rFonts w:cstheme="minorHAnsi"/>
          <w:lang w:val="en-GB"/>
        </w:rPr>
        <w:t xml:space="preserve">studies </w:t>
      </w:r>
      <w:r w:rsidR="00CD3F94" w:rsidRPr="00941F74">
        <w:rPr>
          <w:rFonts w:cstheme="minorHAnsi"/>
          <w:lang w:val="en-GB"/>
        </w:rPr>
        <w:fldChar w:fldCharType="begin"/>
      </w:r>
      <w:r w:rsidR="003B1EC2">
        <w:rPr>
          <w:rFonts w:cstheme="minorHAnsi"/>
          <w:lang w:val="en-GB"/>
        </w:rPr>
        <w:instrText xml:space="preserve"> ADDIN ZOTERO_ITEM CSL_CITATION {"citationID":"xyG27ZEV","properties":{"formattedCitation":"(Fyfe et al., 2015)","plainCitation":"(Fyfe et al., 2015)","noteIndex":0},"citationItems":[{"id":729,"uris":["http://zotero.org/users/10290022/items/TCCDZDYC"],"itemData":{"id":729,"type":"article-journal","container-title":"Global Change Biology","DOI":"10.1111/gcb.12776","ISSN":"13541013","issue":"3","note":"publisher: Wiley/Blackwell (10.1111)","page":"1197-1212","title":"From forest to farmland: pollen-inferred land cover change across Europe using the pseudobiomization approach","URL":"http://doi.wiley.com/10.1111/gcb.12776","volume":"21","author":[{"family":"Fyfe","given":"Ralph M."},{"family":"Woodbridge","given":"Jessie"},{"family":"Roberts","given":"Neil"}],"accessed":{"date-parts":[["2018",5,17]]},"issued":{"date-parts":[["2015",3,1]]}}}],"schema":"https://github.com/citation-style-language/schema/raw/master/csl-citation.json"} </w:instrText>
      </w:r>
      <w:r w:rsidR="00CD3F94" w:rsidRPr="00941F74">
        <w:rPr>
          <w:rFonts w:cstheme="minorHAnsi"/>
          <w:lang w:val="en-GB"/>
        </w:rPr>
        <w:fldChar w:fldCharType="separate"/>
      </w:r>
      <w:r w:rsidR="003B1EC2" w:rsidRPr="003B1EC2">
        <w:rPr>
          <w:rFonts w:ascii="Calibri" w:hAnsi="Calibri" w:cs="Calibri"/>
          <w:lang w:val="en-US"/>
        </w:rPr>
        <w:t>(Fyfe et al., 2015)</w:t>
      </w:r>
      <w:r w:rsidR="00CD3F94" w:rsidRPr="00941F74">
        <w:rPr>
          <w:rFonts w:cstheme="minorHAnsi"/>
          <w:lang w:val="en-GB"/>
        </w:rPr>
        <w:fldChar w:fldCharType="end"/>
      </w:r>
      <w:r w:rsidR="003B4E05" w:rsidRPr="00941F74">
        <w:rPr>
          <w:rFonts w:cstheme="minorHAnsi"/>
          <w:lang w:val="en-GB"/>
        </w:rPr>
        <w:t xml:space="preserve">. </w:t>
      </w:r>
      <w:r w:rsidR="00BA5BCD" w:rsidRPr="00941F74">
        <w:rPr>
          <w:rFonts w:cstheme="minorHAnsi"/>
          <w:lang w:val="en-GB"/>
        </w:rPr>
        <w:t xml:space="preserve">Moreover, </w:t>
      </w:r>
      <w:r w:rsidR="00280A19">
        <w:rPr>
          <w:rFonts w:cstheme="minorHAnsi"/>
          <w:lang w:val="en-GB"/>
        </w:rPr>
        <w:lastRenderedPageBreak/>
        <w:t xml:space="preserve">the </w:t>
      </w:r>
      <w:r w:rsidR="00BA5BCD" w:rsidRPr="00941F74">
        <w:rPr>
          <w:rFonts w:cstheme="minorHAnsi"/>
          <w:lang w:val="en-GB"/>
        </w:rPr>
        <w:t xml:space="preserve">historical maps </w:t>
      </w:r>
      <w:r w:rsidR="00280A19">
        <w:rPr>
          <w:rFonts w:cstheme="minorHAnsi"/>
          <w:lang w:val="en-GB"/>
        </w:rPr>
        <w:t xml:space="preserve">that </w:t>
      </w:r>
      <w:r w:rsidR="00BA5BCD" w:rsidRPr="00941F74">
        <w:rPr>
          <w:rFonts w:cstheme="minorHAnsi"/>
          <w:lang w:val="en-GB"/>
        </w:rPr>
        <w:t xml:space="preserve">were drawn </w:t>
      </w:r>
      <w:r w:rsidR="00280A19">
        <w:rPr>
          <w:rFonts w:cstheme="minorHAnsi"/>
          <w:lang w:val="en-GB"/>
        </w:rPr>
        <w:t>focused only</w:t>
      </w:r>
      <w:r w:rsidR="00280A19" w:rsidRPr="00941F74">
        <w:rPr>
          <w:rFonts w:cstheme="minorHAnsi"/>
          <w:lang w:val="en-GB"/>
        </w:rPr>
        <w:t xml:space="preserve"> </w:t>
      </w:r>
      <w:r w:rsidR="00BA5BCD" w:rsidRPr="00941F74">
        <w:rPr>
          <w:rFonts w:cstheme="minorHAnsi"/>
          <w:lang w:val="en-GB"/>
        </w:rPr>
        <w:t xml:space="preserve">on </w:t>
      </w:r>
      <w:r w:rsidR="00280A19">
        <w:rPr>
          <w:rFonts w:cstheme="minorHAnsi"/>
          <w:lang w:val="en-GB"/>
        </w:rPr>
        <w:t>certain</w:t>
      </w:r>
      <w:r w:rsidR="00280A19" w:rsidRPr="00941F74">
        <w:rPr>
          <w:rFonts w:cstheme="minorHAnsi"/>
          <w:lang w:val="en-GB"/>
        </w:rPr>
        <w:t xml:space="preserve"> </w:t>
      </w:r>
      <w:r w:rsidR="00BE48D7" w:rsidRPr="00941F74">
        <w:rPr>
          <w:rFonts w:cstheme="minorHAnsi"/>
          <w:lang w:val="en-GB"/>
        </w:rPr>
        <w:t>LCTs</w:t>
      </w:r>
      <w:r w:rsidR="00BA5BCD" w:rsidRPr="00941F74">
        <w:rPr>
          <w:rFonts w:cstheme="minorHAnsi"/>
          <w:lang w:val="en-GB"/>
        </w:rPr>
        <w:t xml:space="preserve"> and are therefore incomplete and biased by the aim of their realization </w:t>
      </w:r>
      <w:r w:rsidR="00CD3F94" w:rsidRPr="00941F74">
        <w:rPr>
          <w:rFonts w:cstheme="minorHAnsi"/>
          <w:lang w:val="en-GB"/>
        </w:rPr>
        <w:fldChar w:fldCharType="begin"/>
      </w:r>
      <w:r w:rsidR="003B1EC2">
        <w:rPr>
          <w:rFonts w:cstheme="minorHAnsi"/>
          <w:lang w:val="en-GB"/>
        </w:rPr>
        <w:instrText xml:space="preserve"> ADDIN ZOTERO_ITEM CSL_CITATION {"citationID":"QMZFa89i","properties":{"formattedCitation":"(Dahlstr\\uc0\\u246{}m, 2008)","plainCitation":"(Dahlström, 2008)","noteIndex":0},"citationItems":[{"id":2521,"uris":["http://zotero.org/users/10290022/items/9I3A8SKV"],"itemData":{"id":2521,"type":"article-journal","abstract":"The aim of this paper is to discuss implications of different resolution scales of both time and space in studies of past land use and past vegetation, both historical and palaeoecological. The paper gives examples of short term-variation, long-term changes, small spatial scale differences and regional differences in land use, studied through historical sources in four regions in south central Sweden. It also discusses the difficulty of interpretation of forest vegetation in old cadastral maps. Historical sources can show dynamics on the fine temporal and spatial scales that are difficult to capture with pollen analysis. On the other hand, pollen analysis has unique possibilities for the study of time periods where historical records are lacking. Therefore the combination of several disciplines is likely to be productive in aiding understanding past land use and vegetation. However, there are important limitations in using the information in cadastral maps and other historical sources to interpret and quantify past vegetation. ¬© 2006 Springer Verlag.","container-title":"Vegetation History and Archaeobotany","DOI":"10.1007/s00334-006-0087-1","ISSN":"09396314","issue":"5","note":"ISBN: 0939-6314","page":"563-572","title":"Grazing dynamics at different spatial and temporal scales: Examples from the Swedish historical record A.D. 1620-1850","volume":"17","author":[{"family":"Dahlström","given":"Anna"}],"issued":{"date-parts":[["2008"]]}}}],"schema":"https://github.com/citation-style-language/schema/raw/master/csl-citation.json"} </w:instrText>
      </w:r>
      <w:r w:rsidR="00CD3F94" w:rsidRPr="00941F74">
        <w:rPr>
          <w:rFonts w:cstheme="minorHAnsi"/>
          <w:lang w:val="en-GB"/>
        </w:rPr>
        <w:fldChar w:fldCharType="separate"/>
      </w:r>
      <w:r w:rsidR="003B1EC2" w:rsidRPr="003B1EC2">
        <w:rPr>
          <w:rFonts w:ascii="Calibri" w:hAnsi="Calibri" w:cs="Calibri"/>
          <w:szCs w:val="24"/>
          <w:lang w:val="en-US"/>
        </w:rPr>
        <w:t>(Dahlström, 2008)</w:t>
      </w:r>
      <w:r w:rsidR="00CD3F94" w:rsidRPr="00941F74">
        <w:rPr>
          <w:rFonts w:cstheme="minorHAnsi"/>
          <w:lang w:val="en-GB"/>
        </w:rPr>
        <w:fldChar w:fldCharType="end"/>
      </w:r>
      <w:r w:rsidRPr="00941F74">
        <w:rPr>
          <w:rFonts w:cstheme="minorHAnsi"/>
          <w:lang w:val="en-GB"/>
        </w:rPr>
        <w:t>.</w:t>
      </w:r>
      <w:r w:rsidR="00BA5BCD" w:rsidRPr="00941F74">
        <w:rPr>
          <w:rFonts w:cstheme="minorHAnsi"/>
          <w:lang w:val="en-GB"/>
        </w:rPr>
        <w:t xml:space="preserve"> </w:t>
      </w:r>
    </w:p>
    <w:p w14:paraId="15E38E6B" w14:textId="04660150" w:rsidR="00775F55" w:rsidRPr="00941F74" w:rsidRDefault="000D6511">
      <w:pPr>
        <w:spacing w:after="0" w:line="480" w:lineRule="auto"/>
        <w:contextualSpacing/>
        <w:rPr>
          <w:rFonts w:cstheme="minorHAnsi"/>
          <w:lang w:val="en-US"/>
        </w:rPr>
      </w:pPr>
      <w:r w:rsidRPr="00941F74">
        <w:rPr>
          <w:rFonts w:cstheme="minorHAnsi"/>
          <w:lang w:val="en-GB"/>
        </w:rPr>
        <w:t xml:space="preserve">Long-term data using pollen analysis offer possibilities to reconstruct past vegetation </w:t>
      </w:r>
      <w:r w:rsidRPr="00941F74">
        <w:rPr>
          <w:lang w:val="en-US"/>
        </w:rPr>
        <w:t>that are otherwise almost unachievable</w:t>
      </w:r>
      <w:r w:rsidRPr="006330DE">
        <w:rPr>
          <w:lang w:val="en-US"/>
        </w:rPr>
        <w:t xml:space="preserve">. </w:t>
      </w:r>
      <w:r w:rsidR="006330DE" w:rsidRPr="006330DE">
        <w:rPr>
          <w:lang w:val="en-US"/>
        </w:rPr>
        <w:t>When suitable sediment archives are available for coring</w:t>
      </w:r>
      <w:r w:rsidR="00C01449" w:rsidRPr="00941F74">
        <w:rPr>
          <w:rFonts w:cstheme="minorHAnsi"/>
          <w:lang w:val="en-GB"/>
        </w:rPr>
        <w:t xml:space="preserve">, </w:t>
      </w:r>
      <w:r w:rsidR="003B4E05" w:rsidRPr="00941F74">
        <w:rPr>
          <w:rFonts w:cstheme="minorHAnsi"/>
          <w:lang w:val="en-GB"/>
        </w:rPr>
        <w:t>it is possible to</w:t>
      </w:r>
      <w:r w:rsidR="00C400D2" w:rsidRPr="00941F74">
        <w:rPr>
          <w:rFonts w:cstheme="minorHAnsi"/>
          <w:lang w:val="en-GB"/>
        </w:rPr>
        <w:t xml:space="preserve"> </w:t>
      </w:r>
      <w:r w:rsidR="00C01449" w:rsidRPr="00941F74">
        <w:rPr>
          <w:rFonts w:cstheme="minorHAnsi"/>
          <w:lang w:val="en-GB"/>
        </w:rPr>
        <w:t xml:space="preserve">work at various temporal and spatial scales with pollen as the direct link to past vegetation. Though pollen analyses </w:t>
      </w:r>
      <w:r w:rsidR="00280A19">
        <w:rPr>
          <w:rFonts w:cstheme="minorHAnsi"/>
          <w:lang w:val="en-GB"/>
        </w:rPr>
        <w:t>provide</w:t>
      </w:r>
      <w:r w:rsidR="00280A19" w:rsidRPr="00941F74">
        <w:rPr>
          <w:rFonts w:cstheme="minorHAnsi"/>
          <w:lang w:val="en-GB"/>
        </w:rPr>
        <w:t xml:space="preserve"> </w:t>
      </w:r>
      <w:r w:rsidR="00C01449" w:rsidRPr="00941F74">
        <w:rPr>
          <w:rFonts w:cstheme="minorHAnsi"/>
          <w:lang w:val="en-GB"/>
        </w:rPr>
        <w:t xml:space="preserve">an opportunity for reconstructing the relative changes in vegetation </w:t>
      </w:r>
      <w:r w:rsidR="001243F0" w:rsidRPr="00941F74">
        <w:rPr>
          <w:rFonts w:cstheme="minorHAnsi"/>
          <w:lang w:val="en-GB"/>
        </w:rPr>
        <w:t xml:space="preserve">composition </w:t>
      </w:r>
      <w:r w:rsidR="00D73922" w:rsidRPr="00941F74">
        <w:rPr>
          <w:rFonts w:cstheme="minorHAnsi"/>
          <w:lang w:val="en-GB"/>
        </w:rPr>
        <w:t>as individual taxa or as</w:t>
      </w:r>
      <w:r w:rsidR="0033471B" w:rsidRPr="00941F74">
        <w:rPr>
          <w:rFonts w:cstheme="minorHAnsi"/>
          <w:lang w:val="en-GB"/>
        </w:rPr>
        <w:t xml:space="preserve"> </w:t>
      </w:r>
      <w:r w:rsidR="00C400D2" w:rsidRPr="00941F74">
        <w:rPr>
          <w:rFonts w:cstheme="minorHAnsi"/>
          <w:lang w:val="en-GB"/>
        </w:rPr>
        <w:t>LCTs</w:t>
      </w:r>
      <w:r w:rsidR="00C01449" w:rsidRPr="00941F74">
        <w:rPr>
          <w:rFonts w:cstheme="minorHAnsi"/>
          <w:lang w:val="en-GB"/>
        </w:rPr>
        <w:t xml:space="preserve"> in a very long-term perspective </w:t>
      </w:r>
      <w:r w:rsidR="00EA0B3F" w:rsidRPr="00941F74">
        <w:rPr>
          <w:rFonts w:cstheme="minorHAnsi"/>
          <w:lang w:val="en-GB"/>
        </w:rPr>
        <w:fldChar w:fldCharType="begin"/>
      </w:r>
      <w:r w:rsidR="003B1EC2">
        <w:rPr>
          <w:rFonts w:cstheme="minorHAnsi"/>
          <w:lang w:val="en-GB"/>
        </w:rPr>
        <w:instrText xml:space="preserve"> ADDIN ZOTERO_ITEM CSL_CITATION {"citationID":"zk5NqP04","properties":{"formattedCitation":"(Fyfe and Woodbridge, 2012; Giesecke et al., 2017; Joannin et al., 2012; Jolly et al., 1998; Tarasov et al., 2009, 2007)","plainCitation":"(Fyfe and Woodbridge, 2012; Giesecke et al., 2017; Joannin et al., 2012; Jolly et al., 1998; Tarasov et al., 2009, 2007)","noteIndex":0},"citationItems":[{"id":1840,"uris":["http://zotero.org/users/10290022/items/KW695CBX"],"itemData":{"id":1840,"type":"article-journal","abstract":"Moorlands perform a wide variety of roles within modern society. A vital component of these landscapes is the patterning of vegetation, and management of this requires a thorough understanding of the drivers of vegetation change. Although there has been a considerable body of research focussed on the processes that are important in patterning contemporary vegetation these typically lack any significant time-depth. Long-term data, using palaeoecological techniques, offer insights into drivers of vegetation change that are otherwise unachievable. This paper presents new palaeoecological data from Dartmoor (UK) to test two hypotheses: (1) that vegetation character of moorland is spatially homogenous through the past 8,000 years; and (2) that burning has a significant role in the development of open, grass-dominated, vegetation. Four peat cores spanning the past 8,000 years were subject to pollen and microcharcoal analysis. Thirty-seven radiocarbon age estimates were obtained to determine age-depth models for the pollen and charcoal stratigraphies. Differences within and between the pollen stratigraphies have been used as an indirect measure of landscape heterogeneity at a coarse scale. The data reveal periods of time during which differences in the vegetation (as sensed by pollen) around each site are small, and periods during which differences between vegetation are large. Periods of time characterised by greater spatial difference, and by inference greater heterogeneity, correlate with periods characterised by greater human exploitation of the landscape as revealed by archaeological evidence. Human activities therefore promote greater spatial patterning in the landscape. Fire alone is not an important control on long-term peatland vegetation development. The results are useful for conservation strategies by demonstrating variability in spatial diversity of vegetation patterns in the past, and pointing towards opportunities to recreate and maintain diverse vegetation mosaics.","container-title":"Landscape Ecology","DOI":"10.1007/s10980-012-9726-3","ISSN":"09212973","issue":"5","note":"ISBN: 0921-2973","page":"745-760","title":"Differences in time and space in vegetation patterning: Analysis of pollen data from Dartmoor, UK","volume":"27","author":[{"family":"Fyfe","given":"Ralph M."},{"family":"Woodbridge","given":"Jessie"}],"issued":{"date-parts":[["2012"]]}}},{"id":3162,"uris":["http://zotero.org/users/10290022/items/6ETB3UVK"],"itemData":{"id":3162,"type":"article-journal","abstract":"Aim: Palaeoecological reconstructions document past vegetation change, with estimates of fast shifts in species distributions. The resulting rates of plant spread are often not matched by model simulations of climate-driven vegetation dynamics. Genetic surveys of extant plant populations document directions of the post-glacial spread of trees, challenging traditional interpretations. Our aim is to examine an updated continental pollen data set from Europe in the light of the new ideas about vegetation dynamics emerging from genetic research and vegetation modelling studies. Location: Europe. Methods: We use pollen data from the European Pollen Database (EPD) to construct interpolated maps of pollen percentages documenting changes in the distribution and abundance of major plant genera and the grass family in Europe over the last 15,000 years. Results: Our analyses confirm high rates of post-glacial spread with at least 1000 m year−1 for Corylus, Ulmus and Alnus and average rates of 400 m year−1 for Tilia, Quercus, Fagus and Carpinus. The late Holocene expansions of Picea and Fagus populations in many European regions cannot be explained by migrational lag. Both taxa shift their population centres towards the Atlantic coast suggesting that climate may have played a role in the timing of their expansions. The slowest rates of spread were reconstructed for Abies. Main conclusions: The calculated rates of post-glacial plant spread are higher in Europe than those from North America, which may be due to more rapid shifts in climate mediated by the Gulf Stream and westerly winds. Late Holocene anthropogenic land use practices in Europe had major effects on individual taxa, which in combination with climate change contributed to shifts in areas of abundance and dominance. The high rates of spread calculated from the European pollen data are consistent with rapid tracking of early Holocene climate change by common tree species, documenting that plants can spread fast tracing their climate space, regardless of their dispersal strategy.","container-title":"Journal of Biogeography","DOI":"10.1111/JBI.12974","ISSN":"13652699","issue":"7","note":"publisher: Blackwell Publishing Ltd","page":"1441-1456","title":"Patterns and dynamics of European vegetation change over the last 15,000 years","volume":"44","author":[{"family":"Giesecke","given":"Thomas"},{"family":"Brewer","given":"Simon"},{"family":"Finsinger","given":"Walter"},{"family":"Leydet","given":"Michelle"},{"family":"Bradshaw","given":"Richard H.W."}],"accessed":{"date-parts":[["2022",7,21]]},"issued":{"date-parts":[["2017",7,1]]}}},{"id":370,"uris":["http://zotero.org/users/10290022/items/D5MQT6MC"],"itemData":{"id":370,"type":"article-journal","abstract":"A high-resolution pollen record from Lago Trifoglietti in Calabria (southern Italy) provides new insights into the paleoenvironmental and palaeoclimatic changes which characterise the Holocene period in the southern Italy. The chronology is based on 11 AMS radiocarbon dates from terrestrial organic material. The Holocene history of the vegetation cover shows the persistence of an important and relatively stable Fagus forest present over that entire period, offering a rare example of a beechwoodstand able to withstand climate changes for more than 11 000 yr. Probably in relation with early Holocene dry climate conditions which affected southern Italy, the Trifoglietti pollen record supports a southward delay in thermophyllous forest expansion dated to ca. 13 500 calBP at Monticchio, ca. 11 000 calBP at Trifoglietti, and finally ca. 9800 calBP in Sicily. Regarding the human impact history, the Trifoglietti pollen record shows only poor imprints of agricultural activities and anthopogenic indicators, apart from those indicating pastoralism activities beneath forest cover. The selective exploitation of Abies appears to have been the strongest human impact on the Trifoglietti surroundings. On the basis of (1) a specific ratio between hygrophilous and terrestrial taxa, and (2) the Modern Analogue Technique, the pollen data collected at Lago Trifoglietti led to the establishment of two palaeoclimatic records tracing changes in (1) lake depth and (2) annual precipitation. On a millennial scale, these records give evidence of increasing moisture fromca. 11 000 to ca. 9400 calBP and maximum humidity from ca. 9400 to ca. 6200 calBP, prior to a general trend towards the drier climate conditions that have prevailed up to the present. In addition, several successive centennial-scale oscillations appear to have punctuated the entire Holocene. The identification of a cold dry event around 11 300 calBP, responsible for a marked decline in timberline altitude and possibly equivalent to the PBO, remains to be confirmed by further investigations verifying both chronology and magnitude. Two cold and possibly drier Boreal oscillations developed at ca. 9800 and 9200 calBP. At Trifoglietti, the 8.2 kyr event corresponds to the onset of cooler and drier climatic conditions which persisted until ca. 7500 calBP. Finally, the second half of the Holocene was characterised by dry phases at ca. 6100–5200, 4400–3500, and 2500–1800 calBP, alternating with more humid phases at ca. 5200–4400 and ca. 3500–2500 calBP. Considered as a whole, these millennial-scale trends and centennial-scale climatic oscillations support contrasting patterns of palaeohydrological changes recognised between the north- and south-central Mediterranean.","container-title":"Climate of the Past","DOI":"10.5194/cp-8-1973-2012","ISSN":"18149324","issue":"6","note":"ISBN: 1814-9324","page":"1973-1996","title":"Pollen-based reconstruction of Holocene vegetation and climate in southern Italy: The case of Lago Trifoglietti","volume":"8","author":[{"family":"Joannin","given":"S."},{"family":"Brugiapaglia","given":"E."},{"family":"De Beaulieu","given":"J. L."},{"family":"Bernardo","given":"L."},{"family":"Magny","given":"M."},{"family":"Peyron","given":"O."},{"family":"Goring","given":"S."},{"family":"Vannière","given":"B."}],"issued":{"date-parts":[["2012"]]}}},{"id":153,"uris":["http://zotero.org/users/10290022/items/5N2VE2T7"],"itemData":{"id":153,"type":"article-journal","abstract":"Reconstruiram os biomas da </w:instrText>
      </w:r>
      <w:r w:rsidR="003B1EC2">
        <w:rPr>
          <w:rFonts w:ascii="Tahoma" w:hAnsi="Tahoma" w:cs="Tahoma"/>
          <w:lang w:val="en-GB"/>
        </w:rPr>
        <w:instrText>�</w:instrText>
      </w:r>
      <w:r w:rsidR="003B1EC2">
        <w:rPr>
          <w:rFonts w:cstheme="minorHAnsi"/>
          <w:lang w:val="en-GB"/>
        </w:rPr>
        <w:instrText>frica e da pen</w:instrText>
      </w:r>
      <w:r w:rsidR="003B1EC2">
        <w:rPr>
          <w:rFonts w:ascii="Tahoma" w:hAnsi="Tahoma" w:cs="Tahoma"/>
          <w:lang w:val="en-GB"/>
        </w:rPr>
        <w:instrText>�</w:instrText>
      </w:r>
      <w:r w:rsidR="003B1EC2">
        <w:rPr>
          <w:rFonts w:cstheme="minorHAnsi"/>
          <w:lang w:val="en-GB"/>
        </w:rPr>
        <w:instrText>nsula Ar</w:instrText>
      </w:r>
      <w:r w:rsidR="003B1EC2">
        <w:rPr>
          <w:rFonts w:ascii="Tahoma" w:hAnsi="Tahoma" w:cs="Tahoma"/>
          <w:lang w:val="en-GB"/>
        </w:rPr>
        <w:instrText>�</w:instrText>
      </w:r>
      <w:r w:rsidR="003B1EC2">
        <w:rPr>
          <w:rFonts w:cstheme="minorHAnsi"/>
          <w:lang w:val="en-GB"/>
        </w:rPr>
        <w:instrText xml:space="preserve">bica </w:instrText>
      </w:r>
      <w:r w:rsidR="003B1EC2">
        <w:rPr>
          <w:rFonts w:ascii="Tahoma" w:hAnsi="Tahoma" w:cs="Tahoma"/>
          <w:lang w:val="en-GB"/>
        </w:rPr>
        <w:instrText>�</w:instrText>
      </w:r>
      <w:r w:rsidR="003B1EC2">
        <w:rPr>
          <w:rFonts w:cstheme="minorHAnsi"/>
          <w:lang w:val="en-GB"/>
        </w:rPr>
        <w:instrText xml:space="preserve"> 6000 anos (Holoc</w:instrText>
      </w:r>
      <w:r w:rsidR="003B1EC2">
        <w:rPr>
          <w:rFonts w:ascii="Tahoma" w:hAnsi="Tahoma" w:cs="Tahoma"/>
          <w:lang w:val="en-GB"/>
        </w:rPr>
        <w:instrText>�</w:instrText>
      </w:r>
      <w:r w:rsidR="003B1EC2">
        <w:rPr>
          <w:rFonts w:cstheme="minorHAnsi"/>
          <w:lang w:val="en-GB"/>
        </w:rPr>
        <w:instrText>nico m</w:instrText>
      </w:r>
      <w:r w:rsidR="003B1EC2">
        <w:rPr>
          <w:rFonts w:ascii="Tahoma" w:hAnsi="Tahoma" w:cs="Tahoma"/>
          <w:lang w:val="en-GB"/>
        </w:rPr>
        <w:instrText>�</w:instrText>
      </w:r>
      <w:r w:rsidR="003B1EC2">
        <w:rPr>
          <w:rFonts w:cstheme="minorHAnsi"/>
          <w:lang w:val="en-GB"/>
        </w:rPr>
        <w:instrText>dio).\\n\\nNo Maghreb existiam florestas mistas quentes a altitudes elevadas (acima dos 1200m), enquanto matos e bosques xerof</w:instrText>
      </w:r>
      <w:r w:rsidR="003B1EC2">
        <w:rPr>
          <w:rFonts w:ascii="Tahoma" w:hAnsi="Tahoma" w:cs="Tahoma"/>
          <w:lang w:val="en-GB"/>
        </w:rPr>
        <w:instrText>�</w:instrText>
      </w:r>
      <w:r w:rsidR="003B1EC2">
        <w:rPr>
          <w:rFonts w:cstheme="minorHAnsi"/>
          <w:lang w:val="en-GB"/>
        </w:rPr>
        <w:instrText>ticos temperados existiam nas plan</w:instrText>
      </w:r>
      <w:r w:rsidR="003B1EC2">
        <w:rPr>
          <w:rFonts w:ascii="Tahoma" w:hAnsi="Tahoma" w:cs="Tahoma"/>
          <w:lang w:val="en-GB"/>
        </w:rPr>
        <w:instrText>�</w:instrText>
      </w:r>
      <w:r w:rsidR="003B1EC2">
        <w:rPr>
          <w:rFonts w:cstheme="minorHAnsi"/>
          <w:lang w:val="en-GB"/>
        </w:rPr>
        <w:instrText>cies. Este tipo de vegeta</w:instrText>
      </w:r>
      <w:r w:rsidR="003B1EC2">
        <w:rPr>
          <w:rFonts w:ascii="Tahoma" w:hAnsi="Tahoma" w:cs="Tahoma"/>
          <w:lang w:val="en-GB"/>
        </w:rPr>
        <w:instrText>��</w:instrText>
      </w:r>
      <w:r w:rsidR="003B1EC2">
        <w:rPr>
          <w:rFonts w:cstheme="minorHAnsi"/>
          <w:lang w:val="en-GB"/>
        </w:rPr>
        <w:instrText>o sugere um clima muito mais h</w:instrText>
      </w:r>
      <w:r w:rsidR="003B1EC2">
        <w:rPr>
          <w:rFonts w:ascii="Tahoma" w:hAnsi="Tahoma" w:cs="Tahoma"/>
          <w:lang w:val="en-GB"/>
        </w:rPr>
        <w:instrText>�</w:instrText>
      </w:r>
      <w:r w:rsidR="003B1EC2">
        <w:rPr>
          <w:rFonts w:cstheme="minorHAnsi"/>
          <w:lang w:val="en-GB"/>
        </w:rPr>
        <w:instrText>mido do que o actual. Estas florestas foram posteriormente substituidas por vegeta</w:instrText>
      </w:r>
      <w:r w:rsidR="003B1EC2">
        <w:rPr>
          <w:rFonts w:ascii="Tahoma" w:hAnsi="Tahoma" w:cs="Tahoma"/>
          <w:lang w:val="en-GB"/>
        </w:rPr>
        <w:instrText>��</w:instrText>
      </w:r>
      <w:r w:rsidR="003B1EC2">
        <w:rPr>
          <w:rFonts w:cstheme="minorHAnsi"/>
          <w:lang w:val="en-GB"/>
        </w:rPr>
        <w:instrText>o xerof</w:instrText>
      </w:r>
      <w:r w:rsidR="003B1EC2">
        <w:rPr>
          <w:rFonts w:ascii="Tahoma" w:hAnsi="Tahoma" w:cs="Tahoma"/>
          <w:lang w:val="en-GB"/>
        </w:rPr>
        <w:instrText>�</w:instrText>
      </w:r>
      <w:r w:rsidR="003B1EC2">
        <w:rPr>
          <w:rFonts w:cstheme="minorHAnsi"/>
          <w:lang w:val="en-GB"/>
        </w:rPr>
        <w:instrText>tica.\\n\\nO deserto do Sahara era muito reduzido, sendo apenas localizado em 2 locais do sul do Egipto. Todos os outros locais (amostrados) do Sahara que s</w:instrText>
      </w:r>
      <w:r w:rsidR="003B1EC2">
        <w:rPr>
          <w:rFonts w:ascii="Tahoma" w:hAnsi="Tahoma" w:cs="Tahoma"/>
          <w:lang w:val="en-GB"/>
        </w:rPr>
        <w:instrText>�</w:instrText>
      </w:r>
      <w:r w:rsidR="003B1EC2">
        <w:rPr>
          <w:rFonts w:cstheme="minorHAnsi"/>
          <w:lang w:val="en-GB"/>
        </w:rPr>
        <w:instrText>o actualmente deserto, eram estepes (a baixa altitude) ou matos e bosques xerof</w:instrText>
      </w:r>
      <w:r w:rsidR="003B1EC2">
        <w:rPr>
          <w:rFonts w:ascii="Tahoma" w:hAnsi="Tahoma" w:cs="Tahoma"/>
          <w:lang w:val="en-GB"/>
        </w:rPr>
        <w:instrText>�</w:instrText>
      </w:r>
      <w:r w:rsidR="003B1EC2">
        <w:rPr>
          <w:rFonts w:cstheme="minorHAnsi"/>
          <w:lang w:val="en-GB"/>
        </w:rPr>
        <w:instrText>ticos temperados, ou at</w:instrText>
      </w:r>
      <w:r w:rsidR="003B1EC2">
        <w:rPr>
          <w:rFonts w:ascii="Tahoma" w:hAnsi="Tahoma" w:cs="Tahoma"/>
          <w:lang w:val="en-GB"/>
        </w:rPr>
        <w:instrText>�</w:instrText>
      </w:r>
      <w:r w:rsidR="003B1EC2">
        <w:rPr>
          <w:rFonts w:cstheme="minorHAnsi"/>
          <w:lang w:val="en-GB"/>
        </w:rPr>
        <w:instrText xml:space="preserve"> mesmo florestas mistas quentes (nas montanhas saarianas).\\nQuase todos os lagos no Sahara estavam cheios </w:instrText>
      </w:r>
      <w:r w:rsidR="003B1EC2">
        <w:rPr>
          <w:rFonts w:ascii="Tahoma" w:hAnsi="Tahoma" w:cs="Tahoma"/>
          <w:lang w:val="en-GB"/>
        </w:rPr>
        <w:instrText>�</w:instrText>
      </w:r>
      <w:r w:rsidR="003B1EC2">
        <w:rPr>
          <w:rFonts w:cstheme="minorHAnsi"/>
          <w:lang w:val="en-GB"/>
        </w:rPr>
        <w:instrText xml:space="preserve"> 6000 anos atr</w:instrText>
      </w:r>
      <w:r w:rsidR="003B1EC2">
        <w:rPr>
          <w:rFonts w:ascii="Tahoma" w:hAnsi="Tahoma" w:cs="Tahoma"/>
          <w:lang w:val="en-GB"/>
        </w:rPr>
        <w:instrText>�</w:instrText>
      </w:r>
      <w:r w:rsidR="003B1EC2">
        <w:rPr>
          <w:rFonts w:cstheme="minorHAnsi"/>
          <w:lang w:val="en-GB"/>
        </w:rPr>
        <w:instrText>s, e os lagos e zonas h</w:instrText>
      </w:r>
      <w:r w:rsidR="003B1EC2">
        <w:rPr>
          <w:rFonts w:ascii="Tahoma" w:hAnsi="Tahoma" w:cs="Tahoma"/>
          <w:lang w:val="en-GB"/>
        </w:rPr>
        <w:instrText>�</w:instrText>
      </w:r>
      <w:r w:rsidR="003B1EC2">
        <w:rPr>
          <w:rFonts w:cstheme="minorHAnsi"/>
          <w:lang w:val="en-GB"/>
        </w:rPr>
        <w:instrText xml:space="preserve">midas ocupariam cerca de 7.5% da </w:instrText>
      </w:r>
      <w:r w:rsidR="003B1EC2">
        <w:rPr>
          <w:rFonts w:ascii="Tahoma" w:hAnsi="Tahoma" w:cs="Tahoma"/>
          <w:lang w:val="en-GB"/>
        </w:rPr>
        <w:instrText>�</w:instrText>
      </w:r>
      <w:r w:rsidR="003B1EC2">
        <w:rPr>
          <w:rFonts w:cstheme="minorHAnsi"/>
          <w:lang w:val="en-GB"/>
        </w:rPr>
        <w:instrText>rea totoal do Sahara, contra os actuais 0.5%.\\nSeria necess</w:instrText>
      </w:r>
      <w:r w:rsidR="003B1EC2">
        <w:rPr>
          <w:rFonts w:ascii="Tahoma" w:hAnsi="Tahoma" w:cs="Tahoma"/>
          <w:lang w:val="en-GB"/>
        </w:rPr>
        <w:instrText>�</w:instrText>
      </w:r>
      <w:r w:rsidR="003B1EC2">
        <w:rPr>
          <w:rFonts w:cstheme="minorHAnsi"/>
          <w:lang w:val="en-GB"/>
        </w:rPr>
        <w:instrText>rio um regime pluviom</w:instrText>
      </w:r>
      <w:r w:rsidR="003B1EC2">
        <w:rPr>
          <w:rFonts w:ascii="Tahoma" w:hAnsi="Tahoma" w:cs="Tahoma"/>
          <w:lang w:val="en-GB"/>
        </w:rPr>
        <w:instrText>�</w:instrText>
      </w:r>
      <w:r w:rsidR="003B1EC2">
        <w:rPr>
          <w:rFonts w:cstheme="minorHAnsi"/>
          <w:lang w:val="en-GB"/>
        </w:rPr>
        <w:instrText>trico muito mais forte que o actual, provavelmente atrav</w:instrText>
      </w:r>
      <w:r w:rsidR="003B1EC2">
        <w:rPr>
          <w:rFonts w:ascii="Tahoma" w:hAnsi="Tahoma" w:cs="Tahoma"/>
          <w:lang w:val="en-GB"/>
        </w:rPr>
        <w:instrText>�</w:instrText>
      </w:r>
      <w:r w:rsidR="003B1EC2">
        <w:rPr>
          <w:rFonts w:cstheme="minorHAnsi"/>
          <w:lang w:val="en-GB"/>
        </w:rPr>
        <w:instrText>s de um sistema de mon</w:instrText>
      </w:r>
      <w:r w:rsidR="003B1EC2">
        <w:rPr>
          <w:rFonts w:ascii="Tahoma" w:hAnsi="Tahoma" w:cs="Tahoma"/>
          <w:lang w:val="en-GB"/>
        </w:rPr>
        <w:instrText>��</w:instrText>
      </w:r>
      <w:r w:rsidR="003B1EC2">
        <w:rPr>
          <w:rFonts w:cstheme="minorHAnsi"/>
          <w:lang w:val="en-GB"/>
        </w:rPr>
        <w:instrText>es.\\nEstima-se que a precipita</w:instrText>
      </w:r>
      <w:r w:rsidR="003B1EC2">
        <w:rPr>
          <w:rFonts w:ascii="Tahoma" w:hAnsi="Tahoma" w:cs="Tahoma"/>
          <w:lang w:val="en-GB"/>
        </w:rPr>
        <w:instrText>��</w:instrText>
      </w:r>
      <w:r w:rsidR="003B1EC2">
        <w:rPr>
          <w:rFonts w:cstheme="minorHAnsi"/>
          <w:lang w:val="en-GB"/>
        </w:rPr>
        <w:instrText>o total anual entre o Holoc</w:instrText>
      </w:r>
      <w:r w:rsidR="003B1EC2">
        <w:rPr>
          <w:rFonts w:ascii="Tahoma" w:hAnsi="Tahoma" w:cs="Tahoma"/>
          <w:lang w:val="en-GB"/>
        </w:rPr>
        <w:instrText>�</w:instrText>
      </w:r>
      <w:r w:rsidR="003B1EC2">
        <w:rPr>
          <w:rFonts w:cstheme="minorHAnsi"/>
          <w:lang w:val="en-GB"/>
        </w:rPr>
        <w:instrText>nico inferior e m</w:instrText>
      </w:r>
      <w:r w:rsidR="003B1EC2">
        <w:rPr>
          <w:rFonts w:ascii="Tahoma" w:hAnsi="Tahoma" w:cs="Tahoma"/>
          <w:lang w:val="en-GB"/>
        </w:rPr>
        <w:instrText>�</w:instrText>
      </w:r>
      <w:r w:rsidR="003B1EC2">
        <w:rPr>
          <w:rFonts w:cstheme="minorHAnsi"/>
          <w:lang w:val="en-GB"/>
        </w:rPr>
        <w:instrText>dio seja de 100 a 200 mm/ano no Sahara oriental, e entre 200 a 500 mm/ano no Sahara ocidental.\\nAlguns autores apontam para um regime de Invernos do tipo Mediterr</w:instrText>
      </w:r>
      <w:r w:rsidR="003B1EC2">
        <w:rPr>
          <w:rFonts w:ascii="Tahoma" w:hAnsi="Tahoma" w:cs="Tahoma"/>
          <w:lang w:val="en-GB"/>
        </w:rPr>
        <w:instrText>�</w:instrText>
      </w:r>
      <w:r w:rsidR="003B1EC2">
        <w:rPr>
          <w:rFonts w:cstheme="minorHAnsi"/>
          <w:lang w:val="en-GB"/>
        </w:rPr>
        <w:instrText>nico, mas a recontruc</w:instrText>
      </w:r>
      <w:r w:rsidR="003B1EC2">
        <w:rPr>
          <w:rFonts w:ascii="Tahoma" w:hAnsi="Tahoma" w:cs="Tahoma"/>
          <w:lang w:val="en-GB"/>
        </w:rPr>
        <w:instrText>��</w:instrText>
      </w:r>
      <w:r w:rsidR="003B1EC2">
        <w:rPr>
          <w:rFonts w:cstheme="minorHAnsi"/>
          <w:lang w:val="en-GB"/>
        </w:rPr>
        <w:instrText>o dos biomas n</w:instrText>
      </w:r>
      <w:r w:rsidR="003B1EC2">
        <w:rPr>
          <w:rFonts w:ascii="Tahoma" w:hAnsi="Tahoma" w:cs="Tahoma"/>
          <w:lang w:val="en-GB"/>
        </w:rPr>
        <w:instrText>�</w:instrText>
      </w:r>
      <w:r w:rsidR="003B1EC2">
        <w:rPr>
          <w:rFonts w:cstheme="minorHAnsi"/>
          <w:lang w:val="en-GB"/>
        </w:rPr>
        <w:instrText>o permite comprovar ou refutar esta hip</w:instrText>
      </w:r>
      <w:r w:rsidR="003B1EC2">
        <w:rPr>
          <w:rFonts w:ascii="Tahoma" w:hAnsi="Tahoma" w:cs="Tahoma"/>
          <w:lang w:val="en-GB"/>
        </w:rPr>
        <w:instrText>�</w:instrText>
      </w:r>
      <w:r w:rsidR="003B1EC2">
        <w:rPr>
          <w:rFonts w:cstheme="minorHAnsi"/>
          <w:lang w:val="en-GB"/>
        </w:rPr>
        <w:instrText xml:space="preserve">tese.","container-title":"Journal of Biogeography","DOI":"10.1046/j.1365-2699.1998.00238.x","ISSN":"03050270","issue":"6","note":"PMID: 3545\nISBN: 1365-2699","page":"1007-1027","title":"Biome reconstruction from pollen and plant macrofossil data for Africa and the Arabian peninsula at 0 and 6000 years","volume":"25","author":[{"family":"Jolly","given":"Dominique"},{"family":"Prentice","given":"I. Colin"},{"family":"Bonnefille","given":"Raymonde"},{"family":"Ballouche","given":"Aziz"},{"family":"Bengo","given":"Martin"},{"family":"Brenac","given":"Patrice"},{"family":"Buchet","given":"Guillaume"},{"family":"Burney","given":"David"},{"family":"Cazet","given":"Jean Pierre"},{"family":"Cheddadi","given":"Rachid"},{"family":"Edorh","given":"Therese"},{"family":"Elenga","given":"Hilaire"},{"family":"Elmoutaki","given":"Saida"},{"family":"Guiot","given":"Joel"},{"family":"Laarif","given":"Fouzia"},{"family":"Lamb","given":"Henry"},{"family":"Lezine","given":"Anne Marie"},{"family":"Maley","given":"Jean"},{"family":"Mbenza","given":"Muaka"},{"family":"Peyron","given":"Odile"},{"family":"Reille","given":"Maurice"},{"family":"Reynaud-Farrera","given":"Isabelle"},{"family":"Riollet","given":"Guy"},{"family":"Ritchie","given":"Jim C."},{"family":"Roche","given":"Emile"},{"family":"Scott","given":"Louis"},{"family":"Ssemmanda","given":"Immaculate"},{"family":"Straka","given":"Herbert"},{"family":"Umer","given":"Mohammed"},{"family":"Van Campo","given":"Elise"},{"family":"Vilimumbalo","given":"Sikiminywa"},{"family":"Vincens","given":"Annie"},{"family":"Waller","given":"Martyn"}],"issued":{"date-parts":[["1998"]]}}},{"id":1416,"uris":["http://zotero.org/users/10290022/items/P9SL4LQG"],"itemData":{"id":1416,"type":"article-journal","abstract":"Accurate reconstruction of late-Quaternary vegetation cover is necessary for better understanding of past vegetation dynamics, the role of vegetation feedbacks in glacial-interglacial climate variations, and for validating vegetation and climate models. In this paper over 1700 surface-pollen spectra from the former Soviet Union, Mongolia, northern China, and northern Japan together with data from the Advanced Very High Resolution Radiometer (AVHRR) were used to calibrate modern-analogue method for quantitatively reconstructing past woody cover from fossil pollen data. The AVHRR-based estimates of woody cover percentages within a 21 × 21 km window around pollen sampling sites were attributed to the respective modern pollen spectra. Reconstructions of modern woody cover using the pollen data and best-modern-analogues (BMA) method matched well to the original AVHRR-based estimates, for both total woody cover (r2 = 0.77) and its fractions, including broad-leaved (r2 = 0.66), needle-leaved (r2 = 0.79), deciduous (r2 = 0.60) and evergreen (r2 = 0.76) woody cover. Discrepancies in the pollen-AVHRR cross-validation may be caused by long-distance transport of arboreal pollen, patchy forest distributions, underrepresentation of Larix and Populus in pollen records, and errors in the AVHRR classification. The generally strong correlations encourage application of the modern-analogue approach for reconstructing late-Quaternary variations in vegetation cover from northern Asian fossil pollen records. At the last glacial maximum (LGM: </w:instrText>
      </w:r>
      <w:r w:rsidR="003B1EC2">
        <w:rPr>
          <w:rFonts w:ascii="Cambria Math" w:hAnsi="Cambria Math" w:cs="Cambria Math"/>
          <w:lang w:val="en-GB"/>
        </w:rPr>
        <w:instrText>∼</w:instrText>
      </w:r>
      <w:r w:rsidR="003B1EC2">
        <w:rPr>
          <w:rFonts w:cstheme="minorHAnsi"/>
          <w:lang w:val="en-GB"/>
        </w:rPr>
        <w:instrText xml:space="preserve"> 21,000 cal yr BP), areas presently occupied by boreal forest were much more open, suggesting a reduction in total woody cover to below 20% at most modern forest sites. Pollen records from northern and central Siberia suggest a rather quick spread of tree and shrub vegetation after 15,000 cal yr BP, presumably in response to increased summer insolation. Woody cover histories are spatially variable in the modern forest-steppe, where tree growth is largely controlled by the ratio of annual actual over potential evapotranspiration which serves as an index of moisture availability. In northwestern Mongolia, woody cover percentages decreased between </w:instrText>
      </w:r>
      <w:r w:rsidR="003B1EC2">
        <w:rPr>
          <w:rFonts w:ascii="Cambria Math" w:hAnsi="Cambria Math" w:cs="Cambria Math"/>
          <w:lang w:val="en-GB"/>
        </w:rPr>
        <w:instrText>∼</w:instrText>
      </w:r>
      <w:r w:rsidR="003B1EC2">
        <w:rPr>
          <w:rFonts w:cstheme="minorHAnsi"/>
          <w:lang w:val="en-GB"/>
        </w:rPr>
        <w:instrText xml:space="preserve"> 9000 and 5000</w:instrText>
      </w:r>
      <w:r w:rsidR="003B1EC2">
        <w:rPr>
          <w:rFonts w:ascii="Calibri" w:hAnsi="Calibri" w:cs="Calibri"/>
          <w:lang w:val="en-GB"/>
        </w:rPr>
        <w:instrText> </w:instrText>
      </w:r>
      <w:r w:rsidR="003B1EC2">
        <w:rPr>
          <w:rFonts w:cstheme="minorHAnsi"/>
          <w:lang w:val="en-GB"/>
        </w:rPr>
        <w:instrText>cal yr BP and again between 2000 and 1000</w:instrText>
      </w:r>
      <w:r w:rsidR="003B1EC2">
        <w:rPr>
          <w:rFonts w:ascii="Calibri" w:hAnsi="Calibri" w:cs="Calibri"/>
          <w:lang w:val="en-GB"/>
        </w:rPr>
        <w:instrText> </w:instrText>
      </w:r>
      <w:r w:rsidR="003B1EC2">
        <w:rPr>
          <w:rFonts w:cstheme="minorHAnsi"/>
          <w:lang w:val="en-GB"/>
        </w:rPr>
        <w:instrText xml:space="preserve">cal yr BP and may be linked to shifts in intensity of the Pacific monsoon. In contrast, pollen data from the Kazakhstan forest-steppe (where atmospheric precipitation is associated with the Atlantic westerly flow) suggest that woody cover density reached modern levels only during the last millennium. © 2007 Elsevier B.V. All rights reserved.","container-title":"Earth and Planetary Science Letters","DOI":"10.1016/j.epsl.2007.10.007","ISSN":"0012821X","issue":"1-2","note":"ISBN: 0012-821X","page":"284-298","title":"Satellite- and pollen-based quantitative woody cover reconstructions for northern Asia: Verification and application to late-Quaternary pollen data","volume":"264","author":[{"family":"Tarasov","given":"P. E."},{"family":"Williams","given":"John W."},{"family":"Andreev","given":"Andrei"},{"family":"Nakagawa","given":"Takeshi"},{"family":"Bezrukova","given":"Elena"},{"family":"Herzschuh","given":"Ulrike"},{"family":"Igarashi","given":"Yaeko"},{"family":"Müller","given":"Stefanie"},{"family":"Werner","given":"Kirstin"},{"family":"Zheng","given":"Zhuo"}],"issued":{"date-parts":[["2007"]]}}},{"id":316,"uris":["http://zotero.org/users/10290022/items/WT6IRKU2"],"itemData":{"id":316,"type":"article-journal","abstract":"In this study a radiocarbon-dated pollen record from Lake Kotokel (52&amp;deg;47´ N, 108&amp;deg;07´ E, 458 m a.s.l.) located in southern Siberia east of Lake Baikal was used to derive quantitative characteristics of regional vegetation and climate from about 15 kyr BP (1 kyr=1000 cal. yr) until today. Quantitative reconstruction of the late glacial vegetation and climate dynamics suggests that open steppe and tundra communities predominated in the study area prior to ca. 13.5 kyr BP and again during the Younger Dryas interval, between 12.8 and 11.6 kyr BP. The pollen-based climate reconstruction suggests lower-than-present mean January (~&amp;minus;38&amp;deg;C) and July (~12&amp;deg;C) temperatures and annual precipitation (~270–300 mm) values during these time intervals. Boreal woodland replaced the primarily open landscape around Kotokel three times at about 14.8–14.7 kyr BP, during the Allerød Interstadial between 13.3–12.8 kyr BP and with the onset of the Holocene interglacial between 11.5 and 10.5 kyr BP, presumably in response to a noticeable increase in precipitation, and in July and January temperatures. The maximal spread of the boreal forest (taiga) communities in the region is associated with a warmer and wetter-than-present climate (Tw~17–18&amp;deg;C, Tc~&amp;minus;19&amp;deg;C, Pann~500–550 mm) that occurred ca. 10.8–7.3 kyr BP. During this time interval woody vegetation covered more than 50% of the area within a 21&amp;times;21 km window around the lake. The pollen-based best modern analogue reconstruction suggests a decrease in woody cover percentages and in all climatic variables about 7–6.5 kyr BP. Our results demonstrate a gradual decrease in precipitation and mean January temperature towards their present-day values in the region around Lake Kotokel since that time.","container-title":"Climate of the Past Discussions","DOI":"10.5194/cpd-5-127-2009","ISSN":"1814-9359","page":"127-151","title":"Late Glacial and Holocene changes in vegetation cover and climate in southern Siberia derived from a 15 kyr long pollen record from Lake Kotokel","volume":"5","author":[{"family":"Tarasov","given":"P. E."},{"family":"Bezrukova","given":"E. V."},{"family":"Krivonogov","given":"S. K."}],"issued":{"date-parts":[["2009"]]}}}],"schema":"https://github.com/citation-style-language/schema/raw/master/csl-citation.json"} </w:instrText>
      </w:r>
      <w:r w:rsidR="00EA0B3F" w:rsidRPr="00941F74">
        <w:rPr>
          <w:rFonts w:cstheme="minorHAnsi"/>
          <w:lang w:val="en-GB"/>
        </w:rPr>
        <w:fldChar w:fldCharType="separate"/>
      </w:r>
      <w:r w:rsidR="003B1EC2" w:rsidRPr="003B1EC2">
        <w:rPr>
          <w:rFonts w:ascii="Calibri" w:hAnsi="Calibri" w:cs="Calibri"/>
          <w:lang w:val="en-US"/>
        </w:rPr>
        <w:t>(Fyfe and Woodbridge, 2012; Giesecke et al., 2017; Joannin et al., 2012; Jolly et al., 1998; Tarasov et al., 2009, 2007)</w:t>
      </w:r>
      <w:r w:rsidR="00EA0B3F" w:rsidRPr="00941F74">
        <w:rPr>
          <w:rFonts w:cstheme="minorHAnsi"/>
          <w:lang w:val="en-GB"/>
        </w:rPr>
        <w:fldChar w:fldCharType="end"/>
      </w:r>
      <w:r w:rsidR="00C01449" w:rsidRPr="00941F74">
        <w:rPr>
          <w:rFonts w:cstheme="minorHAnsi"/>
          <w:lang w:val="en-GB"/>
        </w:rPr>
        <w:t xml:space="preserve">, </w:t>
      </w:r>
      <w:r w:rsidR="0033471B" w:rsidRPr="00941F74">
        <w:rPr>
          <w:rFonts w:cstheme="minorHAnsi"/>
          <w:lang w:val="en-GB"/>
        </w:rPr>
        <w:t xml:space="preserve">translation into </w:t>
      </w:r>
      <w:r w:rsidR="00D73922" w:rsidRPr="00941F74">
        <w:rPr>
          <w:rFonts w:cstheme="minorHAnsi"/>
          <w:lang w:val="en-GB"/>
        </w:rPr>
        <w:t>LCTs</w:t>
      </w:r>
      <w:r w:rsidR="0033471B" w:rsidRPr="00941F74">
        <w:rPr>
          <w:rFonts w:cstheme="minorHAnsi"/>
          <w:lang w:val="en-GB"/>
        </w:rPr>
        <w:t xml:space="preserve"> is not a trivial exercise,</w:t>
      </w:r>
      <w:r w:rsidR="0033471B" w:rsidRPr="00941F74">
        <w:rPr>
          <w:lang w:val="en-US"/>
        </w:rPr>
        <w:t xml:space="preserve"> especially if the </w:t>
      </w:r>
      <w:r w:rsidR="00D73922" w:rsidRPr="00941F74">
        <w:rPr>
          <w:lang w:val="en-US"/>
        </w:rPr>
        <w:t>reconstruction</w:t>
      </w:r>
      <w:r w:rsidR="0033471B" w:rsidRPr="00941F74">
        <w:rPr>
          <w:lang w:val="en-US"/>
        </w:rPr>
        <w:t xml:space="preserve"> </w:t>
      </w:r>
      <w:r w:rsidR="00280A19">
        <w:rPr>
          <w:lang w:val="en-US"/>
        </w:rPr>
        <w:t>aims</w:t>
      </w:r>
      <w:r w:rsidR="00D73922" w:rsidRPr="00941F74">
        <w:rPr>
          <w:lang w:val="en-US"/>
        </w:rPr>
        <w:t xml:space="preserve"> </w:t>
      </w:r>
      <w:r w:rsidR="0033471B" w:rsidRPr="00941F74">
        <w:rPr>
          <w:lang w:val="en-US"/>
        </w:rPr>
        <w:t>to be quantitative and spatially referenced rather than qualitative</w:t>
      </w:r>
      <w:r w:rsidR="00B06139" w:rsidRPr="00941F74">
        <w:rPr>
          <w:lang w:val="en-US"/>
        </w:rPr>
        <w:t xml:space="preserve"> </w:t>
      </w:r>
      <w:r w:rsidR="00F91B45" w:rsidRPr="00941F74">
        <w:rPr>
          <w:lang w:val="en-US"/>
        </w:rPr>
        <w:fldChar w:fldCharType="begin"/>
      </w:r>
      <w:r w:rsidR="003B1EC2">
        <w:rPr>
          <w:lang w:val="en-US"/>
        </w:rPr>
        <w:instrText xml:space="preserve"> ADDIN ZOTERO_ITEM CSL_CITATION {"citationID":"kiTkDxcj","properties":{"formattedCitation":"(Bunting et al., 2018)","plainCitation":"(Bunting et al., 2018)","noteIndex":0},"citationItems":[{"id":2700,"uris":["http://zotero.org/users/10290022/items/7NQWXWUM"],"itemData":{"id":2700,"type":"article-journal","abstract":"Pollen records contain a wide range of information about past land cover, but translation from the pollen diagram to other formats remains a challenge. In this paper, we present LandPolFlow, a software package enabling Multiple Scenario Approach (MSA) based land cover reconstruction from pollen records for specific landscapes. It has two components: a basic Geographic Information System which takes grids of landscape constraints (e.g. topography, geology) and generates possible ‘scenarios’ of past land cover using a combination of probabilistic and deterministic placement rules to distribute defined plant communities within the landscape, and a pollen dispersal and deposition model which simulates pollen loading at specified points within each scenario and compares that statistically with actual pollen assemblages from the same location. Goodness of fit statistics from multiple pollen site locations are used to identify which scenarios are likely reconstructions of past land cover. We apply this approach to two case studies of Neolithisation in Britain, the first from the Somerset Levels and the second from Mainland, Orkney. Both landscapes contain significant evidence of Neolithic activity, but present contrasting contexts. In Somerset, wet-preserved Neolithic remains such as trackways are abundant, but little dry land settlement archaeology is known, and the pre-Neolithic landscape was extensively wooded. In Orkney, the Neolithic archaeology includes domestic and monumental stone-built structures forming a UNESCO World Heritage Site, and the pre-Neolithic landscape was largely treeless. Existing pollen records were collated from both landscapes and correlated within a new age model framework (presented elsewhere). This allowed pollen data to be grouped into 200 year periods, or “timeslices”, for reconstruction of land cover through time using the MSA. Reconstruction suggests that subtle but clear and persistent impacts of Neolithisation on land cover occurred in both landscapes, with no reduction in impact during periods when archaeological records suggest lower activity levels. By applying the methodology to specific landscapes, we critically evaluate the strengths and weaknesses and identify potential remedies, which we then expand into consideration of how simulation can be incorporated into palynological research practice. We argue that the MSA deserves a place within the palynologist’s standard tool kit.","container-title":"Frontiers in Ecology and Evolution","DOI":"10.3389/fevo.2018.00036","ISSN":"2296-701X","issue":"April","page":"1-20","title":"Maps From Mud — Using the Multiple Scenario Approach to Reconstruct Land Cover Dynamics From Pollen Records : A Case Study of Two Neolithic Landscapes","URL":"http://journal.frontiersin.org/article/10.3389/fevo.2018.00036/full","volume":"6","author":[{"family":"Bunting","given":"M. Jane"},{"family":"Farrell","given":"Michelle"},{"family":"Bayliss","given":"Alex"},{"family":"Marshall","given":"Peter"},{"family":"Whittle","given":"Alasdair"}],"issued":{"date-parts":[["2018"]]}}}],"schema":"https://github.com/citation-style-language/schema/raw/master/csl-citation.json"} </w:instrText>
      </w:r>
      <w:r w:rsidR="00F91B45" w:rsidRPr="00941F74">
        <w:rPr>
          <w:lang w:val="en-US"/>
        </w:rPr>
        <w:fldChar w:fldCharType="separate"/>
      </w:r>
      <w:r w:rsidR="003B1EC2" w:rsidRPr="003B1EC2">
        <w:rPr>
          <w:rFonts w:ascii="Calibri" w:hAnsi="Calibri" w:cs="Calibri"/>
          <w:lang w:val="en-US"/>
        </w:rPr>
        <w:t>(Bunting et al., 2018)</w:t>
      </w:r>
      <w:r w:rsidR="00F91B45" w:rsidRPr="00941F74">
        <w:rPr>
          <w:lang w:val="en-US"/>
        </w:rPr>
        <w:fldChar w:fldCharType="end"/>
      </w:r>
      <w:r w:rsidR="0033471B" w:rsidRPr="00941F74">
        <w:rPr>
          <w:lang w:val="en-US"/>
        </w:rPr>
        <w:t xml:space="preserve">. </w:t>
      </w:r>
      <w:r w:rsidR="00730F7B" w:rsidRPr="00941F74">
        <w:rPr>
          <w:rFonts w:cstheme="minorHAnsi"/>
          <w:lang w:val="en-GB"/>
        </w:rPr>
        <w:t>S</w:t>
      </w:r>
      <w:r w:rsidR="000D72EC" w:rsidRPr="00941F74">
        <w:rPr>
          <w:rFonts w:cstheme="minorHAnsi"/>
          <w:lang w:val="en-GB"/>
        </w:rPr>
        <w:t xml:space="preserve">everal </w:t>
      </w:r>
      <w:r w:rsidR="00F048D4" w:rsidRPr="00941F74">
        <w:rPr>
          <w:rFonts w:cstheme="minorHAnsi"/>
          <w:lang w:val="en-GB"/>
        </w:rPr>
        <w:t>attempts at mapping past land</w:t>
      </w:r>
      <w:r w:rsidR="00D73922" w:rsidRPr="00941F74">
        <w:rPr>
          <w:rFonts w:cstheme="minorHAnsi"/>
          <w:lang w:val="en-GB"/>
        </w:rPr>
        <w:t>scapes</w:t>
      </w:r>
      <w:r w:rsidR="00F048D4" w:rsidRPr="00941F74">
        <w:rPr>
          <w:rFonts w:cstheme="minorHAnsi"/>
          <w:lang w:val="en-GB"/>
        </w:rPr>
        <w:t xml:space="preserve"> </w:t>
      </w:r>
      <w:r w:rsidR="00C515FA" w:rsidRPr="00941F74">
        <w:rPr>
          <w:rFonts w:cstheme="minorHAnsi"/>
          <w:lang w:val="en-GB"/>
        </w:rPr>
        <w:t xml:space="preserve">based on pollen data </w:t>
      </w:r>
      <w:r w:rsidR="00F048D4" w:rsidRPr="00941F74">
        <w:rPr>
          <w:rFonts w:cstheme="minorHAnsi"/>
          <w:lang w:val="en-GB"/>
        </w:rPr>
        <w:t xml:space="preserve">have been </w:t>
      </w:r>
      <w:r w:rsidR="00BE1E5B" w:rsidRPr="00941F74">
        <w:rPr>
          <w:rFonts w:cstheme="minorHAnsi"/>
          <w:lang w:val="en-GB"/>
        </w:rPr>
        <w:t>explored</w:t>
      </w:r>
      <w:r w:rsidR="00F52959" w:rsidRPr="00941F74">
        <w:rPr>
          <w:rFonts w:cstheme="minorHAnsi"/>
          <w:lang w:val="en-GB"/>
        </w:rPr>
        <w:t xml:space="preserve"> </w:t>
      </w:r>
      <w:r w:rsidR="00C515FA" w:rsidRPr="00941F74">
        <w:rPr>
          <w:rFonts w:cstheme="minorHAnsi"/>
          <w:lang w:val="en-GB"/>
        </w:rPr>
        <w:t xml:space="preserve">using </w:t>
      </w:r>
      <w:r w:rsidR="00730F7B" w:rsidRPr="00941F74">
        <w:rPr>
          <w:rFonts w:cstheme="minorHAnsi"/>
          <w:lang w:val="en-GB"/>
        </w:rPr>
        <w:t xml:space="preserve">various </w:t>
      </w:r>
      <w:r w:rsidR="00D73922" w:rsidRPr="00941F74">
        <w:rPr>
          <w:rFonts w:cstheme="minorHAnsi"/>
          <w:lang w:val="en-GB"/>
        </w:rPr>
        <w:t>approaches</w:t>
      </w:r>
      <w:r w:rsidR="00BE1E5B" w:rsidRPr="00941F74">
        <w:rPr>
          <w:rFonts w:cstheme="minorHAnsi"/>
          <w:lang w:val="en-GB"/>
        </w:rPr>
        <w:t xml:space="preserve">, such as </w:t>
      </w:r>
      <w:r w:rsidR="003B4B6E" w:rsidRPr="00941F74">
        <w:rPr>
          <w:rFonts w:cstheme="minorHAnsi"/>
          <w:lang w:val="en-GB"/>
        </w:rPr>
        <w:t xml:space="preserve">regional calibration </w:t>
      </w:r>
      <w:r w:rsidR="00280A19">
        <w:rPr>
          <w:rFonts w:cstheme="minorHAnsi"/>
          <w:lang w:val="en-GB"/>
        </w:rPr>
        <w:t>coefficients</w:t>
      </w:r>
      <w:r w:rsidR="00280A19" w:rsidRPr="00941F74">
        <w:rPr>
          <w:rFonts w:cstheme="minorHAnsi"/>
          <w:lang w:val="en-GB"/>
        </w:rPr>
        <w:t xml:space="preserve"> </w:t>
      </w:r>
      <w:r w:rsidR="003B4B6E" w:rsidRPr="00941F74">
        <w:rPr>
          <w:rFonts w:cstheme="minorHAnsi"/>
          <w:lang w:val="en-GB"/>
        </w:rPr>
        <w:t>and self-organizing map</w:t>
      </w:r>
      <w:r w:rsidR="00C515FA" w:rsidRPr="00941F74">
        <w:rPr>
          <w:rFonts w:cstheme="minorHAnsi"/>
          <w:lang w:val="en-GB"/>
        </w:rPr>
        <w:t>s</w:t>
      </w:r>
      <w:r w:rsidR="00B06139" w:rsidRPr="00941F74">
        <w:rPr>
          <w:rFonts w:cstheme="minorHAnsi"/>
          <w:lang w:val="en-GB"/>
        </w:rPr>
        <w:t xml:space="preserve"> </w:t>
      </w:r>
      <w:r w:rsidR="00F91B45" w:rsidRPr="00941F74">
        <w:rPr>
          <w:rFonts w:cstheme="minorHAnsi"/>
          <w:lang w:val="en-GB"/>
        </w:rPr>
        <w:fldChar w:fldCharType="begin"/>
      </w:r>
      <w:r w:rsidR="003B1EC2">
        <w:rPr>
          <w:rFonts w:cstheme="minorHAnsi"/>
          <w:lang w:val="en-GB"/>
        </w:rPr>
        <w:instrText xml:space="preserve"> ADDIN ZOTERO_ITEM CSL_CITATION {"citationID":"t9idMnty","properties":{"formattedCitation":"(Lindbladh et al., 2000)","plainCitation":"(Lindbladh et al., 2000)","noteIndex":0},"citationItems":[{"id":3164,"uris":["http://zotero.org/users/10290022/items/6QGI9GDJ"],"itemData":{"id":3164,"type":"article-journal","abstract":"1 Two palaeoecological data sets were used to study forest development in the boreo-nemoral zone of southern Sweden during the last 3000 years. Maps of forest types present in 1250 BC, AD 500 and today were compiled from regional pollen data and these were compared with 16 stand-scale pollen analyses. 2 The forest type maps showed a transition from mixed deciduous forest to coniferous forest consisting chie¯y of Picea and Pinus. The stand-scale studies recorded the same general development despite site-speci®c trends. A detrended correspondence analysis displayed the successional trends of the stand-scale sites. All stands moved away from the rich deciduous forest represented by Alnus, Corylus, Quercus and Tilia via Betula and Carpinus to Picea and Pinus forest or, in two stands, to Fagus forest. 3 A rate of change analysis covering the last 3000 years showed that the changes recorded from the last 150 years were the most rapid, but represented the culmination of a transformation that was initiated 850 years earlier. These recent changes completely overshadowed the previous record. 4 The regional maps recorded relatively high proportions of Pinus in the eastern part of the study area throughout the period under investigation. The stand-scale studies indicated that this area had a high ®re frequency, while the relatively recent increase in Pinus in southwest Sweden was better explained by anthropogenic in¯uences. The stand-scale data suggested that the regional role of Pinus had been overestimated in southern Sweden 5 Corylus, Quercus and Tilia were the major species in the former forests, but began a slow decrease in importance around AD 700. The increasing cereal pollen record was related to the decline of the deciduous forest component, suggesting that anthropogenic activity has been the major driving force in its loss. 6 The combination of regional-and stand-scale studies has provided new insights into forest pattern and process. The local records capture the essential features of the regional record of vegetation history, record forest composition more faithfully than regional sites, and additionally yield insight into processes such as ®res that have a regional signi®cance.","container-title":"Journal of Ecology","DOI":"https://doi.org/10.1046/j.1365-2745.2000.00429.x","note":"ISBN: 4538142050","page":"113-128","title":"Pattern and process in south Swedish forests during the last 3000 years, sensed at stand and regional scales","volume":"88","author":[{"family":"Lindbladh","given":"Matts"},{"family":"Bradshaw","given":"Richard"},{"family":"Holmqvist","given":"Björn H."}],"accessed":{"date-parts":[["2022",7,21]]},"issued":{"date-parts":[["2000"]]}}}],"schema":"https://github.com/citation-style-language/schema/raw/master/csl-citation.json"} </w:instrText>
      </w:r>
      <w:r w:rsidR="00F91B45" w:rsidRPr="00941F74">
        <w:rPr>
          <w:rFonts w:cstheme="minorHAnsi"/>
          <w:lang w:val="en-GB"/>
        </w:rPr>
        <w:fldChar w:fldCharType="separate"/>
      </w:r>
      <w:r w:rsidR="003B1EC2" w:rsidRPr="003B1EC2">
        <w:rPr>
          <w:rFonts w:ascii="Calibri" w:hAnsi="Calibri" w:cs="Calibri"/>
        </w:rPr>
        <w:t>(Lindbladh et al., 2000)</w:t>
      </w:r>
      <w:r w:rsidR="00F91B45" w:rsidRPr="00941F74">
        <w:rPr>
          <w:rFonts w:cstheme="minorHAnsi"/>
          <w:lang w:val="en-GB"/>
        </w:rPr>
        <w:fldChar w:fldCharType="end"/>
      </w:r>
      <w:r w:rsidR="003B4B6E" w:rsidRPr="00941F74">
        <w:rPr>
          <w:rFonts w:cstheme="minorHAnsi"/>
          <w:lang w:val="en-GB"/>
        </w:rPr>
        <w:t xml:space="preserve">, </w:t>
      </w:r>
      <w:r w:rsidR="0063315F" w:rsidRPr="00941F74">
        <w:rPr>
          <w:rFonts w:cstheme="minorHAnsi"/>
          <w:lang w:val="en-GB"/>
        </w:rPr>
        <w:t xml:space="preserve">interpolation techniques combined with modern-analogue </w:t>
      </w:r>
      <w:r w:rsidR="00F91B45" w:rsidRPr="00941F74">
        <w:rPr>
          <w:rFonts w:cstheme="minorHAnsi"/>
          <w:lang w:val="en-GB"/>
        </w:rPr>
        <w:fldChar w:fldCharType="begin"/>
      </w:r>
      <w:r w:rsidR="003B1EC2">
        <w:rPr>
          <w:rFonts w:cstheme="minorHAnsi"/>
          <w:lang w:val="en-GB"/>
        </w:rPr>
        <w:instrText xml:space="preserve"> ADDIN ZOTERO_ITEM CSL_CITATION {"citationID":"3Z7WUFpD","properties":{"formattedCitation":"(Zanon et al., 2018)","plainCitation":"(Zanon et al., 2018)","noteIndex":0},"citationItems":[{"id":1970,"uris":["http://zotero.org/users/10290022/items/MPWVB43I"],"itemData":{"id":1970,"type":"article-journal","abstract":"Characterization of land cover change in the past is fundamental to understand the evolution and present state of the Earth system, the amount of carbon and nutrient stocks in terrestrial ecosystems, and the role played by land-atmosphere interactions in influencing climate. The estimation of land cover changes using palynology is a mature field, as thousands of sites in Europe have been investigated over the last century. Nonetheless, a quantitative land cover reconstruction at a continental scale has been largely missing. Here, we present a series of maps detailing the evolution of European forest cover during last 12,000 years. Our reconstructions are based on the Modern Analog Technique (MAT): a calibration dataset is built by coupling modern pollen samples with the corresponding satellite-based forest-cover data. Fossil reconstructions are then performed by assigning to every fossil sample the average forest cover of its closest modern analogs. The occurrence of fossil pollen assemblages with no counterparts in modern vegetation represents a known limit of analog-based methods. To lessen the influence of no-analog situations, pollen taxa were converted into plant functional types prior to running the MAT algorithm. We then interpolate site-specific reconstructions for each timeslice using a four-dimensional gridding procedure to create continuous gridded maps at a continental scale. The performance of the MAT is compared against methodologically independent forest-cover reconstructions produced using the REVEALS method. MAT and REVEALS estimates are most of the time in good agreement at a trend level, yet MAT regularly underestimates the occurrence of densely forested situations, requiring the application of a bias correction procedure. The calibrated MAT-based maps draw a coherent picture of the establishment of forests in Europe in the Early Holocene with the greatest forest-cover fractions reconstructed between </w:instrText>
      </w:r>
      <w:r w:rsidR="003B1EC2">
        <w:rPr>
          <w:rFonts w:ascii="Cambria Math" w:hAnsi="Cambria Math" w:cs="Cambria Math"/>
          <w:lang w:val="en-GB"/>
        </w:rPr>
        <w:instrText>∼</w:instrText>
      </w:r>
      <w:r w:rsidR="003B1EC2">
        <w:rPr>
          <w:rFonts w:cstheme="minorHAnsi"/>
          <w:lang w:val="en-GB"/>
        </w:rPr>
        <w:instrText xml:space="preserve">8,500 and 6,000 calibrated years BP. This forest maximum is followed by a general decline in all parts of the continent, likely as a result of anthropogenic deforestation. The continuous spatial and temporal nature of our reconstruction, its continental coverage, and gridded format make it suitable for climate, hydrological, and biogeochemical modeling, amond other uses.","container-title":"Frontiers in Plant Science","DOI":"10.3389/fpls.2018.00253","ISSN":"1664-462X","issue":"253","note":"ISBN: 1664-462X","page":"1:25","title":"European Forest Cover During the Past 12,000 Years: A Palynological Reconstruction Based on Modern Analogs and Remote Sensing","volume":"9","author":[{"family":"Zanon","given":"Marco"},{"family":"Davis","given":"Basil A. S."},{"family":"Marquer","given":"Laurent"},{"family":"Brewer","given":"Simon"},{"family":"Kaplan","given":"Jed O."}],"issued":{"date-parts":[["2018"]]}}}],"schema":"https://github.com/citation-style-language/schema/raw/master/csl-citation.json"} </w:instrText>
      </w:r>
      <w:r w:rsidR="00F91B45" w:rsidRPr="00941F74">
        <w:rPr>
          <w:rFonts w:cstheme="minorHAnsi"/>
          <w:lang w:val="en-GB"/>
        </w:rPr>
        <w:fldChar w:fldCharType="separate"/>
      </w:r>
      <w:r w:rsidR="003B1EC2" w:rsidRPr="003B1EC2">
        <w:rPr>
          <w:rFonts w:ascii="Calibri" w:hAnsi="Calibri" w:cs="Calibri"/>
        </w:rPr>
        <w:t>(Zanon et al., 2018)</w:t>
      </w:r>
      <w:r w:rsidR="00F91B45" w:rsidRPr="00941F74">
        <w:rPr>
          <w:rFonts w:cstheme="minorHAnsi"/>
          <w:lang w:val="en-GB"/>
        </w:rPr>
        <w:fldChar w:fldCharType="end"/>
      </w:r>
      <w:r w:rsidR="004F73AC" w:rsidRPr="00941F74">
        <w:rPr>
          <w:rFonts w:cstheme="minorHAnsi"/>
          <w:lang w:val="en-GB"/>
        </w:rPr>
        <w:t xml:space="preserve">, </w:t>
      </w:r>
      <w:proofErr w:type="spellStart"/>
      <w:r w:rsidR="007B71EB" w:rsidRPr="00941F74">
        <w:rPr>
          <w:rFonts w:cstheme="minorHAnsi"/>
          <w:lang w:val="en-GB"/>
        </w:rPr>
        <w:t>pseudobiomiz</w:t>
      </w:r>
      <w:r w:rsidR="006A02A3" w:rsidRPr="00941F74">
        <w:rPr>
          <w:rFonts w:cstheme="minorHAnsi"/>
          <w:lang w:val="en-GB"/>
        </w:rPr>
        <w:t>ation</w:t>
      </w:r>
      <w:proofErr w:type="spellEnd"/>
      <w:r w:rsidR="006A02A3" w:rsidRPr="00941F74">
        <w:rPr>
          <w:rFonts w:cstheme="minorHAnsi"/>
          <w:lang w:val="en-GB"/>
        </w:rPr>
        <w:t xml:space="preserve"> </w:t>
      </w:r>
      <w:r w:rsidR="00F91B45" w:rsidRPr="00941F74">
        <w:rPr>
          <w:rFonts w:cstheme="minorHAnsi"/>
          <w:lang w:val="en-GB"/>
        </w:rPr>
        <w:fldChar w:fldCharType="begin"/>
      </w:r>
      <w:r w:rsidR="003B1EC2">
        <w:rPr>
          <w:rFonts w:cstheme="minorHAnsi"/>
          <w:lang w:val="en-GB"/>
        </w:rPr>
        <w:instrText xml:space="preserve"> ADDIN ZOTERO_ITEM CSL_CITATION {"citationID":"L69T3U30","properties":{"formattedCitation":"(Fyfe et al., 2015)","plainCitation":"(Fyfe et al., 2015)","noteIndex":0},"citationItems":[{"id":729,"uris":["http://zotero.org/users/10290022/items/TCCDZDYC"],"itemData":{"id":729,"type":"article-journal","container-title":"Global Change Biology","DOI":"10.1111/gcb.12776","ISSN":"13541013","issue":"3","note":"publisher: Wiley/Blackwell (10.1111)","page":"1197-1212","title":"From forest to farmland: pollen-inferred land cover change across Europe using the pseudobiomization approach","URL":"http://doi.wiley.com/10.1111/gcb.12776","volume":"21","author":[{"family":"Fyfe","given":"Ralph M."},{"family":"Woodbridge","given":"Jessie"},{"family":"Roberts","given":"Neil"}],"accessed":{"date-parts":[["2018",5,17]]},"issued":{"date-parts":[["2015",3,1]]}}}],"schema":"https://github.com/citation-style-language/schema/raw/master/csl-citation.json"} </w:instrText>
      </w:r>
      <w:r w:rsidR="00F91B45" w:rsidRPr="00941F74">
        <w:rPr>
          <w:rFonts w:cstheme="minorHAnsi"/>
          <w:lang w:val="en-GB"/>
        </w:rPr>
        <w:fldChar w:fldCharType="separate"/>
      </w:r>
      <w:r w:rsidR="003B1EC2" w:rsidRPr="003B1EC2">
        <w:rPr>
          <w:rFonts w:ascii="Calibri" w:hAnsi="Calibri" w:cs="Calibri"/>
        </w:rPr>
        <w:t>(Fyfe et al., 2015)</w:t>
      </w:r>
      <w:r w:rsidR="00F91B45" w:rsidRPr="00941F74">
        <w:rPr>
          <w:rFonts w:cstheme="minorHAnsi"/>
          <w:lang w:val="en-GB"/>
        </w:rPr>
        <w:fldChar w:fldCharType="end"/>
      </w:r>
      <w:r w:rsidR="00280A19">
        <w:rPr>
          <w:rFonts w:cstheme="minorHAnsi"/>
          <w:lang w:val="en-GB"/>
        </w:rPr>
        <w:t xml:space="preserve"> </w:t>
      </w:r>
      <w:r w:rsidR="0063315F" w:rsidRPr="00941F74">
        <w:rPr>
          <w:rFonts w:cstheme="minorHAnsi"/>
          <w:lang w:val="en-GB"/>
        </w:rPr>
        <w:t xml:space="preserve">approaches, </w:t>
      </w:r>
      <w:r w:rsidR="006A02A3" w:rsidRPr="00941F74">
        <w:rPr>
          <w:rFonts w:cstheme="minorHAnsi"/>
          <w:lang w:val="en-GB"/>
        </w:rPr>
        <w:t xml:space="preserve">or </w:t>
      </w:r>
      <w:r w:rsidR="00937848" w:rsidRPr="00941F74">
        <w:rPr>
          <w:rFonts w:cstheme="minorHAnsi"/>
          <w:lang w:val="en-GB"/>
        </w:rPr>
        <w:t>spatio</w:t>
      </w:r>
      <w:r w:rsidR="006B32D4" w:rsidRPr="00941F74">
        <w:rPr>
          <w:rFonts w:cstheme="minorHAnsi"/>
          <w:lang w:val="en-GB"/>
        </w:rPr>
        <w:t>temporal</w:t>
      </w:r>
      <w:r w:rsidR="006A02A3" w:rsidRPr="00941F74">
        <w:rPr>
          <w:rFonts w:cstheme="minorHAnsi"/>
          <w:lang w:val="en-GB"/>
        </w:rPr>
        <w:t xml:space="preserve"> Markov chain-based </w:t>
      </w:r>
      <w:r w:rsidR="006B32D4" w:rsidRPr="00941F74">
        <w:rPr>
          <w:rFonts w:cstheme="minorHAnsi"/>
          <w:lang w:val="en-GB"/>
        </w:rPr>
        <w:t>models</w:t>
      </w:r>
      <w:r w:rsidR="006A02A3" w:rsidRPr="00941F74">
        <w:rPr>
          <w:rFonts w:cstheme="minorHAnsi"/>
          <w:lang w:val="en-GB"/>
        </w:rPr>
        <w:t xml:space="preserve"> </w:t>
      </w:r>
      <w:r w:rsidR="00F91B45" w:rsidRPr="00941F74">
        <w:rPr>
          <w:rFonts w:cstheme="minorHAnsi"/>
          <w:lang w:val="en-GB"/>
        </w:rPr>
        <w:fldChar w:fldCharType="begin"/>
      </w:r>
      <w:r w:rsidR="003B1EC2">
        <w:rPr>
          <w:rFonts w:cstheme="minorHAnsi"/>
          <w:lang w:val="en-GB"/>
        </w:rPr>
        <w:instrText xml:space="preserve"> ADDIN ZOTERO_ITEM CSL_CITATION {"citationID":"igUt7kNA","properties":{"formattedCitation":"(Poska et al., 2008)","plainCitation":"(Poska et al., 2008)","noteIndex":0},"citationItems":[{"id":1894,"uris":["http://zotero.org/users/10290022/items/P7V3GCTU"],"itemData":{"id":1894,"type":"article-journal","abstract":"Quantitative pollen-based land-cover reconstruction covering the last 4,000 years was performed using transformation coefficients derived from a modern pollen land-cover database and a palynological record from an annually laminated sequence in Lake Rouge Tougjarv. Proportions of four land-cover classes characteristic of cultural landscape were reconstructed: habitation area, arable land, grassland and woodland. A land-use change model using CA_Markov analysis was applied for spatial reconstructions for seven periods: 600 B.C., A.D. 300, 800, 1200, 1700, 1870 and 1940. Historical maps from A.D. 1684, 1870-1899 and 1935 were used for calibration of quantitative estimates and to validate spatial reconstructions. The accuracy of the estimates depends on the availability of modern analogues and differs among land-cover classes, being highest for classes with directly connectable pollen indicator types (arable land, forest) and lowest for settlement areas. Spatial reconstructions produced by the CA_Markov land-cover change model show moderate accordance with historical data. However, the large uncertainties in land-cover input data must be considered in the evaluation of the KIA results of the spatial model. Permanent low intensity, rural land-use in the Rouge area started at the beginning of the Bronze Age (c. 1800 B.C.). The major increase in the extent of rural land-use took place at the beginning of the 13th century and culminated during the 19th century when c. 90% of the RSAP of Rouge Tougjarv was open. During the last century, rural land-use decreased constantly.","container-title":"Vegetation History and Archaeobotany","DOI":"10.1007/s00334-007-0124-8","ISSN":"09396314","issue":"5","note":"ISBN: 0939-6314\\r1617-6278","page":"527-541","title":"Using quantitative pollen-based land-cover estimations and a spatial CA_Markov model to reconstruct the development of cultural landscape at Rõuge, South Estonia","volume":"17","author":[{"family":"Poska","given":"Anneli"},{"family":"Sepp","given":"Edgar"},{"family":"Veski","given":"Siim"},{"family":"Koppel","given":"Kalev"}],"issued":{"date-parts":[["2008"]]}}}],"schema":"https://github.com/citation-style-language/schema/raw/master/csl-citation.json"} </w:instrText>
      </w:r>
      <w:r w:rsidR="00F91B45" w:rsidRPr="00941F74">
        <w:rPr>
          <w:rFonts w:cstheme="minorHAnsi"/>
          <w:lang w:val="en-GB"/>
        </w:rPr>
        <w:fldChar w:fldCharType="separate"/>
      </w:r>
      <w:r w:rsidR="003B1EC2" w:rsidRPr="003B1EC2">
        <w:rPr>
          <w:rFonts w:ascii="Calibri" w:hAnsi="Calibri" w:cs="Calibri"/>
          <w:lang w:val="en-US"/>
        </w:rPr>
        <w:t>(Poska et al., 2008)</w:t>
      </w:r>
      <w:r w:rsidR="00F91B45" w:rsidRPr="00941F74">
        <w:rPr>
          <w:rFonts w:cstheme="minorHAnsi"/>
          <w:lang w:val="en-GB"/>
        </w:rPr>
        <w:fldChar w:fldCharType="end"/>
      </w:r>
      <w:r w:rsidR="007B71EB" w:rsidRPr="00941F74">
        <w:rPr>
          <w:rFonts w:cstheme="minorHAnsi"/>
          <w:lang w:val="en-GB"/>
        </w:rPr>
        <w:t>.</w:t>
      </w:r>
      <w:r w:rsidR="003076E4" w:rsidRPr="00941F74">
        <w:rPr>
          <w:rFonts w:cstheme="minorHAnsi"/>
          <w:lang w:val="en-GB"/>
        </w:rPr>
        <w:t xml:space="preserve"> </w:t>
      </w:r>
    </w:p>
    <w:p w14:paraId="4960A2C1" w14:textId="6536046E" w:rsidR="00DF7D78" w:rsidRPr="00941F74" w:rsidRDefault="00FB6706">
      <w:pPr>
        <w:spacing w:after="0" w:line="480" w:lineRule="auto"/>
        <w:contextualSpacing/>
        <w:rPr>
          <w:rFonts w:cstheme="minorHAnsi"/>
          <w:lang w:val="en-GB"/>
        </w:rPr>
      </w:pPr>
      <w:r w:rsidRPr="00941F74">
        <w:rPr>
          <w:lang w:val="en-US"/>
        </w:rPr>
        <w:t xml:space="preserve">Over the last decades, advances in the theory of pollen analysis </w:t>
      </w:r>
      <w:r w:rsidR="00F91B45" w:rsidRPr="00941F74">
        <w:rPr>
          <w:lang w:val="en-US"/>
        </w:rPr>
        <w:fldChar w:fldCharType="begin"/>
      </w:r>
      <w:r w:rsidR="003B1EC2">
        <w:rPr>
          <w:lang w:val="en-US"/>
        </w:rPr>
        <w:instrText xml:space="preserve"> ADDIN ZOTERO_ITEM CSL_CITATION {"citationID":"1ONyf2vy","properties":{"formattedCitation":"(Prentice, 1988, 1985; Sugita, 1993)","plainCitation":"(Prentice, 1988, 1985; Sugita, 1993)","noteIndex":0},"citationItems":[{"id":88,"uris":["http://zotero.org/users/10290022/items/ZCPUIKVL"],"itemData":{"id":88,"type":"chapter","container-title":"Vegetation history","page":"17-42","title":"Records of vegetation in time and space: the principles of pollen analysis.","author":[{"family":"Prentice","given":"I Colin"}],"editor":[{"family":"Huntley","given":"B."},{"family":"Webb III","given":"Thompson"}],"issued":{"date-parts":[["1988"]]}}},{"id":81,"uris":["http://www.mendeley.com/documents/?uuid=74df980b-d0f7-4e74-a7c4-826b39363b1a","http://zotero.org/users/10290022/items/BD7HZZA9"],"itemData":{"id":81,"type":"article-journal","abstract":"The concepts of pollen source area and of production and dispersal biases in pollen representation are quantified by means of a simple theoretical model. Source areas and relative pollen representation are shown to depend on basin size according to functions that describe the amount of pollen remaining airborne at increasing distances from single pollen sources. The form of these functions is determined by physical processes. Standard formulas for elevated sources do not apply, but the integrated form of Sutton's equation for particle dispersal from a ground-level source gives useful approximations applicable to pollen transport over a forest canopy. Simulations using this equation yielded source areas that increased realistically with basin size, showed substantial differences between source areas for pollen grains with different deposition velocities, and predicted that lighter pollen grains should become better represented with increasing basin size. All of these predictions are qualitatively consistent with present knowledge of the characteristics of pollen assemblages in different depositional environments. The model further allows parameters that can be estimated by statistical calibration methods to be predicted from underlying physical quantities. This extension suggests procedures for testing the theory with quantitative data on surface pollen and forest composition. Preliminary results showed reasonable agreement between estimated and predicted values of dispersal indices for the most abundant taxa in pollen spectra from the northern midwestern United States. ?? 1985.","container-title":"Quaternary Research","DOI":"10.1016/0033-5894(85)90073-0","ISSN":"10960287","issue":"1","note":"ISBN: 0033-5894","page":"76-86","title":"Pollen representation, source area, and basin size: Toward a unified theory of pollen analysis","volume":"23","author":[{"family":"Prentice","given":"I Colin"}],"issued":{"date-parts":[["1985"]]}}},{"id":85,"uris":["http://www.mendeley.com/documents/?uuid=8b596148-1b89-4a3c-8f4d-e9372e69ee03","http://zotero.org/users/10290022/items/VI6NF8ZC"],"itemData":{"id":85,"type":"article-journal","abstract":"A model of pollen deposition on the surface of an entire basin is developed to estimate pollen source area, and results are compared with those for a point at the center of a basin (I. C. Prentice, 1985, Quaternary Research 23, 76-86; 1988, \"Vegetation History,\" (pp. 17-42, Kluwer Academic). This model is more appropriate for approximating the source area of pollen in lake sediment, since mixing in lake water and focusing of sediment redistribute pollen originally deposited over the entire surface. In general, the pollen source radius for the entire basin surface is 10-30% smaller than the source radius for a point at the center; the difference in the source radius is more profound for heavier pollen types such as spruce and sugar maple than for lighter types such as oak and ragweed. The average pollen input to the entire surface is more strongly influenced by nearby pollen sources than pollen deposition at the center. The pollen record from a lake may therefore provide different spatial resolution than the record from a bog of similar radius.","container-title":"Quaternary Research","DOI":"10.1016/0034-6667(94)90034-5","ISSN":"00346667","note":"ISBN: 0033-5894","page":"239-244","title":"A model of pollen source area for an entire basin","volume":"39","author":[{"family":"Sugita","given":"Shinya"}],"issued":{"date-parts":[["1993"]]}}}],"schema":"https://github.com/citation-style-language/schema/raw/master/csl-citation.json"} </w:instrText>
      </w:r>
      <w:r w:rsidR="00F91B45" w:rsidRPr="00941F74">
        <w:rPr>
          <w:lang w:val="en-US"/>
        </w:rPr>
        <w:fldChar w:fldCharType="separate"/>
      </w:r>
      <w:r w:rsidR="003B1EC2" w:rsidRPr="003B1EC2">
        <w:rPr>
          <w:rFonts w:ascii="Calibri" w:hAnsi="Calibri" w:cs="Calibri"/>
          <w:lang w:val="en-US"/>
        </w:rPr>
        <w:t>(Prentice, 1988, 1985; Sugita, 1993)</w:t>
      </w:r>
      <w:r w:rsidR="00F91B45" w:rsidRPr="00941F74">
        <w:rPr>
          <w:lang w:val="en-US"/>
        </w:rPr>
        <w:fldChar w:fldCharType="end"/>
      </w:r>
      <w:r w:rsidRPr="00941F74">
        <w:rPr>
          <w:lang w:val="en-US"/>
        </w:rPr>
        <w:t xml:space="preserve"> have led to the development of model-based reconstructions of land</w:t>
      </w:r>
      <w:r w:rsidR="00FF5196" w:rsidRPr="00941F74">
        <w:rPr>
          <w:lang w:val="en-US"/>
        </w:rPr>
        <w:t>-</w:t>
      </w:r>
      <w:r w:rsidRPr="00941F74">
        <w:rPr>
          <w:lang w:val="en-US"/>
        </w:rPr>
        <w:t>cover</w:t>
      </w:r>
      <w:r w:rsidR="003C2D83">
        <w:rPr>
          <w:lang w:val="en-US"/>
        </w:rPr>
        <w:t>,</w:t>
      </w:r>
      <w:r w:rsidR="00DB7CDC" w:rsidRPr="00941F74">
        <w:rPr>
          <w:lang w:val="en-US"/>
        </w:rPr>
        <w:t xml:space="preserve"> </w:t>
      </w:r>
      <w:r w:rsidRPr="00941F74">
        <w:rPr>
          <w:rFonts w:cstheme="minorHAnsi"/>
          <w:lang w:val="en-GB"/>
        </w:rPr>
        <w:t>f</w:t>
      </w:r>
      <w:proofErr w:type="spellStart"/>
      <w:r w:rsidRPr="00941F74">
        <w:rPr>
          <w:lang w:val="en-US"/>
        </w:rPr>
        <w:t>irst</w:t>
      </w:r>
      <w:proofErr w:type="spellEnd"/>
      <w:r w:rsidRPr="00941F74">
        <w:rPr>
          <w:lang w:val="en-US"/>
        </w:rPr>
        <w:t xml:space="preserve"> with the POLLSCAPE program </w:t>
      </w:r>
      <w:r w:rsidR="00F91B45" w:rsidRPr="00941F74">
        <w:rPr>
          <w:lang w:val="en-US"/>
        </w:rPr>
        <w:fldChar w:fldCharType="begin"/>
      </w:r>
      <w:r w:rsidR="003B1EC2">
        <w:rPr>
          <w:lang w:val="en-US"/>
        </w:rPr>
        <w:instrText xml:space="preserve"> ADDIN ZOTERO_ITEM CSL_CITATION {"citationID":"D4aqARoX","properties":{"formattedCitation":"(Sugita, 1994)","plainCitation":"(Sugita, 1994)","noteIndex":0},"citationItems":[{"id":2588,"uris":["http://www.mendeley.com/documents/?uuid=8ada31f7-fed3-44c6-85ff-c082fcf249c4","http://zotero.org/users/10290022/items/B2PFFB4K"],"itemData":{"id":2588,"type":"article-journal","container-title":"Journal of Ecology","DOI":"10.2307/2261452","ISSN":"00220477","issue":"4","page":"881-897","title":"Pollen representation of vegetation in quaternary sediments: Theory and method in patchy vegetation","URL":"http://www.jstor.org/stable/2261452?origin=crossref","volume":"82","author":[{"family":"Sugita","given":"Shinya"}],"accessed":{"date-parts":[["2018",2,2]]},"issued":{"date-parts":[["1994",12]]}}}],"schema":"https://github.com/citation-style-language/schema/raw/master/csl-citation.json"} </w:instrText>
      </w:r>
      <w:r w:rsidR="00F91B45" w:rsidRPr="00941F74">
        <w:rPr>
          <w:lang w:val="en-US"/>
        </w:rPr>
        <w:fldChar w:fldCharType="separate"/>
      </w:r>
      <w:r w:rsidR="003B1EC2" w:rsidRPr="003B1EC2">
        <w:rPr>
          <w:rFonts w:ascii="Calibri" w:hAnsi="Calibri" w:cs="Calibri"/>
          <w:lang w:val="en-US"/>
        </w:rPr>
        <w:t>(Sugita, 1994)</w:t>
      </w:r>
      <w:r w:rsidR="00F91B45" w:rsidRPr="00941F74">
        <w:rPr>
          <w:lang w:val="en-US"/>
        </w:rPr>
        <w:fldChar w:fldCharType="end"/>
      </w:r>
      <w:r w:rsidR="00A11FE4" w:rsidRPr="00941F74">
        <w:rPr>
          <w:lang w:val="en-US"/>
        </w:rPr>
        <w:t xml:space="preserve"> </w:t>
      </w:r>
      <w:r w:rsidRPr="00941F74">
        <w:rPr>
          <w:lang w:val="en-US"/>
        </w:rPr>
        <w:t xml:space="preserve">and subsequently with the Landscape Reconstruction Algorithm </w:t>
      </w:r>
      <w:r w:rsidR="00454F47" w:rsidRPr="00941F74">
        <w:rPr>
          <w:lang w:val="en-US"/>
        </w:rPr>
        <w:fldChar w:fldCharType="begin"/>
      </w:r>
      <w:r w:rsidR="000E0FBE">
        <w:rPr>
          <w:lang w:val="en-US"/>
        </w:rPr>
        <w:instrText xml:space="preserve"> ADDIN ZOTERO_ITEM CSL_CITATION {"citationID":"eABMTtqB","properties":{"formattedCitation":"(Sugita, 2007a, 2007b)","plainCitation":"(Sugita, 2007a, 2007b)","dontUpdate":true,"noteIndex":0},"citationItems":[{"id":83,"uris":["http://zotero.org/users/10290022/items/PDK5TWZE"],"itemData":{"id":83,"type":"article-journal","abstract":"This paper describes the LOVE (LOcal Vegetation Estimates) model for estimating local vegetation composition within the relevant source area of pollen. This model quantifies and then subtracts background pollen tie, pollen coming from beyond the relevant source area) in order to arrive at a quantitative reconstruction of local vegetation. Parameters required for LOVE applications are pollen counts from target sites, the relevant source area of pollen of these sites, pollen productivity estimates and regional vegetation composition within 10(4)-10(5) km(2). Regional vegetation composition is obtained using fossil pollen from large sites (&gt;= 10(2) ha) with the REVEALS (Regional Estimates of VEgetation Abundance from Large Sites) model, the first step of the Landscape Reconstruction Algorithm (LRA) specifically designed for LOVE applications. POLLSCAPE simulations demonstrate that (1) regional vegetation composition can be used to predict background pollen at and beyond the relevant source area of pollen for given-sized basins, (2) LOVE with the LRA framework provides a robust and accurate estimate of local vegetation composition much better than vegetation reconstruction using pollen percentages alone and (3) although the relevant source area of pollen is difficult to estimate particularly in past landscapes, a proposed method using backward modelling of LOVE is effective to estimate the relevant source area in landscapes of unknown vegetation patchiness and heterogeneity. Thus, the LRA will also be useful to estimate indirectly changes in spatial structure of past vegetation and landscape caused by natural and anthropogenic forcing.","container-title":"The Holocene","DOI":"10.1177/0959683607075838","ISSN":"0959-6836","issue":"2","note":"ISBN: 0959-6836","page":"229-241","title":"Theory of quantitative reconstruction of vegetation I: pollen from large sites REVEALS regional vegetation composition.","volume":"17","author":[{"family":"Sugita","given":"Shinya"}],"issued":{"date-parts":[["2007"]]}}},{"id":2449,"uris":["http://www.mendeley.com/documents/?uuid=7639867d-dd42-4f40-a31d-23169d3bfea6","http://zotero.org/users/10290022/items/PIKT3FP4"],"itemData":{"id":2449,"type":"article-journal","abstract":"This paper describes the LOVE (LOcal Vegetation Estimates) model for estimating local vegetation composition within the relevant source area of pollen. This model quantifies and then subtracts background pollen tie, pollen coming from beyond the relevant source area) in order to arrive at a quantitative reconstruction of local vegetation. Parameters required for LOVE applications are pollen counts from target sites, the relevant source area of pollen of these sites, pollen productivity estimates and regional vegetation composition within 10(4)-10(5) km(2). Regional vegetation composition is obtained using fossil pollen from large sites (&gt;= 10(2) ha) with the REVEALS (Regional Estimates of VEgetation Abundance from Large Sites) model, the first step of the Landscape Reconstruction Algorithm (LRA) specifically designed for LOVE applications. POLLSCAPE simulations demonstrate that (1) regional vegetation composition can be used to predict background pollen at and beyond the relevant source area of pollen for given-sized basins, (2) LOVE with the LRA framework provides a robust and accurate estimate of local vegetation composition much better than vegetation reconstruction using pollen percentages alone and (3) although the relevant source area of pollen is difficult to estimate particularly in past landscapes, a proposed method using backward modelling of LOVE is effective to estimate the relevant source area in landscapes of unknown vegetation patchiness and heterogeneity. Thus, the LRA will also be useful to estimate indirectly changes in spatial structure of past vegetation and landscape caused by natural and anthropogenic forcing.","container-title":"Holocene","DOI":"10.1177/0959683607075838","ISSN":"09596836","issue":"2","note":"ISBN: 0959-6836","page":"243-257","title":"Theory of quantitative reconstruction of vegetation II: All you need is LOVE","URL":"http://journals.sagepub.com/doi/10.1177/0959683607075838","volume":"17","author":[{"family":"Sugita","given":"Shinya"}],"issued":{"date-parts":[["2007"]]}}}],"schema":"https://github.com/citation-style-language/schema/raw/master/csl-citation.json"} </w:instrText>
      </w:r>
      <w:r w:rsidR="00454F47" w:rsidRPr="00941F74">
        <w:rPr>
          <w:lang w:val="en-US"/>
        </w:rPr>
        <w:fldChar w:fldCharType="separate"/>
      </w:r>
      <w:r w:rsidR="00454F47" w:rsidRPr="00941F74">
        <w:rPr>
          <w:rFonts w:ascii="Calibri" w:hAnsi="Calibri" w:cs="Calibri"/>
          <w:lang w:val="en-US"/>
        </w:rPr>
        <w:t>(LRA, Sugita, 2007a, 2007b)</w:t>
      </w:r>
      <w:r w:rsidR="00454F47" w:rsidRPr="00941F74">
        <w:rPr>
          <w:lang w:val="en-US"/>
        </w:rPr>
        <w:fldChar w:fldCharType="end"/>
      </w:r>
      <w:r w:rsidRPr="00941F74">
        <w:rPr>
          <w:lang w:val="en-US"/>
        </w:rPr>
        <w:t xml:space="preserve">. </w:t>
      </w:r>
      <w:r w:rsidR="008B0ADC" w:rsidRPr="00941F74">
        <w:rPr>
          <w:lang w:val="en-US"/>
        </w:rPr>
        <w:t xml:space="preserve">The LRA is the only land-cover reconstruction approach based on pollen data that effectively reduces the biases caused by the non-linear pollen–vegetation relationship due to differences in sedimentary archives, basin size, inter-taxonomic differences in pollen productivity and dispersal characteristics, and spatial scales. </w:t>
      </w:r>
      <w:r w:rsidR="00DB7CDC" w:rsidRPr="00941F74">
        <w:rPr>
          <w:lang w:val="en-US"/>
        </w:rPr>
        <w:t xml:space="preserve">Based on pollen extracted from sediments (lakes and bogs), the LRA uses two models, REVEALS (Regional estimates of vegetation abundance from large sites) and LOVE (Local Vegetation Estimates), to </w:t>
      </w:r>
      <w:r w:rsidR="008B0ADC" w:rsidRPr="00941F74">
        <w:rPr>
          <w:lang w:val="en-US"/>
        </w:rPr>
        <w:t xml:space="preserve">translate pollen assemblages </w:t>
      </w:r>
      <w:r w:rsidR="00620867" w:rsidRPr="00941F74">
        <w:rPr>
          <w:lang w:val="en-US"/>
        </w:rPr>
        <w:t xml:space="preserve">from a set of sedimentary sites </w:t>
      </w:r>
      <w:r w:rsidR="008B0ADC" w:rsidRPr="00941F74">
        <w:rPr>
          <w:lang w:val="en-US"/>
        </w:rPr>
        <w:t xml:space="preserve">into regional and local cover of plant taxa </w:t>
      </w:r>
      <w:r w:rsidR="00B600C8" w:rsidRPr="00941F74">
        <w:rPr>
          <w:lang w:val="en-US"/>
        </w:rPr>
        <w:fldChar w:fldCharType="begin"/>
      </w:r>
      <w:r w:rsidR="003B1EC2">
        <w:rPr>
          <w:lang w:val="en-US"/>
        </w:rPr>
        <w:instrText xml:space="preserve"> ADDIN ZOTERO_ITEM CSL_CITATION {"citationID":"4fo8gVBs","properties":{"formattedCitation":"(Sugita, 2007a, 2007b)","plainCitation":"(Sugita, 2007a, 2007b)","noteIndex":0},"citationItems":[{"id":83,"uris":["http://zotero.org/users/10290022/items/PDK5TWZE"],"itemData":{"id":83,"type":"article-journal","abstract":"This paper describes the LOVE (LOcal Vegetation Estimates) model for estimating local vegetation composition within the relevant source area of pollen. This model quantifies and then subtracts background pollen tie, pollen coming from beyond the relevant source area) in order to arrive at a quantitative reconstruction of local vegetation. Parameters required for LOVE applications are pollen counts from target sites, the relevant source area of pollen of these sites, pollen productivity estimates and regional vegetation composition within 10(4)-10(5) km(2). Regional vegetation composition is obtained using fossil pollen from large sites (&gt;= 10(2) ha) with the REVEALS (Regional Estimates of VEgetation Abundance from Large Sites) model, the first step of the Landscape Reconstruction Algorithm (LRA) specifically designed for LOVE applications. POLLSCAPE simulations demonstrate that (1) regional vegetation composition can be used to predict background pollen at and beyond the relevant source area of pollen for given-sized basins, (2) LOVE with the LRA framework provides a robust and accurate estimate of local vegetation composition much better than vegetation reconstruction using pollen percentages alone and (3) although the relevant source area of pollen is difficult to estimate particularly in past landscapes, a proposed method using backward modelling of LOVE is effective to estimate the relevant source area in landscapes of unknown vegetation patchiness and heterogeneity. Thus, the LRA will also be useful to estimate indirectly changes in spatial structure of past vegetation and landscape caused by natural and anthropogenic forcing.","container-title":"The Holocene","DOI":"10.1177/0959683607075838","ISSN":"0959-6836","issue":"2","note":"ISBN: 0959-6836","page":"229-241","title":"Theory of quantitative reconstruction of vegetation I: pollen from large sites REVEALS regional vegetation composition.","volume":"17","author":[{"family":"Sugita","given":"Shinya"}],"issued":{"date-parts":[["2007"]]}}},{"id":2449,"uris":["http://www.mendeley.com/documents/?uuid=7639867d-dd42-4f40-a31d-23169d3bfea6","http://zotero.org/users/10290022/items/PIKT3FP4"],"itemData":{"id":2449,"type":"article-journal","abstract":"This paper describes the LOVE (LOcal Vegetation Estimates) model for estimating local vegetation composition within the relevant source area of pollen. This model quantifies and then subtracts background pollen tie, pollen coming from beyond the relevant source area) in order to arrive at a quantitative reconstruction of local vegetation. Parameters required for LOVE applications are pollen counts from target sites, the relevant source area of pollen of these sites, pollen productivity estimates and regional vegetation composition within 10(4)-10(5) km(2). Regional vegetation composition is obtained using fossil pollen from large sites (&gt;= 10(2) ha) with the REVEALS (Regional Estimates of VEgetation Abundance from Large Sites) model, the first step of the Landscape Reconstruction Algorithm (LRA) specifically designed for LOVE applications. POLLSCAPE simulations demonstrate that (1) regional vegetation composition can be used to predict background pollen at and beyond the relevant source area of pollen for given-sized basins, (2) LOVE with the LRA framework provides a robust and accurate estimate of local vegetation composition much better than vegetation reconstruction using pollen percentages alone and (3) although the relevant source area of pollen is difficult to estimate particularly in past landscapes, a proposed method using backward modelling of LOVE is effective to estimate the relevant source area in landscapes of unknown vegetation patchiness and heterogeneity. Thus, the LRA will also be useful to estimate indirectly changes in spatial structure of past vegetation and landscape caused by natural and anthropogenic forcing.","container-title":"Holocene","DOI":"10.1177/0959683607075838","ISSN":"09596836","issue":"2","note":"ISBN: 0959-6836","page":"243-257","title":"Theory of quantitative reconstruction of vegetation II: All you need is LOVE","URL":"http://journals.sagepub.com/doi/10.1177/0959683607075838","volume":"17","author":[{"family":"Sugita","given":"Shinya"}],"issued":{"date-parts":[["2007"]]}}}],"schema":"https://github.com/citation-style-language/schema/raw/master/csl-citation.json"} </w:instrText>
      </w:r>
      <w:r w:rsidR="00B600C8" w:rsidRPr="00941F74">
        <w:rPr>
          <w:lang w:val="en-US"/>
        </w:rPr>
        <w:fldChar w:fldCharType="separate"/>
      </w:r>
      <w:r w:rsidR="003B1EC2" w:rsidRPr="003B1EC2">
        <w:rPr>
          <w:rFonts w:ascii="Calibri" w:hAnsi="Calibri" w:cs="Calibri"/>
          <w:lang w:val="en-US"/>
        </w:rPr>
        <w:t>(Sugita, 2007a, 2007b)</w:t>
      </w:r>
      <w:r w:rsidR="00B600C8" w:rsidRPr="00941F74">
        <w:rPr>
          <w:lang w:val="en-US"/>
        </w:rPr>
        <w:fldChar w:fldCharType="end"/>
      </w:r>
      <w:r w:rsidR="008B0ADC" w:rsidRPr="00941F74">
        <w:rPr>
          <w:lang w:val="en-US"/>
        </w:rPr>
        <w:t xml:space="preserve">. </w:t>
      </w:r>
      <w:r w:rsidR="00920D72" w:rsidRPr="00941F74">
        <w:rPr>
          <w:lang w:val="en-US"/>
        </w:rPr>
        <w:t>The LRA</w:t>
      </w:r>
      <w:r w:rsidR="008B0ADC" w:rsidRPr="00941F74">
        <w:rPr>
          <w:lang w:val="en-US"/>
        </w:rPr>
        <w:t xml:space="preserve"> </w:t>
      </w:r>
      <w:r w:rsidR="00DB7CDC" w:rsidRPr="00941F74">
        <w:rPr>
          <w:lang w:val="en-US"/>
        </w:rPr>
        <w:t xml:space="preserve">provides vegetation estimates expressed as distance-weighted plant abundance (DWPA) within a defined area, namely the </w:t>
      </w:r>
      <w:r w:rsidR="00DB7CDC" w:rsidRPr="00941F74">
        <w:rPr>
          <w:rFonts w:cstheme="minorHAnsi"/>
          <w:lang w:val="en-GB"/>
        </w:rPr>
        <w:t xml:space="preserve">Relevant Source Area of Pollen (RSAP, </w:t>
      </w:r>
      <w:r w:rsidR="00D427C0" w:rsidRPr="00941F74">
        <w:rPr>
          <w:rFonts w:cstheme="minorHAnsi"/>
          <w:lang w:val="en-GB"/>
        </w:rPr>
        <w:t>0.</w:t>
      </w:r>
      <w:r w:rsidR="00DB7CDC" w:rsidRPr="00941F74">
        <w:rPr>
          <w:rFonts w:cstheme="minorHAnsi"/>
          <w:lang w:val="en-GB"/>
        </w:rPr>
        <w:t xml:space="preserve">1-3km, </w:t>
      </w:r>
      <w:r w:rsidR="00D427C0" w:rsidRPr="00941F74">
        <w:rPr>
          <w:rFonts w:cstheme="minorHAnsi"/>
          <w:lang w:val="en-GB"/>
        </w:rPr>
        <w:fldChar w:fldCharType="begin"/>
      </w:r>
      <w:r w:rsidR="000E0FBE">
        <w:rPr>
          <w:rFonts w:cstheme="minorHAnsi"/>
          <w:lang w:val="en-GB"/>
        </w:rPr>
        <w:instrText xml:space="preserve"> ADDIN ZOTERO_ITEM CSL_CITATION {"citationID":"liRPLV05","properties":{"formattedCitation":"(Hjelle &amp; Sugita, 2012; Li et al., 2018; Nielsen &amp; Sugita, 2005; Sugita et al., 2010)","plainCitation":"(Hjelle &amp; Sugita, 2012; Li et al., 2018; Nielsen &amp; Sugita, 2005; Sugita et al., 2010)","dontUpdate":true,"noteIndex":0},"citationItems":[{"id":1810,"uris":["http://zotero.org/users/10290022/items/EUAXL826"],"itemData":{"id":1810,"type":"article-journal","abstract":"This study aims to estimate relative pollen productivity (PPEs) of major pollen types and the relevant source area of pollen (RSAP) in a semi-open landscape in western Norway. Extended R-value (ERV) models are used to analyse a data set consisting of surface pollen assemblages from 34 lakes and vegetation survey around each site. Ordination techniques indicate relatively short gradients (&lt;2.3 SD) both in the vegetation and pollen data sets. The lake sizes vary from 0.4 ha to 19.0 ha (mean=5.7 ha, sd=4.3 ha) but follow a normal distribution – a departure from the assumption of the ERV models that the lake size should be constant among sites. Simulations demonstrate that, if the sizes of circular-shaped lakes follow a normal distribution, the ERV model-based methods provide the expected PPE and RSAP values using a standardized lake radius. If the distribution is highly skewed or equally random around the mean, the results are not reliable. We apply the analytical strategy implied from the simulations to obtain relative PPEs and the RSAP in western Norway. PPEs for ten taxa (Alnus, Fagus, Picea, Pinus, Quercus, Juniperus, Salix, Calluna, Cyperaceae, Rumex) relative to Poaceae are comparable with some of those previously obtained in different parts of Europe, indicating that there are general patterns of high and low pollen producers that will be useful for reconstruction purposes. The RSAP estimate is the area within a radius of 900–1100 m. This study demonstrates the importance of careful evaluation of the extent to which the departures from the model assumptions affect the outcomes from the ERV model-based analysis.","container-title":"Holocene","DOI":"10.1177/0959683611423690","ISSN":"09596836","issue":"3","note":"ISBN: 0959-6836","page":"313-324","title":"Estimating pollen productivity and relevant source area of pollen using lake sediments in Norway: How does lake size variation affect the estimates?","volume":"22","author":[{"family":"Hjelle","given":"Kari Loe"},{"family":"Sugita","given":"Shinya"}],"issued":{"date-parts":[["2012"]]}}},{"id":3062,"uris":["http://zotero.org/users/10290022/items/RDCCIABF"],"itemData":{"id":3062,"type":"article-journal","abstract":"Model-based quantitative reconstruction of past plant cover in Europe has shown great potential for: (i) testing hypotheses related to Holocene vegetation dynamics, biodiversity, and their relationships with climate and land use; (ii) studying long term interactions between climate and land use. Similar model-based quantitative reconstruction of plant cover in China has been restricted due to the lack of standardized datasets of existing estimates of relative pollen productivity (RPP). This study presents the first synthesis of all RPP values available to date for 39 major plant taxa from temperate China and proposes standardized RPP datasets that can be used for model-based quantitative reconstructions of past plant cover using fossil pollen records for the region. We review 11 RPP studies in temperate China based on modern pollen and related vegetation data around the pollen samples. The study areas include meadow, steppe and desert vegetation, various woodland types, and cultural landscapes. We evaluate the strategies of each study in terms of selection of study areas and distribution of study sites; pollen- and vegetation-data collection in field; vegetation-data collection from satellite images and vegetation maps; and data analysis. We compare all available RPP estimates, select values based on precise rules and calculate mean RPP estimates. We propose two standardized RPP datasets for 31 (Alt1) and 29 (Alt2) plant taxa. The ranking of mean RPPs (Alt-2) relative to Poaceae (= 1) for eight major taxa is: Artemisia (21) &gt; Pinus (18.4) &gt; Betula (12.5) &gt; Castanea (11.5) &gt; Elaeagnaceae (8.8) &gt; Juglans (7.5) &gt; Compositae (4.5) &gt; Amaranthaceae/Chenopodiaceae (4). We conclude that although RPPs are comparable between Europe and China for some genera and families, they can differ very significantly, e.g., Artemisia, Compositae, and Amaranthaceae/Chenopodiaceae. For some taxa, we present the first RPP estimates e.g. Castanea, Elaeagnaceae, and Juglans. The proposed standardized RPP datasets are essential for model-based reconstructions of past plant cover using fossil pollen records from temperate China.","container-title":"Frontiers in Plant Science","DOI":"10.3389/FPLS.2018.01214/BIBTEX","ISSN":"1664462X","note":"publisher: Frontiers Media S.A.","page":"1214","title":"A review of relative pollen productivity estimates from temperate China for pollen-based quantitative reconstruction of past plant cover","volume":"9","author":[{"family":"Li","given":"Furong"},{"family":"Gaillard","given":"Marie José"},{"family":"Xu","given":"Qinghai"},{"family":"Bunting","given":"Mairi J."},{"family":"Li","given":"Yuecong"},{"family":"Li","given":"Jie"},{"family":"Mu","given":"Huishuang"},{"family":"Lu","given":"Jingyao"},{"family":"Zhang","given":"Panpan"},{"family":"Zhang","given":"Shengrui"},{"family":"Cui","given":"Qiaoyu"},{"family":"Zhang","given":"Yahong"},{"family":"Shen","given":"Wei"}],"accessed":{"date-parts":[["2022",2,17]]},"issued":{"date-parts":[["2018",9,5]]}}},{"id":1911,"uris":["http://zotero.org/users/10290022/items/Z6QF2SYC"],"itemData":{"id":1911,"type":"article-journal","abstract":"The aims of this study were to obtain estimates of the relevant source area of pollen (RSAP) that can be used to interpret fossil pollen diagrams from medium sized lakes, and to elucidate factors affecting RSAP for such lakes. A data set of sediment pollen assemblages dating from AD 1800 from 25 Danish lakes (3?/ 27 ha) and land cover around the same lakes from historical maps was used. The plant abundance data were distance weighted using a species-specific model of pollen dispersal/deposition and other distance weighting functions (1, 1/d and 1/d2). Extended R-value models were applied to evaluate the relationship between pollen and plant abundance and to estimate RSAP. The choice of distance weighting function influenced the RSAP estimates. When using the species-specific model, wind speed and species-specific properties of pollen dispersal had little effect on the RSAP estimates, which were approximately 1700 m in radius, when all lakes were analysed together.When the pollen types were classified into fewer groups, the RSAP estimate increased, probably because this procedure affected the spatial pattern of the plant abundance data by, in effect, increasing patch size.When the lakes were classified into two distinct groups (western Jutland and remaining sites) using a multivariate statistical technique (TWINSPAN), we obtained different RSAP estimates for each of the two groups. This result could be explained by a difference in average patch size of the land cover types between regions. A series of simulations supported our interpretation that the patch size was the main factor determining the size of the RSAP for the Danish lakes at AD 1800.","container-title":"Holocene","DOI":"10.1191/0959683605hl874ra","ISSN":"09596836","issue":"7","note":"ISBN: 0959-6836","page":"1006-1020","title":"Estimating relevant source area of pollen for small Danish lakes around AD 1800","volume":"15","author":[{"family":"Nielsen","given":"Anne Birgitte"},{"family":"Sugita","given":"Shinya"}],"issued":{"date-parts":[["2005"]]}}},{"id":2403,"uris":["http://zotero.org/users/10290022/items/NLVDUIKU"],"itemData":{"id":2403,"type":"article-journal","abstract":"The Landscape Reconstruction Algorithm (LRA) overcomes some of the fundamental problems in pollen analysis for quantitative reconstruction of vegetation. LRA first uses the REVEALS model to estimate regional vegetation using pollen data from large sites and then the LOVE model to estimate vegetation composition within the relevant source area of pollen (RSAP) at small sites by subtracting the background pollen estimated from the regional vegetation composition. This study tests LRA using training data from forest hollows in northern Michigan (35 sites) and northwestern Wisconsin (43 sites). In northern Michigan, surface pollen from 152-ha and 332-ha lakes is used for REVEALS. Because of the lack of pollen data from large lakes in northwestern Wisconsin, we use pollen from 21 hollows randomly selected from the 43 sites for REVEALS. RSAP indirectly estimated by LRA is comparable to the expected value in each region. A regression analysis and permutation test validate that the LRA-based vegetation reconstruction is significantly more accurate than pollen percentages alone in both regions. Even though the site selection in northwestern Wisconsin is not ideal, the results are robust. The LRA is a significant step forward in quantitative reconstruction of vegetation. © 2010 University of Washington.","container-title":"Quaternary Research","DOI":"10.1016/j.yqres.2010.07.008","ISSN":"00335894","issue":"2","note":"publisher: University of Washington\nISBN: 00335894","page":"289-300","title":"Testing the Landscape Reconstruction Algorithm for spatially explicit reconstruction of vegetation in northern Michigan and Wisconsin","URL":"http://dx.doi.org/10.1016/j.yqres.2010.07.008","volume":"74","author":[{"family":"Sugita","given":"Shinya"},{"family":"Parshall","given":"Tim"},{"family":"Calcote","given":"Randy"},{"family":"Walker","given":"Karen"}],"issued":{"date-parts":[["2010"]]}}}],"schema":"https://github.com/citation-style-language/schema/raw/master/csl-citation.json"} </w:instrText>
      </w:r>
      <w:r w:rsidR="00D427C0" w:rsidRPr="00941F74">
        <w:rPr>
          <w:rFonts w:cstheme="minorHAnsi"/>
          <w:lang w:val="en-GB"/>
        </w:rPr>
        <w:fldChar w:fldCharType="separate"/>
      </w:r>
      <w:r w:rsidR="00D427C0" w:rsidRPr="00941F74">
        <w:rPr>
          <w:rFonts w:ascii="Calibri" w:hAnsi="Calibri" w:cs="Calibri"/>
          <w:lang w:val="en-US"/>
        </w:rPr>
        <w:t xml:space="preserve">Hjelle &amp; Sugita, 2012; Li et al., 2018; Nielsen &amp; Sugita, 2005; </w:t>
      </w:r>
      <w:r w:rsidR="00D427C0" w:rsidRPr="00941F74">
        <w:rPr>
          <w:rFonts w:ascii="Calibri" w:hAnsi="Calibri" w:cs="Calibri"/>
          <w:lang w:val="en-US"/>
        </w:rPr>
        <w:lastRenderedPageBreak/>
        <w:t>Sugita et al., 2010)</w:t>
      </w:r>
      <w:r w:rsidR="00D427C0" w:rsidRPr="00941F74">
        <w:rPr>
          <w:rFonts w:cstheme="minorHAnsi"/>
          <w:lang w:val="en-GB"/>
        </w:rPr>
        <w:fldChar w:fldCharType="end"/>
      </w:r>
      <w:r w:rsidR="00DB7CDC" w:rsidRPr="00941F74">
        <w:rPr>
          <w:rFonts w:cstheme="minorHAnsi"/>
          <w:lang w:val="en-GB"/>
        </w:rPr>
        <w:t xml:space="preserve"> defined as the smallest area for which vegetation abundance can be modelled using fossil records </w:t>
      </w:r>
      <w:r w:rsidR="003275B2" w:rsidRPr="00941F74">
        <w:rPr>
          <w:rFonts w:cstheme="minorHAnsi"/>
          <w:lang w:val="en-GB"/>
        </w:rPr>
        <w:fldChar w:fldCharType="begin"/>
      </w:r>
      <w:r w:rsidR="003B1EC2">
        <w:rPr>
          <w:rFonts w:cstheme="minorHAnsi"/>
          <w:lang w:val="en-GB"/>
        </w:rPr>
        <w:instrText xml:space="preserve"> ADDIN ZOTERO_ITEM CSL_CITATION {"citationID":"fEE4Sht1","properties":{"formattedCitation":"(Sugita, 2007b)","plainCitation":"(Sugita, 2007b)","noteIndex":0},"citationItems":[{"id":2449,"uris":["http://www.mendeley.com/documents/?uuid=7639867d-dd42-4f40-a31d-23169d3bfea6","http://zotero.org/users/10290022/items/PIKT3FP4"],"itemData":{"id":2449,"type":"article-journal","abstract":"This paper describes the LOVE (LOcal Vegetation Estimates) model for estimating local vegetation composition within the relevant source area of pollen. This model quantifies and then subtracts background pollen tie, pollen coming from beyond the relevant source area) in order to arrive at a quantitative reconstruction of local vegetation. Parameters required for LOVE applications are pollen counts from target sites, the relevant source area of pollen of these sites, pollen productivity estimates and regional vegetation composition within 10(4)-10(5) km(2). Regional vegetation composition is obtained using fossil pollen from large sites (&gt;= 10(2) ha) with the REVEALS (Regional Estimates of VEgetation Abundance from Large Sites) model, the first step of the Landscape Reconstruction Algorithm (LRA) specifically designed for LOVE applications. POLLSCAPE simulations demonstrate that (1) regional vegetation composition can be used to predict background pollen at and beyond the relevant source area of pollen for given-sized basins, (2) LOVE with the LRA framework provides a robust and accurate estimate of local vegetation composition much better than vegetation reconstruction using pollen percentages alone and (3) although the relevant source area of pollen is difficult to estimate particularly in past landscapes, a proposed method using backward modelling of LOVE is effective to estimate the relevant source area in landscapes of unknown vegetation patchiness and heterogeneity. Thus, the LRA will also be useful to estimate indirectly changes in spatial structure of past vegetation and landscape caused by natural and anthropogenic forcing.","container-title":"Holocene","DOI":"10.1177/0959683607075838","ISSN":"09596836","issue":"2","note":"ISBN: 0959-6836","page":"243-257","title":"Theory of quantitative reconstruction of vegetation II: All you need is LOVE","URL":"http://journals.sagepub.com/doi/10.1177/0959683607075838","volume":"17","author":[{"family":"Sugita","given":"Shinya"}],"issued":{"date-parts":[["2007"]]}}}],"schema":"https://github.com/citation-style-language/schema/raw/master/csl-citation.json"} </w:instrText>
      </w:r>
      <w:r w:rsidR="003275B2" w:rsidRPr="00941F74">
        <w:rPr>
          <w:rFonts w:cstheme="minorHAnsi"/>
          <w:lang w:val="en-GB"/>
        </w:rPr>
        <w:fldChar w:fldCharType="separate"/>
      </w:r>
      <w:r w:rsidR="003B1EC2" w:rsidRPr="003B1EC2">
        <w:rPr>
          <w:rFonts w:ascii="Calibri" w:hAnsi="Calibri" w:cs="Calibri"/>
          <w:lang w:val="en-US"/>
        </w:rPr>
        <w:t>(Sugita, 2007b)</w:t>
      </w:r>
      <w:r w:rsidR="003275B2" w:rsidRPr="00941F74">
        <w:rPr>
          <w:rFonts w:cstheme="minorHAnsi"/>
          <w:lang w:val="en-GB"/>
        </w:rPr>
        <w:fldChar w:fldCharType="end"/>
      </w:r>
      <w:r w:rsidR="00620867" w:rsidRPr="00941F74">
        <w:rPr>
          <w:rFonts w:cstheme="minorHAnsi"/>
          <w:lang w:val="en-GB"/>
        </w:rPr>
        <w:t>. The LRA has been used widely in many parts of Europe and elsewhere over the last decade with reasonable success, in both flat and mountainous terrains</w:t>
      </w:r>
      <w:r w:rsidR="00B06139" w:rsidRPr="00941F74">
        <w:rPr>
          <w:rFonts w:cstheme="minorHAnsi"/>
          <w:lang w:val="en-GB"/>
        </w:rPr>
        <w:t xml:space="preserve"> </w:t>
      </w:r>
      <w:r w:rsidR="006154BC" w:rsidRPr="00941F74">
        <w:rPr>
          <w:rFonts w:cstheme="minorHAnsi"/>
          <w:lang w:val="en-GB"/>
        </w:rPr>
        <w:fldChar w:fldCharType="begin"/>
      </w:r>
      <w:r w:rsidR="000E0FBE">
        <w:rPr>
          <w:rFonts w:cstheme="minorHAnsi"/>
          <w:lang w:val="en-GB"/>
        </w:rPr>
        <w:instrText xml:space="preserve"> ADDIN ZOTERO_ITEM CSL_CITATION {"citationID":"m6tpFiqA","properties":{"formattedCitation":"(Cui et al., 2010, 2013, 2014; Fredh et al., 2019; Fyfe et al., 2013; Gaillard et al., 2010; Hjelle et al., 2015; Hultberg et al., 2014; Marquer, Mazier, Sugita, Galop, Houet, Faure, Gaillard, Haunold, de Munnik, et al., 2020; Mazier et al., 2015; Nielsen &amp; Odgaard, 2010; Plancher et al., 2022; Poska et al., 2014; Pr\\uc0\\u248{}sch-Danielsen et al., 2020; Sugita, Parshall, et al., 2010)","plainCitation":"(Cui et al., 2010, 2013, 2014; Fredh et al., 2019; Fyfe et al., 2013; Gaillard et al., 2010; Hjelle et al., 2015; Hultberg et al., 2014; Marquer, Mazier, Sugita, Galop, Houet, Faure, Gaillard, Haunold, de Munnik, et al., 2020; Mazier et al., 2015; Nielsen &amp; Odgaard, 2010; Plancher et al., 2022; Poska et al., 2014; Prøsch-Danielsen et al., 2020; Sugita, Parshall, et al., 2010)","dontUpdate":true,"noteIndex":0},"citationItems":[{"id":2931,"uris":["http://zotero.org/users/10290022/items/927PAFAW"],"itemData":{"id":2931,"type":"article-journal","abstract":"Quantitative reconstruction of past vegetation using fossil pollen was long very problematic. It is well known that pollen percentages and pollen accumulation rates do not represent vegetation abundance properly because pollen values are influenced by many factors of which inter-taxonomic differences in pollen productivity and vegetation structure are the most important ones. It is also recognized that pollen assemblages from large sites (lakes or bogs) record the characteristics of the regional vegetation, while pollen assemblages from small sites record local features. Based on the theoretical understanding of the factors and mechanisms that affect pollen representation of vegetation, Sugita (2007a and b) proposed the Landscape Reconstruction Algorithm (LRA) to estimate vegetation abundance in percentage cover for well defined spatial scales. The LRA includes two models, REVEALS and LOVE. REVEALS estimates regional vegetation abundance at a spatial scale of 100 km x 100 km. LOVE estimates local vegetation abundance at the spatial scale of the relevant source area of pollen (RSAP sensu Sugita 1993) of the pollen site. REVEALS estimates are needed to apply LOVE in order to calculate the RSAP and the vegetation cover within the RSAP. The two models were validated theoretically and empirically. Two small bogs in southern Sweden were studied for pollen, plant macrofossil, charcoal, and coleoptera in order to reconstruct the local Holocene forest and fire history (e.g. Greisman and Gaillard 2009; Olsson et al. 2009). We applied the LOVE model in order to 1) compare the LOVE estimates with pollen percentages for a better understanding of the local forest history; 2) obtain more precise information on the local vegetation to explain between-sites differences in fire history. We used pollen records from two large lakes in Småland to obtain REVEALS estimates for twelve continuous 500-yrs time windows. Following the strategy of the Swedish VR LANDCLIM project (see Gaillard et al.; Trondman et al., CL 1.22; Mazier et al. CL 1.21) we used 3 sets of pollen taxa (20, 22, 31) and 3 sets of pollen productivity estimates (PPEs) (1. southern Sweden; 2. southern Sweden except for cereals, Calluna, Plantago and Rumex, Denmark; 3. the mean of all PPEs available in NW Europe). The Spearman rank correlation test shows that there are no significant differences between the 9 runs. LOVE was applied on the pollen records from the two small bogs following the same strategy. We also compared the LOVE estimates (20 taxa, PPEs dataset 2) with the records of plant macro-remains and coleoptera species that are indicators of the local occurrence of conifers (Pinus and Picea), Betula, and deciduous trees. The results show large discrepancies between the LOVE estimates and pollen percentages. The LOVE estimates are higher than pollen percentages for Cyperaceae, Gramineae and Filipendula, and the broaded-leaved trees Corylus, Fraxinus, and Tilia. In contrast, the LOVE estimates for Pinus and Betula are generally much lower than their pollen percentages. LOVE estimates and pollen percentages are relatively similar for Alnus, Quercus, and Calluna. The LOVE reconstruction confirms the assumed difference between the sites in terms of the abundance of birch and pine, which was not clearly demonstrated by the pollen percentages and accumulation rates. The Pinus LOVE estimates are significantly higher at one of the sites, which explains the differences in fire history between the sites. The comparison of the LOVE estimates with plant macro-remains and coleoptera species shows a good correspondence.","container-title":"Geophysical Research Abstracts","DOI":"10.1016/j.palaeo.2009.07.013","issue":"6","page":"593-611","title":"Holocene local forest history at two sites in Småland, southern Sweden-insights from quantitative reconstructions using the Landscape Reconstruction Algorithm","volume":"12","author":[{"family":"Cui","given":"Qiao Yu"},{"family":"Gaillard","given":"M.J."},{"family":"Lemdahl","given":"Geoffrey"},{"family":"Olsson","given":"Fredrik"},{"family":"Sugita","given":"Shinya"}],"accessed":{"date-parts":[["2021",9,29]]},"issued":{"date-parts":[["2010"]]}}},{"id":1837,"uris":["http://zotero.org/users/10290022/items/MV6IGBD4"],"itemData":{"id":1837,"type":"article-journal","abstract":"We present a quantitative reconstruction of local forest history at two\\nsites, Stavsakra (hemiboreal zone) and Storasjo (southern boreal zone),\\nin southern Sweden (province of Smaland) to evaluate possible causes of\\ncontrasting Holocene fire histories in mid- and late Holocene. The\\nLandscape Reconstruction Algorithm (LRA) is applied to evaluate\\nbetween-site differences in the relative abundance of deciduous trees\\nand Pinus (pine) and landscape/woodland openness during the Holocene.\\nThe LRA estimates of local vegetation abundance are compared with other\\nproxies of local vegetation, that is, plant and beetle remains. The LRA\\nresults suggest that Pinus was a major tree taxon in the woodlands of\\nStorasjo during mid- and late Holocene, while Tilia (linden) and Betula\\n(birch) were dominant at Stavsakra. The contrasting fire histories are\\nshown to be strongly related to between-site differences in tree\\ncomposition during mid-Holocene, 4000-2000 bc in particular. The\\narchaeological/historical and beetle data indicate contrasting land uses\\nfrom c. 1000 bc (late Bronze Age/early Iron Age), grazing in open\\nCalluna heaths at Stavsakra and woodland grazing at Storasjo.\\nBetween-site differences in fire history during late Holocene were\\nlikely due to different land-use practices. Between-site differences in\\ntree composition in mid-Holocene are best explained by local climatic\\nand geological/geomorphological differences between the hemiboreal and\\nsouthern boreal zones of Smaland, which might also be the primary cause\\nof between-site differences in land-use histories during late Holocene.\\nMaintenance of biodiversity at the landscape scale in the study area\\nrequires that existing old pine woodlands and Calluna heath are managed\\nwith fire and cattle grazing. Further climate warming might lead to\\nhigher probabilities of climate-induces fire, in particular in\\npine-dominated woodlands.","container-title":"Holocene","DOI":"10.1177/0959683613505339","ISSN":"09596836","issue":"12","note":"ISBN: 0959683613505","page":"1747-1763","title":"The role of tree composition in Holocene fire history of the hemiboreal and southern boreal zones of southern Sweden, as revealed by the application of the Landscape Reconstruction Algorithm: Implications for biodiversity and climate-change issues","volume":"23","author":[{"family":"Cui","given":"Qiao Yu"},{"family":"Gaillard","given":"Marie José"},{"family":"Lemdahl","given":"Geoffrey"},{"family":"Sugita","given":"Shinya"},{"family":"Greisman","given":"Annica"},{"family":"Jacobson","given":"George L."},{"family":"Olsson","given":"Fredrik"}],"issued":{"date-parts":[["2013"]]}}},{"id":1833,"uris":["http://zotero.org/users/10290022/items/HLX2GE6G"],"itemData":{"id":1833,"type":"article-journal","abstract":"The two major aims of this study are (1) To test the performance of the Landscape Reconstruction Algorithm (LRA) to quantify past landscape changes using historical maps and related written sources, and (2) to use the LRA and map reconstructions for a better understanding of the origin of landscape diversity and the recent loss of species diversity. Southern Sweden, hemiboreal vegetation zone. The LRA was applied on pollen records from three small bogs for four time windows between AD 1700 and 2010. The LRA estimates of % cover for woodland/forest, grassland, wetland, and cultivated land were compared with those extracted from historical maps within 3-km radius around each bog. Map-extracted land-use categories and pollen-based LRA estimates (in % cover) of the same land-use categories show a reasonable agreement in several cases; when they do not agree, the assumptions used in the data (maps)-model (LRA) comparison are a better explanation of the discrepancies between the two than possible biases of the LRA modeling approach. Both the LRA reconstructions and the historical maps reveal between-site differences in landscape characteristics through time, but they demonstrate comparable, profound transformations of the regional and local landscapes over time and space due to the agrarian reforms in southern Sweden during the 18th and 19th centuries. The LRA was found to be the most reasonable approach so far to reconstruct quantitatively past landscape changes from fossil pollen data. The existing landscape diversity in the region at the beginning of the 18th century had its origin in the long-term regional and local vegetation and land-use history over millennia. Agrarian reforms since the 18th century resulted in a dramatic loss of landscape diversity and evenness in both time and space over the last two centuries leading to a similarly dramatic loss of species (e.g., beetles).","container-title":"Ecology and Evolution","DOI":"10.1002/ece3.1198","ISSN":"20457758","issue":"18","note":"PMID: 25478148\nISBN: 2045-7758","page":"3555-3570","title":"Historical land-use and landscape change in southern Sweden and implications for present and future biodiversity","volume":"4","author":[{"family":"Cui","given":"Qiao Yu"},{"family":"Gaillard","given":"Marie José"},{"family":"Lemdahl","given":"Geoffrey"},{"family":"Stenberg","given":"Li"},{"family":"Sugita","given":"Shinya"},{"family":"Zernova","given":"Ganna"}],"issued":{"date-parts":[["2014"]]}}},{"id":3114,"uris":["http://zotero.org/users/10290022/items/P75XP69V"],"itemData":{"id":3114,"type":"article-journal","abstract":"The aim of the study was to identify changes in agricultural practices and periods of agricultural expansion and regression during the last 1,300&amp;nbsp;years in the South-Swedish Uplands. Sediments from the small lake of Skärpingsgölen (1.2&amp;nbsp;ha) were used to quantify land-cover at a local scale (c. 1&amp;nbsp;km radius) in 50-year intervals based on pollen analysis and the LOVE model (Local Vegetation Estimates). The results showed a dramatic change in land-cover, starting c. ad 1150, from a grazed, deciduous woodland, dominated by Corylus, Betula and Quercus, to a semi-open landscape dominated by Picea and open agricultural land. A hamlet, situated next to the lake, was probably established during the 12th century, abandoned during the late medieval crisis (late 14th century) and re-colonized during the 16th century. High values of Cannabis-type pollen (up to 10% of the pollen sum) suggest that hemp retting was carried out in the lake from the 13th to the 17th centuries, while elevated levels of microscopic charcoal indicate that slash-and-burn cultivation was practiced during the early 14th and the 16th–18th centuries. The LRA-based estimates of vegetation show that the modern landscape, dominated by managed coniferous woodlands, is very different from the landscape only 50–100&amp;nbsp;years ago. This type of study is useful for comparisons with historical and archaeological records, and provides sufficient temporal and spatial resolution to identify short-lived abandonments and shifts in agricultural practices.","container-title":"Vegetation History and Archaeobotany 2019 28:5","DOI":"10.1007/S00334-019-00712-X","ISSN":"1617-6278","issue":"5","note":"publisher: Springer","page":"529-544","title":"Farm establishment, abandonment and agricultural practices during the last 1,300 years: a case study from southern Sweden based on pollen records and the LOVE model","URL":"https://link.springer.com/article/10.1007/s00334-019-00712-x","volume":"28","author":[{"family":"Fredh","given":"Erik Daniel"},{"family":"Lagerås","given":"Per"},{"family":"Mazier","given":"Florence"},{"family":"Björkman","given":"Leif"},{"family":"Lindbladh","given":"Matts"},{"family":"Broström","given":"Anna"}],"accessed":{"date-parts":[["2022",6,8]]},"issued":{"date-parts":[["2019",2,9]]}}},{"id":1850,"uris":["http://zotero.org/users/10290022/items/JN3C95ZQ"],"itemData":{"id":1850,"type":"article-journal","abstract":"The vegetation of Europe has undergone substantial changes during the course of the Holocene epoch, resulting from range expansion of plants following climate amelioration, competition between taxa and disturbance through anthropogenic activities. Much of the detail of this pattern is understood from decades of pollen analytical work across Europe, and this understanding has been used to address questions relating to vegetation-climate feedback, biogeography and human impact. Recent advances in modelling the relationship between pollen and vegetation now make it possible to transform pollen proportions into estimates of vegetation cover at both regional and local spatial scales, using the Landscape Reconstruction Algorithm (LRA), i.e. the REVEALS (Regional Estimates of VEgetation Abundance from Large Sites) and the LOVE (LOcal VEgetation) models. This paper presents the compilation and analysis of 73 pollen stratigraphies from the British Isles, to assess the application of the LRA and describe the pattern of landscape/woodland openness (i.e. the cover of low herb and bushy vegetation) through the Holocene. The results show that multiple small sites can be used as an effective replacement for a single large site for the reconstruction of regional vegetation cover. The REVEALS vegetation estimates imply that the British Isles had a greater degree of landscape/woodland openness at the regional scale than areas on the European mainland. There is considerable spatial bias in the British Isles dataset towards wetland areas and uplands, which may explain higher estimates of landscape openness compared with Europe. Where multiple estimates of regional vegetation are available from within the same region inter-regional differences are greater than intra-regional differences, supporting the use of the REVEALS model to the estimation of regional vegetation from pollen data. © 2013 Elsevier Ltd.","container-title":"Quaternary Science Reviews","DOI":"10.1016/j.quascirev.2013.05.014","ISSN":"02773791","note":"publisher: Elsevier Ltd","page":"132-148","title":"The Holocene vegetation cover of Britain and Ireland: Overcoming problems of scale and discerning patterns of openness","URL":"http://dx.doi.org/10.1016/j.quascirev.2013.05.014","volume":"73","author":[{"family":"Fyfe","given":"Ralph M."},{"family":"Twiddle","given":"Claire"},{"family":"Sugita","given":"Shinya"},{"family":"Gaillard","given":"Marie José"},{"family":"Barratt","given":"Philip"},{"family":"Caseldine","given":"Christopher J."},{"family":"Dodson","given":"John"},{"family":"Edwards","given":"Kevin J."},{"family":"Farrell","given":"Michelle"},{"family":"Froyd","given":"Cynthia"},{"family":"Grant","given":"Michael J."},{"family":"Huckerby","given":"Elizabeth"},{"family":"Innes","given":"James B."},{"family":"Shaw","given":"Helen"},{"family":"Waller","given":"Martyn"}],"issued":{"date-parts":[["2013"]]}}},{"id":2619,"uris":["http://zotero.org/users/10290022/items/HFYYQH9J"],"itemData":{"id":2619,"type":"article-journal","abstract":"The major objectives of this paper are: (1) to review the pros and cons of the scenarios of past anthropogenic land cover change (ALCC) developed during the last ten years, (2) to discuss issues related to pollen-based reconstruction of the past land-cover and introduce a new method, REVEALS (Regional Estimates of VEgetation Abundance from Large Sites), to infer long-term records of past land-cover from pollen data, (3) to present a new project (LANDCLIM: LAND cover - CLIMate interactions in NW Europe during the Holocene) currently underway, and show preliminary results of REVEALS reconstructions of the regional land-cover in the Czech Republic for five selected time windows of the Holocene, and (4) to discuss the implications and future directions in climate and vegetation/land-cover modeling, and in the assessment of the effects of human-induced changes in land-cover on the regional climate through altered feedbacks. The existing ALCC scenarios show large discrepancies between them, and few cover time periods older than AD 800. When these scenarios are used to assess the impact of human land-use on climate, contrasting results are obtained. It emphasizes the need for methods such as the REVEALS model-based land-cover reconstructions. They might help to fine-tune descriptions of past land-cover and lead to a better understanding of how long-term changes in ALCC might have influenced climate. The REVEALS model is demonstrated to provide better estimates of the regional vegetation/land-cover changes than the traditional use of pollen percentages. This will achieve a robust assessment of land cover at regional- to continental-spatial scale throughout the Holocene. We present maps of REVEALS estimates for the percentage cover of 10 plant functional types (PFTs) at 200 BP and 6000 BP, and of the two open-land PFTs 'grassland' and 'agricultural land' at five time-windows from 6000 BP to recent time. The LANDCLIM results are expected to provide crucial data to reassess ALCC estimates for a better understanding of the land suface-atmosphere interactions.","container-title":"Climate of the Past","DOI":"10.5194/cp-6-483-2010","ISSN":"18149324","issue":"4","note":"ISBN: 1814-9324","page":"483-499","title":"Holocene land-cover reconstructions for studies on land cover-climate feedbacks","URL":"https://halshs.archives-ouvertes.fr/halshs-00961642/","volume":"6","author":[{"family":"Gaillard","given":"Marie-José"},{"family":"Sugita","given":"Shinya"},{"family":"Mazier","given":"Florence"},{"family":"Trondman","given":"Anna-Kari"},{"family":"Brostrom","given":"Anna"},{"family":"Hickler","given":"Thomas"},{"family":"Kaplan","given":"J.O."},{"family":"Kjellström","given":"E."},{"family":"Kokfelt","given":"U."},{"family":"Kunes","given":"P."},{"family":"Lemmen","given":"C."},{"family":"Miller","given":"P."},{"family":"Olofsson","given":"J."},{"family":"Poska","given":"A."},{"family":"Rundgren","given":"M."},{"family":"Smith","given":"B."},{"family":"Strandberg","given":"G."},{"family":"Fyfe","given":"Ralph"},{"family":"Nielsen","given":"A.B. B."},{"family":"Alenius","given":"T."},{"family":"Balakauskas","given":"L."},{"family":"Barnekow","given":"L."},{"family":"Birks","given":"H.J.B."},{"family":"Bjune","given":"A."},{"family":"Bjorkman","given":"L."},{"family":"Giesecke","given":"Thomas"},{"family":"Hjelle","given":"K."},{"family":"Kalnina","given":"L."},{"family":"Kangur","given":"M."},{"family":"Knaap","given":"W.O Vand Der"},{"family":"Koff","given":"T."},{"family":"Lageras","given":"Per"},{"family":"Latalowa","given":"M."},{"family":"Leydet","given":"M."},{"family":"Lechterbeck","given":"J."},{"family":"Lindbladh","given":"M."},{"family":"Odgaard","given":"B."},{"family":"Peglar","given":"S."},{"family":"Segerstrom","given":"U."},{"family":"Stedingk","given":"Henirk Von"},{"family":"Seppä","given":"H."}],"accessed":{"date-parts":[["2018",5,28]]},"issued":{"date-parts":[["2010"]]}}},{"id":1808,"uris":["http://zotero.org/users/10290022/items/XAISESX5"],"itemData":{"id":1808,"type":"article-journal","abstract":"The Landscape Reconstruction Algorithm (LRA) with the two models REVEALS and LOVE is developed to transform pollen percentage data to vegetation cover. This paper presents the first study to evaluate LRA in a region with large topographic variations within a short distances. The REVEALS model estimates regional vegetation abundance based on pollen assemblages from large lakes (100-500 ha). Pollen surface samples from one large and 28 small lakes are used together with a combination of regionally derived pollen productivity estimates and available estimates from other regions of Europe. The results show a good relationship between REVEALS-estimated forest cover and vegetation abundance based on the CORINE land-cover data. The REVEALS results using various sets of pollen assemblages from small lakes were comparable to those using one large lake. Local vegetation abundance using the LOVE model was estimated around 26 lakes. For common taxa, such as Pinus and Poaceae, the LOVE-based estimates of plant abundance match well with the distance-weighted plant abundances based on vegetation maps. Our results indicate that the LRA approach is effective for reconstruction of long-term vegetation changes in western Norway and other regions with high topographic relief when no major gradients exist in the pollen data. Copyright (C) 2015 John Wiley &amp; Sons, Ltd.","container-title":"Journal of Quaternary Science","DOI":"10.1002/jqs.2769","ISSN":"10991417","issue":"4","note":"ISBN: 0267-8179","page":"312-324","title":"From pollen percentage to vegetation cover: Evaluation of the Landscape Reconstruction Algorithm in western Norway","volume":"30","author":[{"family":"Hjelle","given":"Kari Loe"},{"family":"Mehl","given":"Ingvild Kristine"},{"family":"Sugita","given":"Shinya"},{"family":"Andersen","given":"Gidske Leknæs"}],"issued":{"date-parts":[["2015"]]}},"label":"page"},{"id":2960,"uris":["http://zotero.org/users/10290022/items/8FCFWMQU"],"itemData":{"id":2960,"type":"article-journal","abstract":"The Hornsö–Allgunnen area in south-eastern Sweden has been known as a biodiversity hotspot for insects for about a century and is considered to host the most species-rich insect fauna in northern Europe. Several hypotheses for the causes behind this biodiversity have been put forward, but never tested for more than small parts of the area. We analyse here the possible role of the area’s vegetation-cover history, in particular vegetation openness. We use pollen data from three sites in the Hornsö–Allgunnen area and apply the recently developed Landscape Reconstruction Algorithm (LRA) for quantitative reconstruction of past vegetation abundance at the local spatial scale. The study suggests that the area was dominated by diverse, relatively open forest during at least the last 3,000 years. Several tree taxa, such as Pinus, Betula and Quercus that were all suggested to be important for the present diversity, have a long continuity at the local spatial scale and were common until recently. Small proportions of anthropogenic pollen indicators were found, suggesting small-scale agriculture, which however did not considerably affect the area’s overall tree species composition. We propose that fire was the main cause for the open character of the area’s wooded landscape during the Holocene and, indirectly, an important agent behind the high insect diversity. However, the richness of insects was (and is) most likely also favoured by the long continuity of Quercus, and by the warm and dry local climate. The LRA provides a more realistic estimate of the taxa composition as compared to pollen percentages alone, both for arboreal and non-arboreal taxa. The differences between pollen percentages and LRA-estimates of plant abundance can be important to consider when causes behind high modern diversity are interpreted from fossil pollen records. Our results demonstrate the benefits of using the LRA along with traditional pollen percentages.","container-title":"Vegetation History and Archaeobotany 2014 24:2","DOI":"10.1007/S00334-014-0469-8","ISSN":"1617-6278","issue":"2","note":"publisher: Springer","page":"253-266","title":"Reconstruction of past landscape openness using the Landscape Reconstruction Algorithm (LRA) applied on three local pollen sites in a southern Swedish biodiversity hotspot","URL":"https://link.springer.com/article/10.1007/s00334-014-0469-8","volume":"24","author":[{"family":"Hultberg","given":"Tove"},{"family":"Gaillard","given":"Marie-José"},{"family":"Grundmann","given":"Britt"},{"family":"Lindbladh","given":"Matts"}],"accessed":{"date-parts":[["2021",9,29]]},"issued":{"date-parts":[["2014",6,12]]}}},{"id":3127,"uris":["http://zotero.org/users/10290022/items/VIH7DMKD"],"itemData":{"id":3127,"type":"article-journal","container-title":"Quaternary Science Reviews","DOI":"10.1016/J.QUASCIREV.2020.106462","ISSN":"02773791","note":"publisher: Elsevier Ltd","title":"Reply to Theuerkauf and Couwenberg (2020) comment on: “Pollen-based reconstruction of Holocene land-cover in mountain regions: Evaluation of the Landscape Reconstruction Algorithm in the Vicdessos valley, northern Pyrenees, France”","volume":"244","author":[{"family":"Marquer","given":"Laurent"},{"family":"Mazier","given":"Florence"},{"family":"Sugita","given":"Shinya"},{"family":"Galop","given":"Didier"},{"family":"Houet","given":"Thomas"},{"family":"Faure","given":"Elodie"},{"family":"Gaillard","given":"Marie José"},{"family":"Haunold","given":"Sébastien"},{"family":"Munnik","given":"Nicolas","non-dropping-particle":"de"},{"family":"Simonneau","given":"Anaëlle"},{"family":"De Vleeschouwer","given":"François"},{"family":"Le Roux","given":"Gaël"}],"accessed":{"date-parts":[["2022",6,13]]},"issued":{"date-parts":[["2020",9,15]]}}},{"id":592,"uris":["http://zotero.org/users/10290022/items/RJMNS224"],"itemData":{"id":592,"type":"article-journal","container-title":"Vegetation History and Archaeobotany","DOI":"10.1007/s00334-015-0516-0","issue":"5","page":"555-570","title":"Two hundred years of land-use change in the South Swedish Uplands : comparison of historical map-based estimates with a pollen-based reconstruction using the landscape reconstruction algorithm","volume":"24","author":[{"family":"Mazier","given":"Florence"},{"family":"Brostrom","given":"Anna"},{"family":"Bragée","given":"Petra"},{"family":"Fredh","given":"Daniel"},{"family":"Stenberg","given":"Li"},{"family":"Thiere","given":"Géraldine"},{"family":"Sugita","given":"Shinya"},{"family":"Hammarlund","given":"Dan"}],"issued":{"date-parts":[["2015"]]}}},{"id":1909,"uris":["http://zotero.org/users/10290022/items/XG8I2IXC"],"itemData":{"id":1909,"type":"article-journal","abstract":"This paper explores the spatial and temporal land-cover variability within the main cultural landscape units in Denmark during the last 3,000 years. Quantitative estimates of the cover of trees, grasses, Cerealia and Calluna around nine Danish lakes were obtained using the recently developed Landscape Reconstruction Algorithm (LRA) (Sugita 2007a, b). The performance of the approach was evaluated by comparing reconstructed vegetation based on A.D. 1800 pollen spectra to land cover from historical maps of the same period. Although the model tended to overestimate grassland cover by 10-20%, the reconstructed vegetation was much more similar to the observed than the uncorrected pollen proportions. The LRA was then applied to 3,000 year long pollen records to reconstruct the vegetation development around each of the nine sites. The results support earlier conclusions regarding the relative stability of woodland, agrarian and heathland dominated landscapes in Denmark (Odgaard and Rasmussen 2000), with the distribution of the main landscape types determined by topography and soil characteristics. The present study indicates that the transition zones between agricultural and forest dominated landscapes were the most dynamic, acting as buffer zones where most of the expansions and contractions of agricultural activities took place. The quantitative vegetation reconstructions underline the importance of farming and espcially pastoral activities in shaping the Danish landscapes throughout the study period.","container-title":"Vegetation History and Archaeobotany","DOI":"10.1007/s00334-010-0249-z","ISSN":"09396314","issue":"4","note":"ISBN: 0939-6314","page":"375-387","title":"Quantitative landscape dynamics in Denmark through the last three millennia based on the Landscape Reconstruction Algorithm approach","volume":"19","author":[{"family":"Nielsen","given":"Anne Birgitte"},{"family":"Odgaard","given":"Bent Vad"}],"issued":{"date-parts":[["2010"]]}}},{"id":3227,"uris":["http://zotero.org/users/10290022/items/T4Q5CY5M"],"itemData":{"id":3227,"type":"article-journal","container-title":"Quaternary Science Reviews","DOI":"https://doi.org/10.1016/j.quascirev.2022.107753","page":"107753","title":"Spatial and temporal patterns of upland vegetation over the last 200 years in the northern pyrenees: Example from the Bassiès valley, Ariège, France","volume":"294","author":[{"family":"Plancher","given":"Clara"},{"family":"Galop","given":"Didier"},{"family":"Houet","given":"Thomas"},{"family":"Lerigoleur","given":"Emile"},{"family":"Marquer","given":"Laurent"},{"family":"Sugita","given":"Shinya"},{"family":"Mazier","given":"Florence"}],"issued":{"date-parts":[["2022"]]}}},{"id":2954,"uris":["http://zotero.org/users/10290022/items/DDS683IS"],"itemData":{"id":2954,"type":"article-journal","abstract":"Integration of palynological proxies with annual lamina counting, 14C, 210Pb, 137Cs and 241Am radiometric dating, historical documents and old cadastral maps enabled reconstruction of changes in the cultural landscape resulting from extensive forest clearance, arable farming and slash-and-burn practices in South Estonia over the last millennium. Changes in land-cover were quantitatively reconstructed using Landscape Reconstruction Algorithm (LRA) models. These reconstructions are in accordance with historical data from the last century, while reconstructions for the late 19th century time-slice exhibit a considerably more open landscape with a higher portion of cultivated land than that recorded on maps, and possible reasons for this discrepancy are discussed. Taxa represented in the pollen spectrum with values &lt;1% cannot be recommended in reconstructions, as standard deviations are usually larger than the mean cover estimates of the taxon in question. Pollen data and historical evidence suggest that the forest structure changed from fairly open wooded meadow type grazed forests during early periods to closed boreal forest communities typical of the area today. Maximum landscape openness was reached in the 1700s and 1800s, when almost all of the available land was cultivated or used for cattle rearing.Four different periods of landscape development have been differentiated: AD 1000 to 1600, semi-open (20-70%) landscape with increasing intensity of agriculture and openness; AD 1600 to 1870, open (&gt;. 70%) landscape resulting from extensive agrarian activities including slash-and-burn agriculture; AD 1870 to 1950, cultural landscape with variable openness (70-80%) and AD 1950 to 2000, modern overgrowing semi-open (&lt;. 70%) landscape. © 2014 Elsevier B.V.","container-title":"Review of Palaeobotany and Palynology","DOI":"10.1016/J.REVPALBO.2014.04.001","ISSN":"0034-6667","note":"publisher: Elsevier","page":"5-17","title":"The Verijärv area, South Estonia over the last millennium: A high resolution quantitative land-cover reconstruction based on pollen and historical data","volume":"207","author":[{"family":"Poska","given":"Anneli"},{"family":"Saarse","given":"Leili"},{"family":"Koppel","given":"Kalev"},{"family":"Nielsen","given":"Anne B."},{"family":"Avel","given":"Eve"},{"family":"Vassiljev","given":"Jüri"},{"family":"Väli","given":"Vivika"}],"accessed":{"date-parts":[["2021",9,29]]},"issued":{"date-parts":[["2014",8,1]]}}},{"id":2962,"uris":["http://zotero.org/users/10290022/items/77PYW7CG"],"itemData":{"id":2962,"type":"article-journal","abstract":"This study explores the use of upland resources on the Høg-Jæren Plateau (360 m asl) in southwestern Norway during the last 6500 years. Human activities and land-use variations were reconstructed using a compilation of data from pollen analysis of six sediment cores retrieved along an altitudinal transect belonging to the present day farm Aniksdal (approx. 31 km2), with archaeological finds and historical records. Vegetation modelling was also used to quantify land-cover at regional (REVEALS model) and local (LOVE model) scales. The combined records show that humans were active in the area during the last 6500 years, and they created increasingly more open land in the region (from 60 to 90% cover). Locally, the land-use in the uplands varied substantially, but with generally increased cover of heath- and/or grassland through time, accompanied by greater burning as indicated by the rise in microscopic charcoal. These vegetation changes suggest active clearance and probable management using fire throughout the period studied. Hunter-gatherers dominated the land-use in the early part of the record (c. 4500–2400 BCE). They possibly kept livestock sometime after 3950 BCE, though management favouring wild animals and certain plants is also a reasonable explanation for the increased open land during this period. After 2400 BCE, an agricultural society was established and grazing activities dominated the land-use at Høg-Jæren (c. 2400–500 BCE), followed by establishment of the infield/outfield system (c. 500 BCE–1000 CE), with permanent fields and settlements in the valley, and a mixed use of the uplands. Hay-production became increasingly important, and shielings were established in the uplands during the last 1000 years, probably used as bases for a combination of grazing, hay-production and dairy farming. The study shows the importance of combining data from several disciplines to provide a relatively detailed spatial and temporal reconstruction of human activity.","container-title":"Journal of Archaeological Science: Reports","DOI":"10.1016/J.JASREP.2020.102443","ISSN":"2352-409X","note":"publisher: Elsevier","page":"102443","title":"Land cover and exploitation of upland resources on the Høg-Jæren Plateau, southwestern Norway, over the last 6500 years","volume":"32","author":[{"family":"Prøsch-Danielsen","given":"Lisbeth"},{"family":"Prescott","given":"Christopher"},{"family":"Fredh","given":"Erik Daniel"}],"accessed":{"date-parts":[["2021",9,29]]},"issued":{"date-parts":[["2020",8,1]]}}},{"id":2403,"uris":["http://zotero.org/users/10290022/items/NLVDUIKU"],"itemData":{"id":2403,"type":"article-journal","abstract":"The Landscape Reconstruction Algorithm (LRA) overcomes some of the fundamental problems in pollen analysis for quantitative reconstruction of vegetation. LRA first uses the REVEALS model to estimate regional vegetation using pollen data from large sites and then the LOVE model to estimate vegetation composition within the relevant source area of pollen (RSAP) at small sites by subtracting the background pollen estimated from the regional vegetation composition. This study tests LRA using traini</w:instrText>
      </w:r>
      <w:r w:rsidR="000E0FBE" w:rsidRPr="00060700">
        <w:rPr>
          <w:rFonts w:cstheme="minorHAnsi"/>
        </w:rPr>
        <w:instrText xml:space="preserve">ng data from forest hollows in northern Michigan (35 sites) and northwestern Wisconsin (43 sites). In northern Michigan, surface pollen from 152-ha and 332-ha lakes is used for REVEALS. Because of the lack of pollen data from large lakes in northwestern Wisconsin, we use pollen from 21 hollows randomly selected from the 43 sites for REVEALS. RSAP indirectly estimated by LRA is comparable to the expected value in each region. A regression analysis and permutation test validate that the LRA-based vegetation reconstruction is significantly more accurate than pollen percentages alone in both regions. Even though the site selection in northwestern Wisconsin is not ideal, the results are robust. The LRA is a significant step forward in quantitative reconstruction of vegetation. © 2010 University of Washington.","container-title":"Quaternary Research","DOI":"10.1016/j.yqres.2010.07.008","ISSN":"00335894","issue":"2","note":"publisher: University of Washington\nISBN: 00335894","page":"289-300","title":"Testing the Landscape Reconstruction Algorithm for spatially explicit reconstruction of vegetation in northern Michigan and Wisconsin","URL":"http://dx.doi.org/10.1016/j.yqres.2010.07.008","volume":"74","author":[{"family":"Sugita","given":"Shinya"},{"family":"Parshall","given":"Tim"},{"family":"Calcote","given":"Randy"},{"family":"Walker","given":"Karen"}],"issued":{"date-parts":[["2010"]]}}}],"schema":"https://github.com/citation-style-language/schema/raw/master/csl-citation.json"} </w:instrText>
      </w:r>
      <w:r w:rsidR="006154BC" w:rsidRPr="00941F74">
        <w:rPr>
          <w:rFonts w:cstheme="minorHAnsi"/>
          <w:lang w:val="en-GB"/>
        </w:rPr>
        <w:fldChar w:fldCharType="separate"/>
      </w:r>
      <w:r w:rsidR="002C762A" w:rsidRPr="002C762A">
        <w:rPr>
          <w:rFonts w:ascii="Calibri" w:hAnsi="Calibri" w:cs="Calibri"/>
          <w:szCs w:val="24"/>
        </w:rPr>
        <w:t>(Cui et al., 2010, 2013, 2014; Fredh et al., 2019; Fyfe et al., 2013; Gaillard et al., 2010; Hjelle et al., 2015; Hultberg et al., 2014; Marquer</w:t>
      </w:r>
      <w:r w:rsidR="002C762A">
        <w:rPr>
          <w:rFonts w:ascii="Calibri" w:hAnsi="Calibri" w:cs="Calibri"/>
          <w:szCs w:val="24"/>
        </w:rPr>
        <w:t xml:space="preserve"> </w:t>
      </w:r>
      <w:r w:rsidR="002C762A" w:rsidRPr="002C762A">
        <w:rPr>
          <w:rFonts w:ascii="Calibri" w:hAnsi="Calibri" w:cs="Calibri"/>
          <w:szCs w:val="24"/>
        </w:rPr>
        <w:t>et al., 2020; Mazier et al., 2015; Nielsen &amp; Odgaard, 2010; Plancher et al., 2022; Poska et al., 2014; Prøsch-Danielsen et al., 2020; Sugita et al., 2010)</w:t>
      </w:r>
      <w:r w:rsidR="006154BC" w:rsidRPr="00941F74">
        <w:rPr>
          <w:rFonts w:cstheme="minorHAnsi"/>
          <w:lang w:val="en-GB"/>
        </w:rPr>
        <w:fldChar w:fldCharType="end"/>
      </w:r>
      <w:r w:rsidR="00620867" w:rsidRPr="00941F74">
        <w:rPr>
          <w:rFonts w:cstheme="minorHAnsi"/>
        </w:rPr>
        <w:t xml:space="preserve">. </w:t>
      </w:r>
      <w:r w:rsidR="00AC35B6" w:rsidRPr="00941F74">
        <w:rPr>
          <w:rFonts w:cstheme="minorHAnsi"/>
          <w:lang w:val="en-GB"/>
        </w:rPr>
        <w:t xml:space="preserve">Recently the REVEALS model was used to produce </w:t>
      </w:r>
      <w:r w:rsidR="0027145B">
        <w:rPr>
          <w:rFonts w:cstheme="minorHAnsi"/>
          <w:lang w:val="en-GB"/>
        </w:rPr>
        <w:t>grid</w:t>
      </w:r>
      <w:r w:rsidR="00AC35B6" w:rsidRPr="00941F74">
        <w:rPr>
          <w:rFonts w:cstheme="minorHAnsi"/>
          <w:lang w:val="en-GB"/>
        </w:rPr>
        <w:t xml:space="preserve">-based estimates of past plant cover at a spatial scale of </w:t>
      </w:r>
      <w:r w:rsidR="00AC35B6" w:rsidRPr="00941F74">
        <w:rPr>
          <w:lang w:val="en-US"/>
        </w:rPr>
        <w:t xml:space="preserve">1◦ × 1◦ (ca. 100 × 100 km) </w:t>
      </w:r>
      <w:r w:rsidR="00AC35B6" w:rsidRPr="00941F74">
        <w:rPr>
          <w:rFonts w:cstheme="minorHAnsi"/>
          <w:lang w:val="en-GB"/>
        </w:rPr>
        <w:t>in Europe</w:t>
      </w:r>
      <w:r w:rsidR="009F1F8D" w:rsidRPr="00941F74">
        <w:rPr>
          <w:rFonts w:cstheme="minorHAnsi"/>
          <w:lang w:val="en-GB"/>
        </w:rPr>
        <w:t xml:space="preserve"> </w:t>
      </w:r>
      <w:r w:rsidR="009F1F8D" w:rsidRPr="00941F74">
        <w:rPr>
          <w:rFonts w:cstheme="minorHAnsi"/>
          <w:lang w:val="en-GB"/>
        </w:rPr>
        <w:fldChar w:fldCharType="begin"/>
      </w:r>
      <w:r w:rsidR="003B1EC2">
        <w:rPr>
          <w:rFonts w:cstheme="minorHAnsi"/>
          <w:lang w:val="en-GB"/>
        </w:rPr>
        <w:instrText xml:space="preserve"> ADDIN ZOTERO_ITEM CSL_CITATION {"citationID":"vkDMkQ7n","properties":{"formattedCitation":"(Dawson et al., 2018; Githumbi et al., 2022; Trondman et al., 2015)","plainCitation":"(Dawson et al., 2018; Githumbi et al., 2022; Trondman et al., 2015)","noteIndex":0},"citationItems":[{"id":1757,"uris":["http://zotero.org/users/10290022/items/KPMAGHGD"],"itemData":{"id":1757,"type":"article-journal","container-title":"Nature Plants","DOI":"10.22498/pages.26.1.34","page":"17001","title":"Finding the magnitude of human- induced Northern Hemisphere land-cover transformation between 6 and 0 . 2 ka BP","volume":"3","author":[{"family":"Dawson","given":"Andria"},{"family":"Cao","given":"X."},{"family":"Chaput","given":"M."},{"family":"Hopla","given":"E."},{"family":"Li","given":"F."},{"family":"Edwards","given":"M."},{"family":"Fyfe","given":"R."},{"family":"Gajewski","given":"K."},{"family":"Goring","given":"S.J."},{"family":"Herzschuh","given":"U."},{"family":"Mazier","given":"Florence"},{"family":"Sugita","given":"Shinya"},{"family":"Williams","given":"J.W."},{"family":"Xu","given":"Q."},{"family":"Gaillard","given":"M.-J."}],"issued":{"date-parts":[["2018"]]}}},{"id":3092,"uris":["http://zotero.org/users/10290022/items/MB4P4H4D"],"itemData":{"id":3092,"type":"article-journal","abstract":"Quantitative reconstructions of past land cover are necessary to determine the processes involved in climate-human-land-cover interactions. We present the first temporally continuous and most spatially extensive pollen-based land-cover reconstruction for Europe over the Holocene (last 11 700 cal yr BP). We describe how vegetation cover has been quantified from pollen records at a 1 • × 1 • spatial scale using the \"Regional Estimates of VEgetation Abundance from Large Sites\" (REVEALS) model. REVEALS calculates estimates of past regional vegetation cover in proportions or percentages. REVEALS has been applied to 1128 pollen records across Europe and part of the eastern Mediterranean-Black Sea-Caspian corridor (30-75 • N, 25 • W-50 • E) to reconstruct the percentage cover of 31 plant taxa assigned to 12 plant functional types (PFTs) and 3 land-cover types (LCTs). A new synthesis of relative pollen productivities (RPPs) for European plant taxa was performed for this reconstruction. It includes multiple RPP values (≥ 2 values) for 39 taxa and single values for 15 taxa Published by Copernicus Publications. 1582 E. Githumbi et al.: European pollen-based REVEALS land-cover reconstructions for the Holocene (total of 54 taxa). To illustrate this, we present distribution maps for five taxa (Calluna vulgaris, Cerealia type (t)., Picea abies, deciduous Quercus t. and evergreen Quercus t.) and three land-cover types (open land, OL; evergreen trees, ETs; and summer-green trees, STs) for eight selected time windows. The reliability of the REVEALS reconstructions and issues related to the interpretation of the results in terms of landscape openness and human-induced vegetation change are discussed. This is followed by a review of the current use of this reconstruction and its future potential utility and development. REVEALS data quality are primarily determined by pollen count data (pollen count and sample, pollen identification, and chronology) and site type and number (lake or bog, large or small, one site vs. multiple sites) used for REVEALS analysis (for each grid cell). A large number of sites with high-quality pollen count data will produce more reliable land-cover estimates with lower standard errors compared to a low number of sites with lower-quality pollen count data. The REVEALS data presented here can be downloaded from https://doi.org/10.1594/PANGAEA.937075 (Fyfe et al., 2022).","container-title":"Earth Syst. Sci. Data","DOI":"10.5194/essd-14-1581-2022","page":"1581-1619","title":"European pollen-based REVEALS land-cover reconstructions for the Holocene: methodology, mapping and potentials","URL":"https://doi.org/10.5194/essd-14-1581-2022","volume":"14","author":[{"family":"Githumbi","given":"Esther"},{"family":"Fyfe","given":"Ralph"},{"family":"Gaillard","given":"Marie-Jose"},{"family":"Trondman","given":"Anna-Kari"},{"family":"Mazier","given":"Florence"},{"family":"Nielsen","given":"Anne-Birgitte"},{"family":"Poska","given":"Anneli"},{"family":"Sugita","given":"Shinya"},{"family":"Woodbridge","given":"Jessie"},{"family":"Azuara","given":"Julien"},{"family":"Feurdean","given":"Angelica"},{"family":"Grindean","given":"Roxana"},{"family":"Lebreton","given":"Vincent"},{"family":"Marquer","given":"Laurent"},{"family":"Nebout-Combourieu","given":"Nathalie"},{"family":"Stančikaitė","given":"Miglė"},{"family":"Tanţău","given":"Ioan"},{"family":"Tonkov","given":"Spassimir"},{"family":"Shumilovskikh","given":"Lyudmila"},{"family":"LandClimII Data contributors","given":""}],"accessed":{"date-parts":[["2022",6,8]]},"issued":{"date-parts":[["2022"]]}}},{"id":594,"uris":["http://zotero.org/users/10290022/items/DELSF49R"],"itemData":{"id":594,"type":"article-journal","DOI":"10.1111/gcb.12737","page":"676-697","title":"Pollen-based quantitative reconstructions of Holocene regional vegetation cover ( plant-functional types and land-cover types ) in Europe suitable for climate modelling","volume":"46","author":[{"family":"Trondman","given":"A"},{"family":"Gaillard","given":"M"},{"family":"Mazier","given":"Florence"},{"family":"Sugita","given":"Shinya"},{"family":"Fyfe","given":"R"}],"issued":{"date-parts":[["2015"]]}}}],"schema":"https://github.com/citation-style-language/schema/raw/master/csl-citation.json"} </w:instrText>
      </w:r>
      <w:r w:rsidR="009F1F8D" w:rsidRPr="00941F74">
        <w:rPr>
          <w:rFonts w:cstheme="minorHAnsi"/>
          <w:lang w:val="en-GB"/>
        </w:rPr>
        <w:fldChar w:fldCharType="separate"/>
      </w:r>
      <w:r w:rsidR="003B1EC2" w:rsidRPr="003B1EC2">
        <w:rPr>
          <w:rFonts w:ascii="Calibri" w:hAnsi="Calibri" w:cs="Calibri"/>
          <w:lang w:val="en-US"/>
        </w:rPr>
        <w:t>(Dawson et al., 2018; Githumbi et al., 2022; Trondman et al., 2015)</w:t>
      </w:r>
      <w:r w:rsidR="009F1F8D" w:rsidRPr="00941F74">
        <w:rPr>
          <w:rFonts w:cstheme="minorHAnsi"/>
          <w:lang w:val="en-GB"/>
        </w:rPr>
        <w:fldChar w:fldCharType="end"/>
      </w:r>
      <w:r w:rsidR="00AC35B6" w:rsidRPr="00941F74">
        <w:rPr>
          <w:rFonts w:cstheme="minorHAnsi"/>
          <w:lang w:val="en-GB"/>
        </w:rPr>
        <w:t xml:space="preserve">. </w:t>
      </w:r>
      <w:r w:rsidR="00A61EB2" w:rsidRPr="00941F74">
        <w:rPr>
          <w:rFonts w:cstheme="minorHAnsi"/>
          <w:lang w:val="en-GB"/>
        </w:rPr>
        <w:t xml:space="preserve">Using spatial statistical modelling, </w:t>
      </w:r>
      <w:r w:rsidR="0027145B">
        <w:rPr>
          <w:rFonts w:cstheme="minorHAnsi"/>
          <w:lang w:val="en-GB"/>
        </w:rPr>
        <w:t>the</w:t>
      </w:r>
      <w:r w:rsidR="0027145B" w:rsidRPr="00941F74">
        <w:rPr>
          <w:rFonts w:cstheme="minorHAnsi"/>
          <w:lang w:val="en-GB"/>
        </w:rPr>
        <w:t xml:space="preserve"> </w:t>
      </w:r>
      <w:r w:rsidR="00AC35B6" w:rsidRPr="00941F74">
        <w:rPr>
          <w:rFonts w:cstheme="minorHAnsi"/>
          <w:lang w:val="en-GB"/>
        </w:rPr>
        <w:t>reconstructions were</w:t>
      </w:r>
      <w:r w:rsidR="00617790" w:rsidRPr="00941F74">
        <w:rPr>
          <w:rFonts w:cstheme="minorHAnsi"/>
          <w:lang w:val="en-GB"/>
        </w:rPr>
        <w:t xml:space="preserve"> combined with auxiliary </w:t>
      </w:r>
      <w:r w:rsidR="00CD6883" w:rsidRPr="00941F74">
        <w:rPr>
          <w:rFonts w:cstheme="minorHAnsi"/>
          <w:lang w:val="en-GB"/>
        </w:rPr>
        <w:t>variables, including dynamic vegetation model output</w:t>
      </w:r>
      <w:r w:rsidR="009F1F8D" w:rsidRPr="00941F74">
        <w:rPr>
          <w:rFonts w:cstheme="minorHAnsi"/>
          <w:lang w:val="en-GB"/>
        </w:rPr>
        <w:t xml:space="preserve"> </w:t>
      </w:r>
      <w:r w:rsidR="00CD6883" w:rsidRPr="00941F74">
        <w:rPr>
          <w:rFonts w:cstheme="minorHAnsi"/>
          <w:lang w:val="en-GB"/>
        </w:rPr>
        <w:t xml:space="preserve">and/or </w:t>
      </w:r>
      <w:r w:rsidR="00617790" w:rsidRPr="00941F74">
        <w:rPr>
          <w:rFonts w:cstheme="minorHAnsi"/>
          <w:lang w:val="en-US"/>
        </w:rPr>
        <w:t>scenarios of past anthropogenic land-cover change (“standard” KK10 scenarios</w:t>
      </w:r>
      <w:r w:rsidR="00CD6883" w:rsidRPr="00941F74">
        <w:rPr>
          <w:rFonts w:cstheme="minorHAnsi"/>
          <w:lang w:val="en-GB"/>
        </w:rPr>
        <w:t>)</w:t>
      </w:r>
      <w:r w:rsidR="00CD6883" w:rsidRPr="00941F74">
        <w:rPr>
          <w:rFonts w:cstheme="minorHAnsi"/>
          <w:lang w:val="en-US"/>
        </w:rPr>
        <w:t>,</w:t>
      </w:r>
      <w:r w:rsidR="00AC35B6" w:rsidRPr="00941F74">
        <w:rPr>
          <w:rFonts w:cstheme="minorHAnsi"/>
          <w:lang w:val="en-GB"/>
        </w:rPr>
        <w:t xml:space="preserve"> </w:t>
      </w:r>
      <w:r w:rsidR="00617790" w:rsidRPr="00941F74">
        <w:rPr>
          <w:rFonts w:cstheme="minorHAnsi"/>
          <w:lang w:val="en-GB"/>
        </w:rPr>
        <w:t xml:space="preserve">to </w:t>
      </w:r>
      <w:r w:rsidR="00AC35B6" w:rsidRPr="00941F74">
        <w:rPr>
          <w:rFonts w:cstheme="minorHAnsi"/>
          <w:lang w:val="en-GB"/>
        </w:rPr>
        <w:t>create</w:t>
      </w:r>
      <w:r w:rsidR="00617790" w:rsidRPr="00941F74">
        <w:rPr>
          <w:rFonts w:cstheme="minorHAnsi"/>
          <w:lang w:val="en-GB"/>
        </w:rPr>
        <w:t xml:space="preserve"> spatially</w:t>
      </w:r>
      <w:r w:rsidR="00AC35B6" w:rsidRPr="00941F74">
        <w:rPr>
          <w:rFonts w:cstheme="minorHAnsi"/>
          <w:lang w:val="en-GB"/>
        </w:rPr>
        <w:t xml:space="preserve"> continuous land</w:t>
      </w:r>
      <w:r w:rsidR="00D97F37" w:rsidRPr="00941F74">
        <w:rPr>
          <w:rFonts w:cstheme="minorHAnsi"/>
          <w:lang w:val="en-GB"/>
        </w:rPr>
        <w:t>-</w:t>
      </w:r>
      <w:r w:rsidR="00AC35B6" w:rsidRPr="00941F74">
        <w:rPr>
          <w:rFonts w:cstheme="minorHAnsi"/>
          <w:lang w:val="en-GB"/>
        </w:rPr>
        <w:t>cover</w:t>
      </w:r>
      <w:r w:rsidR="006238B6" w:rsidRPr="00941F74">
        <w:rPr>
          <w:rFonts w:cstheme="minorHAnsi"/>
          <w:lang w:val="en-GB"/>
        </w:rPr>
        <w:t xml:space="preserve"> </w:t>
      </w:r>
      <w:r w:rsidR="006238B6" w:rsidRPr="00941F74">
        <w:rPr>
          <w:rFonts w:cstheme="minorHAnsi"/>
          <w:lang w:val="en-GB"/>
        </w:rPr>
        <w:fldChar w:fldCharType="begin"/>
      </w:r>
      <w:r w:rsidR="003B1EC2">
        <w:rPr>
          <w:rFonts w:cstheme="minorHAnsi"/>
          <w:lang w:val="en-GB"/>
        </w:rPr>
        <w:instrText xml:space="preserve"> ADDIN ZOTERO_ITEM CSL_CITATION {"citationID":"5iuRzoDf","properties":{"formattedCitation":"(Githumbi et al., 2022; Pirzamanbein et al., 2020, 2018, 2014)","plainCitation":"(Githumbi et al., 2022; Pirzamanbein et al., 2020, 2018, 2014)","noteIndex":0},"citationItems":[{"id":3092,"uris":["http://zotero.org/users/10290022/items/MB4P4H4D"],"itemData":{"id":3092,"type":"article-journal","abstract":"Quantitative reconstructions of past land cover are necessary to determine the processes involved in climate-human-land-cover interactions. We present the first temporally continuous and most spatially extensive pollen-based land-cover reconstruction for Europe over the Holocene (last 11 700 cal yr BP). We describe how vegetation cover has been quantified from pollen records at a 1 • × 1 • spatial scale using the \"Regional Estimates of VEgetation Abundance from Large Sites\" (REVEALS) model. REVEALS calculates estimates of past regional vegetation cover in proportions or percentages. REVEALS has been applied to 1128 pollen records across Europe and part of the eastern Mediterranean-Black Sea-Caspian corridor (30-75 • N, 25 • W-50 • E) to reconstruct the percentage cover of 31 plant taxa assigned to 12 plant functional types (PFTs) and 3 land-cover types (LCTs). A new synthesis of relative pollen productivities (RPPs) for European plant taxa was performed for this reconstruction. It includes multiple RPP values (≥ 2 values) for 39 taxa and single values for 15 taxa Published by Copernicus Publications. 1582 E. Githumbi et al.: European pollen-based REVEALS land-cover reconstructions for the Holocene (total of 54 taxa). To illustrate this, we present distribution maps for five taxa (Calluna vulgaris, Cerealia type (t)., Picea abies, deciduous Quercus t. and evergreen Quercus t.) and three land-cover types (open land, OL; evergreen trees, ETs; and summer-green trees, STs) for eight selected time windows. The reliability of the REVEALS reconstructions and issues related to the interpretation of the results in terms of landscape openness and human-induced vegetation change are discussed. This is followed by a review of the current use of this reconstruction and its future potential utility and development. REVEALS data quality are primarily determined by pollen count data (pollen count and sample, pollen identification, and chronology) and site type and number (lake or bog, large or small, one site vs. multiple sites) used for REVEALS analysis (for each grid cell). A large number of sites with high-quality pollen count data will produce more reliable land-cover estimates with lower standard errors compared to a low number of sites with lower-quality pollen count data. The REVEALS data presented here can be downloaded from https://doi.org/10.1594/PANGAEA.937075 (Fyfe et al., 2022).","container-title":"Earth Syst. Sci. Data","DOI":"10.5194/essd-14-1581-2022","page":"1581-1619","title":"European pollen-based REVEALS land-cover reconstructions for the Holocene: methodology, mapping and potentials","URL":"https://doi.org/10.5194/essd-14-1581-2022","volume":"14","author":[{"family":"Githumbi","given":"Esther"},{"family":"Fyfe","given":"Ralph"},{"family":"Gaillard","given":"Marie-Jose"},{"family":"Trondman","given":"Anna-Kari"},{"family":"Mazier","given":"Florence"},{"family":"Nielsen","given":"Anne-Birgitte"},{"family":"Poska","given":"Anneli"},{"family":"Sugita","given":"Shinya"},{"family":"Woodbridge","given":"Jessie"},{"family":"Azuara","given":"Julien"},{"family":"Feurdean","given":"Angelica"},{"family":"Grindean","given":"Roxana"},{"family":"Lebreton","given":"Vincent"},{"family":"Marquer","given":"Laurent"},{"family":"Nebout-Combourieu","given":"Nathalie"},{"family":"Stančikaitė","given":"Miglė"},{"family":"Tanţău","given":"Ioan"},{"family":"Tonkov","given":"Spassimir"},{"family":"Shumilovskikh","given":"Lyudmila"},{"family":"LandClimII Data contributors","given":""}],"accessed":{"date-parts":[["2022",6,8]]},"issued":{"date-parts":[["2022"]]}}},{"id":2575,"uris":["http://zotero.org/users/10290022/items/KJXHAPQI"],"itemData":{"id":2575,"type":"article-journal","abstract":"Reliable estimates of past land cover are critical for assessing potential effects of anthropogenic land-cover changes on past earth surface-climate feedbacks and landscape complexity. Fossil pollen records from lakes and bogs have provided important information on past natural and human-induced vegetation cover. However, those records provide only point estimates of past land cover, and not the spatially continuous maps at regional and sub-continental scales needed for climate modelling.We propose a set of statistical models that create spatially continuous maps of past land cover by combining two data sets: 1) pollen-based point estimates of past land cover (from the REVEALS model) and 2) spatially continuous estimates of past land cover, obtained by combining simulated potential vegetation (from LPJ-GUESS) with an anthropogenic land-cover change scenario (KK10). The proposed models rely on statistical methodology for compositional data and use Gaussian Markov Random Fields to model spatial dependencies in the data.Land-cover reconstructions are presented for three time windows in Europe: 0.05, 0.2, and 6. ka years before present (BP). The models are evaluated through cross-validation, deviance information criteria and by comparing the reconstruction of the 0.05. ka time window to the present-day land-cover data compiled by the European Forest Institute (EFI). For 0.05. ka, the proposed models provide reconstructions that are closer to the EFI data than either the REVEALS- or LPJ-GUESS/KK10-based estimates; thus the statistical combination of the two estimates improves the reconstruction. The reconstruction by the proposed models for 0.2. ka is also good. For 6. ka, however, the large differences between the REVEALS- and LPJ-GUESS/KK10-based estimates reduce the reliability of the proposed models. Possible reasons for the increased differences between REVEALS and LPJ-GUESS/KK10 for older time periods and further improvement of the proposed models are discussed.","container-title":"Ecological Complexity","DOI":"10.1016/j.ecocom.2014.09.005","ISSN":"1476945X","note":"ISBN: 1476-945x","page":"127-141","title":"Creating spatially continuous maps of past land cover from point estimates: A new statistical approach applied to pollen data","volume":"20","author":[{"family":"Pirzamanbein","given":"Behnaz"},{"family":"Lindström","given":"Johan"},{"family":"Poska","given":"Anneli"},{"family":"Sugita","given":"Shinya"},{"family":"Trondman","given":"Anna-Kari"},{"family":"Fyfe","given":"Ralph"},{"family":"Mazier","given":"Florence"},{"family":"Nielsen","given":"Anne B."},{"family":"Kaplan","given":"Jed O."},{"family":"Bjune","given":"Anne E."},{"family":"Birks","given":"H. John B."},{"family":"Giesecke","given":"Thomas"},{"family":"Kangur","given":"Mikhel"},{"family":"Latałowa","given":"Małgorzata"},{"family":"Marquer","given":"Laurent"},{"family":"Smith","given":"Benjamin"},{"family":"Gaillard","given":"Marie José"}],"issued":{"date-parts":[["2014"]]}}},{"id":2340,"uris":["http://zotero.org/users/10290022/items/QRIFJWAA"],"itemData":{"id":2340,"type":"article-journal","abstract":"In this paper we construct a hierarchical model for spatial compositional data which is used to reconstruct past land-cover compositions (in terms of coniferous forest, broadleaved forest, and unforested/open land) for five time periods during the past 6000 years over Europe. The model consists of a Gaussian Markov Random Field (GMRF) with Dirichlet observations. A block updated Markov chain Monte Carlo (MCMC), including an adaptive Metropolis adjusted Langevin step, is used to estimate model parameters. The sparse precision matrix in the GMRF provides computational advantages leading to a fast MCMC algorithm. Reconstructions are obtained by combining pollen-based estimates of vegetation cover at a limited number of locations with scenarios of past deforestation and output from a dynamic vegetation model. To evaluate uncertainties in the predictions a novel way of constructing joint confidence regions for the entire composition at each prediction location is proposed. The hierarchical model's ability to reconstruct past land cover is evaluated through cross validation for all time periods, and by comparing reconstructions for the recent past to a present day European forest map. The evaluation results are promising, and the model is able to capture known structures in past land-cover compositions.","container-title":"Spatial Statistics","DOI":"10.1016/j.spasta.2018.03.005","ISSN":"22116753","note":"arXiv: 1511.06417\npublisher: Elsevier B.V.","page":"14-31","title":"Modelling Spatial Compositional Data: Reconstructions of past land cover and uncertainties","URL":"https://doi.org/10.1016/j.spasta.2018.03.005","volume":"24","author":[{"family":"Pirzamanbein","given":"Behnaz"},{"family":"Lindström","given":"Johan"},{"family":"Poska","given":"Anneli"},{"family":"Gaillard","given":"Marie José"}],"issued":{"date-parts":[["2018"]]}}},{"id":3236,"uris":["http://zotero.org/users/10290022/items/XD7SS7JC"],"itemData":{"id":3236,"type":"article-journal","container-title":"Earth and Space Science","DOI":"https://doi.org/10.1029/2018EA000547","issue":"1","page":"1-13","title":"Bayesian Reconstruction of Past Land Cover From Pollen Data: Model Robustness and Sensitivity to Auxiliary Variables","volume":"7","author":[{"family":"Pirzamanbein","given":"Behnaz"},{"family":"Poska","given":"Anneli"},{"family":"Lindström","given":"Johan"}],"issued":{"date-parts":[["2020"]]}}}],"schema":"https://github.com/citation-style-language/schema/raw/master/csl-citation.json"} </w:instrText>
      </w:r>
      <w:r w:rsidR="006238B6" w:rsidRPr="00941F74">
        <w:rPr>
          <w:rFonts w:cstheme="minorHAnsi"/>
          <w:lang w:val="en-GB"/>
        </w:rPr>
        <w:fldChar w:fldCharType="separate"/>
      </w:r>
      <w:r w:rsidR="003B1EC2" w:rsidRPr="003B1EC2">
        <w:rPr>
          <w:rFonts w:ascii="Calibri" w:hAnsi="Calibri" w:cs="Calibri"/>
          <w:lang w:val="en-US"/>
        </w:rPr>
        <w:t>(Githumbi et al., 2022; Pirzamanbein et al., 2020, 2018, 2014)</w:t>
      </w:r>
      <w:r w:rsidR="006238B6" w:rsidRPr="00941F74">
        <w:rPr>
          <w:rFonts w:cstheme="minorHAnsi"/>
          <w:lang w:val="en-GB"/>
        </w:rPr>
        <w:fldChar w:fldCharType="end"/>
      </w:r>
      <w:r w:rsidR="00AC35B6" w:rsidRPr="00941F74">
        <w:rPr>
          <w:rFonts w:cstheme="minorHAnsi"/>
          <w:lang w:val="en-GB"/>
        </w:rPr>
        <w:t xml:space="preserve">. </w:t>
      </w:r>
      <w:r w:rsidR="00D04F7A" w:rsidRPr="00941F74">
        <w:rPr>
          <w:rFonts w:cstheme="minorHAnsi"/>
          <w:lang w:val="en-GB"/>
        </w:rPr>
        <w:t xml:space="preserve">LOVE-based land-cover estimates from multiple sites have been used for mapping land-cover variation within a regional context using interpolation techniques between distant RSAPs </w:t>
      </w:r>
      <w:r w:rsidR="006238B6" w:rsidRPr="00941F74">
        <w:rPr>
          <w:rFonts w:cstheme="minorHAnsi"/>
          <w:lang w:val="en-GB"/>
        </w:rPr>
        <w:fldChar w:fldCharType="begin"/>
      </w:r>
      <w:r w:rsidR="000E0FBE">
        <w:rPr>
          <w:rFonts w:cstheme="minorHAnsi"/>
          <w:lang w:val="en-GB"/>
        </w:rPr>
        <w:instrText xml:space="preserve"> ADDIN ZOTERO_ITEM CSL_CITATION {"citationID":"pmE48Szq","properties":{"formattedCitation":"(O\\uc0\\u8217{}dwyer et al., 2021)","plainCitation":"(O’dwyer et al., 2021)","dontUpdate":true,"noteIndex":0},"citationItems":[{"id":3168,"uris":["http://zotero.org/users/10290022/items/GIY2ERFP"],"itemData":{"id":3168,"type":"article-journal","abstract":"Climate change and human activities influence the development of ecosystems, with human demand of ecosystem services altering both land use and land cover. Fossil pollen records provide time series of vegetation characteristics, and the aim of this study was to create spatially continuous reconstructions of land cover through the Holocene in southern Sweden. The Landscape Reconstruction Algorithm (LRA) was applied to obtain quantitative reconstructions of pollen-based vegetation cover at local scales, accounting for pollen production, dispersal , and deposition mechanisms. Pollen-based local vegetation estimates were produced from 41 fossil pollen records available for the region. A comparison of 17 interpolation methods was made and evaluated by comparing with current land cover. Simple kriging with cokriging using elevation was selected to interpolate the local characteristics of past land cover, to generate more detailed reconstructions of trends and degree of variability in time and space than previous studies based on pollen data representing the regional scale. Since the Mesolithic, two main processes have acted to reshape the land cover of southern Sweden, originally mostly covered by broad-leaved forests. The natural distribution limit of coniferous forest has moved southward during periods with colder climate and retracted northward during warmer periods, and human expansion in the area and agrotechnological developments has led to a gradually more open landscape, reaching maximum openness at the beginning of the 20th century. The recent intensification of agriculture has led to abandonment of less fertile agricultural fields and afforestation with conifer forest.","container-title":"Ecosystems","DOI":"10.1007/s10021-020-00594-5","page":"1450-1467","title":"Spatially Continuous Land-Cover Reconstructions Through the Holocene in Southern Sweden","URL":"https://doi.org/10.1007/s10021-020-00594-5","volume":"24","author":[{"family":"O'Dwyer","given":"Robert"},{"family":"Marquer","given":"Laurent"},{"family":"Trondman","given":"Anna-Kari"},{"family":"Jönsson","given":"Anna Maria"}],"issued":{"date-parts":[["2021"]]}}}],"schema":"https://github.com/citation-style-language/schema/raw/master/csl-citation.json"} </w:instrText>
      </w:r>
      <w:r w:rsidR="006238B6" w:rsidRPr="00941F74">
        <w:rPr>
          <w:rFonts w:cstheme="minorHAnsi"/>
          <w:lang w:val="en-GB"/>
        </w:rPr>
        <w:fldChar w:fldCharType="separate"/>
      </w:r>
      <w:r w:rsidR="006238B6" w:rsidRPr="00941F74">
        <w:rPr>
          <w:rFonts w:ascii="Calibri" w:hAnsi="Calibri" w:cs="Calibri"/>
          <w:szCs w:val="24"/>
          <w:lang w:val="en-US"/>
        </w:rPr>
        <w:t>(O’</w:t>
      </w:r>
      <w:r w:rsidR="0027145B">
        <w:rPr>
          <w:rFonts w:ascii="Calibri" w:hAnsi="Calibri" w:cs="Calibri"/>
          <w:szCs w:val="24"/>
          <w:lang w:val="en-US"/>
        </w:rPr>
        <w:t>D</w:t>
      </w:r>
      <w:r w:rsidR="006238B6" w:rsidRPr="00941F74">
        <w:rPr>
          <w:rFonts w:ascii="Calibri" w:hAnsi="Calibri" w:cs="Calibri"/>
          <w:szCs w:val="24"/>
          <w:lang w:val="en-US"/>
        </w:rPr>
        <w:t>wyer et al., 2021)</w:t>
      </w:r>
      <w:r w:rsidR="006238B6" w:rsidRPr="00941F74">
        <w:rPr>
          <w:rFonts w:cstheme="minorHAnsi"/>
          <w:lang w:val="en-GB"/>
        </w:rPr>
        <w:fldChar w:fldCharType="end"/>
      </w:r>
      <w:r w:rsidR="00D04F7A" w:rsidRPr="00941F74">
        <w:rPr>
          <w:rFonts w:cstheme="minorHAnsi"/>
          <w:lang w:val="en-GB"/>
        </w:rPr>
        <w:t>. At a finer spatial scale, LOVE estimates from multiple sites have been used indirectly, by comparing them with pollen data from landscape simulations, to propose likely landscape patterns via the multiple scenario approach</w:t>
      </w:r>
      <w:r w:rsidR="00941F74" w:rsidRPr="00941F74">
        <w:rPr>
          <w:rFonts w:cstheme="minorHAnsi"/>
          <w:lang w:val="en-GB"/>
        </w:rPr>
        <w:t xml:space="preserve"> </w:t>
      </w:r>
      <w:r w:rsidR="006238B6" w:rsidRPr="00941F74">
        <w:rPr>
          <w:rFonts w:cstheme="minorHAnsi"/>
          <w:lang w:val="en-GB"/>
        </w:rPr>
        <w:fldChar w:fldCharType="begin"/>
      </w:r>
      <w:r w:rsidR="000E0FBE">
        <w:rPr>
          <w:rFonts w:cstheme="minorHAnsi"/>
          <w:lang w:val="en-GB"/>
        </w:rPr>
        <w:instrText xml:space="preserve"> ADDIN ZOTERO_ITEM CSL_CITATION {"citationID":"CWdCobo4","properties":{"formattedCitation":"(Bunting et al., 2018)","plainCitation":"(Bunting et al., 2018)","dontUpdate":true,"noteIndex":0},"citationItems":[{"id":2700,"uris":["http://zotero.org/users/10290022/items/7NQWXWUM"],"itemData":{"id":2700,"type":"article-journal","abstract":"Pollen records contain a wide range of information about past land cover, but translation from the pollen diagram to other formats remains a challenge. In this paper, we present LandPolFlow, a software package enabling Multiple Scenario Approach (MSA) based land cover reconstruction from pollen records for specific landscapes. It has two components: a basic Geographic Information System which takes grids of landscape constraints (e.g. topography, geology) and generates possible ‘scenarios’ of past land cover using a combination of probabilistic and deterministic placement rules to distribute defined plant communities within the landscape, and a pollen dispersal and deposition model which simulates pollen loading at specified points within each scenario and compares that statistically with actual pollen assemblages from the same location. Goodness of fit statistics from multiple pollen site locations are used to identify which scenarios are likely reconstructions of past land cover. We apply this approach to two case studies of Neolithisation in Britain, the first from the Somerset Levels and the second from Mainland, Orkney. Both landscapes contain significant evidence of Neolithic activity, but present contrasting contexts. In Somerset, wet-preserved Neolithic remains such as trackways are abundant, but little dry land settlement archaeology is known, and the pre-Neolithic landscape was extensively wooded. In Orkney, the Neolithic archaeology includes domestic and monumental stone-built structures forming a UNESCO World Heritage Site, and the pre-Neolithic landscape was largely treeless. Existing pollen records were collated from both landscapes and correlated within a new age model framework (presented elsewhere). This allowed pollen data to be grouped into 200 year periods, or “timeslices”, for reconstruction of land cover through time using the MSA. Reconstruction suggests that subtle but clear and persistent impacts of Neolithisation on land cover occurred in both landscapes, with no reduction in impact during periods when archaeological records suggest lower activity levels. By applying the methodology to specific landscapes, we critically evaluate the strengths and weaknesses and identify potential remedies, which we then expand into consideration of how simulation can be incorporated into palynological research practice. We argue that the MSA deserves a place within the palynologist’s standard tool kit.","container-title":"Frontiers in Ecology and Evolution","DOI":"10.3389/fevo.2018.00036","ISSN":"2296-701X","issue":"April","page":"1-20","title":"Maps From Mud — Using the Multiple Scenario Approach to Reconstruct Land Cover Dynamics From Pollen Records : A Case Study of Two Neolithic Landscapes","URL":"http://journal.frontiersin.org/article/10.3389/fevo.2018.00036/full","volume":"6","author":[{"family":"Bunting","given":"M. Jane"},{"family":"Farrell","given":"Michelle"},{"family":"Bayliss","given":"Alex"},{"family":"Marshall","given":"Peter"},{"family":"Whittle","given":"Alasdair"}],"issued":{"date-parts":[["2018"]]}}}],"schema":"https://github.com/citation-style-language/schema/raw/master/csl-citation.json"} </w:instrText>
      </w:r>
      <w:r w:rsidR="006238B6" w:rsidRPr="00941F74">
        <w:rPr>
          <w:rFonts w:cstheme="minorHAnsi"/>
          <w:lang w:val="en-GB"/>
        </w:rPr>
        <w:fldChar w:fldCharType="separate"/>
      </w:r>
      <w:r w:rsidR="006238B6" w:rsidRPr="00941F74">
        <w:rPr>
          <w:rFonts w:ascii="Calibri" w:hAnsi="Calibri" w:cs="Calibri"/>
          <w:lang w:val="en-US"/>
        </w:rPr>
        <w:t>(MSA, Bunting et al., 2018)</w:t>
      </w:r>
      <w:r w:rsidR="006238B6" w:rsidRPr="00941F74">
        <w:rPr>
          <w:rFonts w:cstheme="minorHAnsi"/>
          <w:lang w:val="en-GB"/>
        </w:rPr>
        <w:fldChar w:fldCharType="end"/>
      </w:r>
      <w:r w:rsidR="00D04F7A" w:rsidRPr="00941F74">
        <w:rPr>
          <w:rFonts w:cstheme="minorHAnsi"/>
          <w:lang w:val="en-GB"/>
        </w:rPr>
        <w:t xml:space="preserve">. </w:t>
      </w:r>
      <w:r w:rsidR="00920D72" w:rsidRPr="00941F74">
        <w:rPr>
          <w:rFonts w:cstheme="minorHAnsi"/>
          <w:lang w:val="en-GB"/>
        </w:rPr>
        <w:t xml:space="preserve">Although </w:t>
      </w:r>
      <w:r w:rsidR="00CE5CD8" w:rsidRPr="00941F74">
        <w:rPr>
          <w:rFonts w:cstheme="minorHAnsi"/>
          <w:lang w:val="en-GB"/>
        </w:rPr>
        <w:t>they</w:t>
      </w:r>
      <w:r w:rsidR="00920D72" w:rsidRPr="00941F74">
        <w:rPr>
          <w:rFonts w:cstheme="minorHAnsi"/>
          <w:lang w:val="en-GB"/>
        </w:rPr>
        <w:t xml:space="preserve"> cannot inform on the spatial pattern of reconstructed taxa within the RSAP, </w:t>
      </w:r>
      <w:r w:rsidR="00CE5CD8" w:rsidRPr="00941F74">
        <w:rPr>
          <w:rFonts w:cstheme="minorHAnsi"/>
          <w:lang w:val="en-GB"/>
        </w:rPr>
        <w:t xml:space="preserve">LRA estimates </w:t>
      </w:r>
      <w:r w:rsidR="00AC35B6" w:rsidRPr="00941F74">
        <w:rPr>
          <w:rFonts w:cstheme="minorHAnsi"/>
          <w:lang w:val="en-GB"/>
        </w:rPr>
        <w:t xml:space="preserve">have been shown to </w:t>
      </w:r>
      <w:r w:rsidR="00920D72" w:rsidRPr="00941F74">
        <w:rPr>
          <w:rFonts w:cstheme="minorHAnsi"/>
          <w:lang w:val="en-GB"/>
        </w:rPr>
        <w:t>perform better than</w:t>
      </w:r>
      <w:r w:rsidR="00CE5CD8" w:rsidRPr="00941F74">
        <w:rPr>
          <w:rFonts w:cstheme="minorHAnsi"/>
          <w:lang w:val="en-GB"/>
        </w:rPr>
        <w:t xml:space="preserve"> raw</w:t>
      </w:r>
      <w:r w:rsidR="00920D72" w:rsidRPr="00941F74">
        <w:rPr>
          <w:rFonts w:cstheme="minorHAnsi"/>
          <w:lang w:val="en-GB"/>
        </w:rPr>
        <w:t xml:space="preserve"> pollen data</w:t>
      </w:r>
      <w:r w:rsidR="00AC35B6" w:rsidRPr="00941F74">
        <w:rPr>
          <w:rFonts w:cstheme="minorHAnsi"/>
          <w:lang w:val="en-GB"/>
        </w:rPr>
        <w:t xml:space="preserve"> </w:t>
      </w:r>
      <w:r w:rsidR="00920D72" w:rsidRPr="00941F74">
        <w:rPr>
          <w:rFonts w:cstheme="minorHAnsi"/>
          <w:lang w:val="en-GB"/>
        </w:rPr>
        <w:t>at reconstructing local land-cover variability from neighbouring</w:t>
      </w:r>
      <w:r w:rsidR="00412C8B" w:rsidRPr="00941F74">
        <w:rPr>
          <w:rFonts w:cstheme="minorHAnsi"/>
          <w:lang w:val="en-GB"/>
        </w:rPr>
        <w:t xml:space="preserve"> </w:t>
      </w:r>
      <w:r w:rsidR="00920D72" w:rsidRPr="00941F74">
        <w:rPr>
          <w:rFonts w:cstheme="minorHAnsi"/>
          <w:lang w:val="en-GB"/>
        </w:rPr>
        <w:t xml:space="preserve">sites </w:t>
      </w:r>
      <w:r w:rsidR="006238B6" w:rsidRPr="00941F74">
        <w:rPr>
          <w:rFonts w:cstheme="minorHAnsi"/>
          <w:lang w:val="en-GB"/>
        </w:rPr>
        <w:fldChar w:fldCharType="begin"/>
      </w:r>
      <w:r w:rsidR="003B1EC2">
        <w:rPr>
          <w:rFonts w:cstheme="minorHAnsi"/>
          <w:lang w:val="en-GB"/>
        </w:rPr>
        <w:instrText xml:space="preserve"> ADDIN ZOTERO_ITEM CSL_CITATION {"citationID":"PdVmiT7C","properties":{"formattedCitation":"(Overballe-Petersen et al., 2013; Plancher et al., 2022)","plainCitation":"(Overballe-Petersen et al., 2013; Plancher et al., 2022)","noteIndex":0},"citationItems":[{"id":2026,"uris":["http://zotero.org/users/10290022/items/5KX7ZYHT"],"itemData":{"id":2026,"type":"article-journal","abstract":"Questions Can the model performance of the landscape reconstruction algorithm (LRA) for small forest hollows be validated through comparison to inventory-based vegetation reconstructions from the last 150 yrs? Does the application of LRA and the comparison to historical data enhance interpretation of the pollen record? Location Denmark. The Gribskov-Ostrup small forest hollow (56°N, 12°20′ E, 44 m a.s.l.) in the forest of Gribskov, eastern Denmark. Methods Pollen analysis was carried out on a small forest hollow, and LRA used to derive pollen-based quantitative estimates of past vegetation. Historical forest inventory data and maps were used to reconstruct the vegetation within three different circles around the hollow (20, 50 and 200 m ring widths) for five time periods during the last 150 yrs. The results of the two approaches were compared in order to evaluate model performance, and the LRA-based reconstruction used to describe how the model changes interpretation of vegetation development during the last ca. 6500 yrs compared to the use of pollen percentages alone. Results Distance-weighted inventory-based reconstructions within 200 m of the hollow's edge provide the best match with the LRA-modelled vegetation. Precise validation of the model is not possible due to insufficient historical data, but the comparison indicates that the LRA reconstruction for Gribskov tends to (1) underestimate tree cover and overestimate open areas, (2) give a too high representation of on-site pollen types, (3) give an underestimation of Fagus and (4) a small overestimation of Quercus and Corylus. Despite these uncertainties, application of the LRA model shows a higher degree of openness than would be apparent from the uncorrected pollen diagram, and makes it possible to attempt to distinguish changes at the local scale from regional vegetation changes, thus giving a clearer picture of the vegetation changes at the site. Conclusions We demonstrate that the estimates of the LRA model applied to pollen data from small forest hollows can be compared with small-scale historical data to evaluate model performance.","container-title":"Journal of Vegetation Science","DOI":"10.1111/jvs.12007","ISSN":"11009233","title":"Quantitative vegetation reconstruction from pollen analysis and historical inventory data around a Danish small forest hollow","author":[{"family":"Overballe-Petersen","given":"Mette Venås"},{"family":"Nielsen","given":"Anne Birgitte"},{"family":"Bradshaw","given":"Richard H.W."}],"issued":{"date-parts":[["2013"]]}}},{"id":3227,"uris":["http://zotero.org/users/10290022/items/T4Q5CY5M"],"itemData":{"id":3227,"type":"article-journal","container-title":"Quaternary Science Reviews","DOI":"https://doi.org/10.1016/j.quascirev.2022.107753","page":"107753","title":"Spatial and temporal patterns of upland vegetation over the last 200 years in the northern pyrenees: Example from the Bassiès valley, Ariège, France","volume":"294","author":[{"family":"Plancher","given":"Clara"},{"family":"Galop","given":"Didier"},{"family":"Houet","given":"Thomas"},{"family":"Lerigoleur","given":"Emile"},{"family":"Marquer","given":"Laurent"},{"family":"Sugita","given":"Shinya"},{"family":"Mazier","given":"Florence"}],"issued":{"date-parts":[["2022"]]}}}],"schema":"https://github.com/citation-style-language/schema/raw/master/csl-citation.json"} </w:instrText>
      </w:r>
      <w:r w:rsidR="006238B6" w:rsidRPr="00941F74">
        <w:rPr>
          <w:rFonts w:cstheme="minorHAnsi"/>
          <w:lang w:val="en-GB"/>
        </w:rPr>
        <w:fldChar w:fldCharType="separate"/>
      </w:r>
      <w:r w:rsidR="003B1EC2" w:rsidRPr="003B1EC2">
        <w:rPr>
          <w:rFonts w:ascii="Calibri" w:hAnsi="Calibri" w:cs="Calibri"/>
          <w:lang w:val="en-US"/>
        </w:rPr>
        <w:t>(Overballe-Petersen et al., 2013; Plancher et al., 2022)</w:t>
      </w:r>
      <w:r w:rsidR="006238B6" w:rsidRPr="00941F74">
        <w:rPr>
          <w:rFonts w:cstheme="minorHAnsi"/>
          <w:lang w:val="en-GB"/>
        </w:rPr>
        <w:fldChar w:fldCharType="end"/>
      </w:r>
      <w:r w:rsidR="00920D72" w:rsidRPr="00941F74">
        <w:rPr>
          <w:rFonts w:cstheme="minorHAnsi"/>
          <w:lang w:val="en-GB"/>
        </w:rPr>
        <w:t xml:space="preserve">. </w:t>
      </w:r>
      <w:r w:rsidR="00CE5CD8" w:rsidRPr="00941F74">
        <w:rPr>
          <w:rFonts w:cstheme="minorHAnsi"/>
          <w:lang w:val="en-GB"/>
        </w:rPr>
        <w:t xml:space="preserve">However, LOVE estimates remain largely underused for fine scale landscape reconstruction. </w:t>
      </w:r>
      <w:r w:rsidR="001579CC" w:rsidRPr="00941F74">
        <w:rPr>
          <w:rFonts w:cstheme="minorHAnsi"/>
          <w:lang w:val="en-GB"/>
        </w:rPr>
        <w:t>To our knowledge, n</w:t>
      </w:r>
      <w:r w:rsidR="00CD7378" w:rsidRPr="00941F74">
        <w:rPr>
          <w:rFonts w:cstheme="minorHAnsi"/>
          <w:lang w:val="en-GB"/>
        </w:rPr>
        <w:t>o</w:t>
      </w:r>
      <w:r w:rsidR="00AC35B6" w:rsidRPr="00941F74">
        <w:rPr>
          <w:rFonts w:cstheme="minorHAnsi"/>
          <w:lang w:val="en-GB"/>
        </w:rPr>
        <w:t xml:space="preserve">ne of the studies working at mapping past </w:t>
      </w:r>
      <w:r w:rsidR="00CD7378" w:rsidRPr="00941F74">
        <w:rPr>
          <w:rFonts w:cstheme="minorHAnsi"/>
          <w:lang w:val="en-GB"/>
        </w:rPr>
        <w:t>landscape</w:t>
      </w:r>
      <w:r w:rsidR="00AC35B6" w:rsidRPr="00941F74">
        <w:rPr>
          <w:rFonts w:cstheme="minorHAnsi"/>
          <w:lang w:val="en-GB"/>
        </w:rPr>
        <w:t>s</w:t>
      </w:r>
      <w:r w:rsidR="00CD7378" w:rsidRPr="00941F74">
        <w:rPr>
          <w:rFonts w:cstheme="minorHAnsi"/>
          <w:lang w:val="en-GB"/>
        </w:rPr>
        <w:t xml:space="preserve"> </w:t>
      </w:r>
      <w:r w:rsidR="00AC35B6" w:rsidRPr="00941F74">
        <w:rPr>
          <w:rFonts w:cstheme="minorHAnsi"/>
          <w:lang w:val="en-GB"/>
        </w:rPr>
        <w:t xml:space="preserve">have </w:t>
      </w:r>
      <w:r w:rsidR="0027145B">
        <w:rPr>
          <w:rFonts w:cstheme="minorHAnsi"/>
          <w:lang w:val="en-GB"/>
        </w:rPr>
        <w:t>succeeded</w:t>
      </w:r>
      <w:r w:rsidR="0027145B" w:rsidRPr="00941F74">
        <w:rPr>
          <w:rFonts w:cstheme="minorHAnsi"/>
          <w:lang w:val="en-GB"/>
        </w:rPr>
        <w:t xml:space="preserve"> </w:t>
      </w:r>
      <w:r w:rsidR="00AC35B6" w:rsidRPr="00941F74">
        <w:rPr>
          <w:rFonts w:cstheme="minorHAnsi"/>
          <w:lang w:val="en-GB"/>
        </w:rPr>
        <w:t xml:space="preserve">in combining (1) the finest possible spatial and </w:t>
      </w:r>
      <w:r w:rsidR="0027145B">
        <w:rPr>
          <w:rFonts w:cstheme="minorHAnsi"/>
          <w:lang w:val="en-GB"/>
        </w:rPr>
        <w:t>LCT</w:t>
      </w:r>
      <w:r w:rsidR="0027145B" w:rsidRPr="00941F74">
        <w:rPr>
          <w:rFonts w:cstheme="minorHAnsi"/>
          <w:lang w:val="en-GB"/>
        </w:rPr>
        <w:t xml:space="preserve"> </w:t>
      </w:r>
      <w:r w:rsidR="00AC35B6" w:rsidRPr="00941F74">
        <w:rPr>
          <w:rFonts w:cstheme="minorHAnsi"/>
          <w:lang w:val="en-GB"/>
        </w:rPr>
        <w:t xml:space="preserve">classification resolution, comparable to </w:t>
      </w:r>
      <w:r w:rsidR="00BB5618" w:rsidRPr="00941F74">
        <w:rPr>
          <w:rFonts w:cstheme="minorHAnsi"/>
          <w:lang w:val="en-GB"/>
        </w:rPr>
        <w:t xml:space="preserve">those derived from </w:t>
      </w:r>
      <w:r w:rsidR="00AC35B6" w:rsidRPr="00941F74">
        <w:rPr>
          <w:rFonts w:cstheme="minorHAnsi"/>
          <w:lang w:val="en-GB"/>
        </w:rPr>
        <w:t xml:space="preserve">modern land-cover maps and (2) the </w:t>
      </w:r>
      <w:r w:rsidR="00937848" w:rsidRPr="00941F74">
        <w:rPr>
          <w:rFonts w:cstheme="minorHAnsi"/>
          <w:lang w:val="en-GB"/>
        </w:rPr>
        <w:t>spatio</w:t>
      </w:r>
      <w:r w:rsidR="00AC35B6" w:rsidRPr="00941F74">
        <w:rPr>
          <w:rFonts w:cstheme="minorHAnsi"/>
          <w:lang w:val="en-GB"/>
        </w:rPr>
        <w:t xml:space="preserve">temporal autocorrelation in the distribution of vegetation between targeted periods.  </w:t>
      </w:r>
    </w:p>
    <w:p w14:paraId="69FB9C28" w14:textId="52A014B4" w:rsidR="001827FA" w:rsidRPr="00941F74" w:rsidRDefault="001827FA">
      <w:pPr>
        <w:spacing w:after="0" w:line="480" w:lineRule="auto"/>
        <w:contextualSpacing/>
        <w:rPr>
          <w:rFonts w:cstheme="minorHAnsi"/>
          <w:lang w:val="en-US"/>
        </w:rPr>
      </w:pPr>
      <w:r w:rsidRPr="00941F74">
        <w:rPr>
          <w:lang w:val="en-US"/>
        </w:rPr>
        <w:t xml:space="preserve">The landscape of the </w:t>
      </w:r>
      <w:proofErr w:type="spellStart"/>
      <w:r w:rsidRPr="00941F74">
        <w:rPr>
          <w:lang w:val="en-US"/>
        </w:rPr>
        <w:t>Bassiès</w:t>
      </w:r>
      <w:proofErr w:type="spellEnd"/>
      <w:r w:rsidRPr="00941F74">
        <w:rPr>
          <w:lang w:val="en-US"/>
        </w:rPr>
        <w:t xml:space="preserve"> valley, in the French Pyrenees, represents a suitable case study for the development of a landscape reconstruction method based on pollen data. It contains several small sedimentary sites in a good state of preservation for which pollen data at high temporal resolution (10-</w:t>
      </w:r>
      <w:r w:rsidRPr="00941F74">
        <w:rPr>
          <w:lang w:val="en-US"/>
        </w:rPr>
        <w:lastRenderedPageBreak/>
        <w:t xml:space="preserve">20 years) have already been </w:t>
      </w:r>
      <w:proofErr w:type="spellStart"/>
      <w:r w:rsidRPr="00941F74">
        <w:rPr>
          <w:lang w:val="en-US"/>
        </w:rPr>
        <w:t>analysed</w:t>
      </w:r>
      <w:proofErr w:type="spellEnd"/>
      <w:r w:rsidRPr="00941F74">
        <w:rPr>
          <w:lang w:val="en-US"/>
        </w:rPr>
        <w:t xml:space="preserve"> and modelled by the LRA approach </w:t>
      </w:r>
      <w:r w:rsidR="006238B6" w:rsidRPr="00941F74">
        <w:rPr>
          <w:lang w:val="en-US"/>
        </w:rPr>
        <w:fldChar w:fldCharType="begin"/>
      </w:r>
      <w:r w:rsidR="0051009B">
        <w:rPr>
          <w:lang w:val="en-US"/>
        </w:rPr>
        <w:instrText xml:space="preserve"> ADDIN ZOTERO_ITEM CSL_CITATION {"citationID":"sqSh1SvB","properties":{"formattedCitation":"(Marquer, Mazier, Sugita, Galop, Houet, Faure, Gaillard, Haunold, Munnik, et al., 2020; Plancher et al., 2022)","plainCitation":"(Marquer, Mazier, Sugita, Galop, Houet, Faure, Gaillard, Haunold, Munnik, et al., 2020; Plancher et al., 2022)","dontUpdate":true,"noteIndex":0},"citationItems":[{"id":2264,"uris":["http://www.mendeley.com/documents/?uuid=d4d8c364-d6d8-463f-bceb-f205a69bee35","http://zotero.org/users/10290022/items/U5H5KGHQ"],"itemData":{"id":2264,"type":"article-journal","container-title":"Quaternary Science Reviews","DOI":"https://doi.org/10.1016/j.quascirev.2019.106049","issue":"106049","page":"1-14","title":"Pollen-based reconstruction of Holocene land-cover in mountain regions : Evaluation of the Landscape Reconstruction Algorithm in the Vicdessos valley, northern Pyrenees, France","volume":"228","author":[{"family":"Marquer","given":"Laurent"},{"family":"Mazier","given":"Florence"},{"family":"Sugita","given":"Shinya"},{"family":"Galop","given":"Didier"},{"family":"Houet","given":"Thomas"},{"family":"Faure","given":"Elodie"},{"family":"Gaillard","given":"Marie-José"},{"family":"Haunold","given":"Sébastien"},{"family":"Munnik","given":"Nicolas De"},{"family":"Simonneau","given":"Anaëlle"},{"family":"De Vleeschouwer","given":"François"},{"family":"Le Roux","given":"Gaël"}],"issued":{"date-parts":[["2020"]]}}},{"id":3227,"uris":["http://zotero.org/users/10290022/items/T4Q5CY5M"],"itemData":{"id":3227,"type":"article-journal","container-title":"Quaternary Science Reviews","DOI":"https://doi.org/10.1016/j.quascirev.2022.107753","page":"107753","title":"Spatial and temporal patterns of upland vegetation over the last 200 years in the northern pyrenees: Example from the Bassiès valley, Ariège, France","volume":"294","author":[{"family":"Plancher","given":"Clara"},{"family":"Galop","given":"Didier"},{"family":"Houet","given":"Thomas"},{"family":"Lerigoleur","given":"Emile"},{"family":"Marquer","given":"Laurent"},{"family":"Sugita","given":"Shinya"},{"family":"Mazier","given":"Florence"}],"issued":{"date-parts":[["2022"]]}}}],"schema":"https://github.com/citation-style-language/schema/raw/master/csl-citation.json"} </w:instrText>
      </w:r>
      <w:r w:rsidR="006238B6" w:rsidRPr="00941F74">
        <w:rPr>
          <w:lang w:val="en-US"/>
        </w:rPr>
        <w:fldChar w:fldCharType="separate"/>
      </w:r>
      <w:r w:rsidR="006238B6" w:rsidRPr="00941F74">
        <w:rPr>
          <w:rFonts w:ascii="Calibri" w:hAnsi="Calibri" w:cs="Calibri"/>
          <w:lang w:val="en-US"/>
        </w:rPr>
        <w:t>(Marquer et al., 2020; Plancher et al., 2022)</w:t>
      </w:r>
      <w:r w:rsidR="006238B6" w:rsidRPr="00941F74">
        <w:rPr>
          <w:lang w:val="en-US"/>
        </w:rPr>
        <w:fldChar w:fldCharType="end"/>
      </w:r>
      <w:r w:rsidRPr="00941F74">
        <w:rPr>
          <w:lang w:val="en-US"/>
        </w:rPr>
        <w:t>. Their proximity is such that their 1km RSAPs overlap</w:t>
      </w:r>
      <w:r w:rsidR="00FB1663">
        <w:rPr>
          <w:lang w:val="en-US"/>
        </w:rPr>
        <w:t>;</w:t>
      </w:r>
      <w:r w:rsidRPr="00941F74">
        <w:rPr>
          <w:lang w:val="en-US"/>
        </w:rPr>
        <w:t xml:space="preserve"> nevertheless</w:t>
      </w:r>
      <w:r w:rsidR="00FB1663">
        <w:rPr>
          <w:lang w:val="en-US"/>
        </w:rPr>
        <w:t>,</w:t>
      </w:r>
      <w:r w:rsidRPr="00941F74">
        <w:rPr>
          <w:lang w:val="en-US"/>
        </w:rPr>
        <w:t xml:space="preserve"> their LOVE estimates are variable from one site to another</w:t>
      </w:r>
      <w:r w:rsidR="00B06139" w:rsidRPr="00941F74">
        <w:rPr>
          <w:lang w:val="en-US"/>
        </w:rPr>
        <w:t xml:space="preserve"> </w:t>
      </w:r>
      <w:r w:rsidR="006238B6" w:rsidRPr="00941F74">
        <w:rPr>
          <w:lang w:val="en-US"/>
        </w:rPr>
        <w:fldChar w:fldCharType="begin"/>
      </w:r>
      <w:r w:rsidR="003B1EC2">
        <w:rPr>
          <w:lang w:val="en-US"/>
        </w:rPr>
        <w:instrText xml:space="preserve"> ADDIN ZOTERO_ITEM CSL_CITATION {"citationID":"AZKgc0K1","properties":{"formattedCitation":"(Plancher et al., 2022)","plainCitation":"(Plancher et al., 2022)","noteIndex":0},"citationItems":[{"id":3227,"uris":["http://zotero.org/users/10290022/items/T4Q5CY5M"],"itemData":{"id":3227,"type":"article-journal","container-title":"Quaternary Science Reviews","DOI":"https://doi.org/10.1016/j.quascirev.2022.107753","page":"107753","title":"Spatial and temporal patterns of upland vegetation over the last 200 years in the northern pyrenees: Example from the Bassiès valley, Ariège, France","volume":"294","author":[{"family":"Plancher","given":"Clara"},{"family":"Galop","given":"Didier"},{"family":"Houet","given":"Thomas"},{"family":"Lerigoleur","given":"Emile"},{"family":"Marquer","given":"Laurent"},{"family":"Sugita","given":"Shinya"},{"family":"Mazier","given":"Florence"}],"issued":{"date-parts":[["2022"]]}}}],"schema":"https://github.com/citation-style-language/schema/raw/master/csl-citation.json"} </w:instrText>
      </w:r>
      <w:r w:rsidR="006238B6" w:rsidRPr="00941F74">
        <w:rPr>
          <w:lang w:val="en-US"/>
        </w:rPr>
        <w:fldChar w:fldCharType="separate"/>
      </w:r>
      <w:r w:rsidR="003B1EC2" w:rsidRPr="003B1EC2">
        <w:rPr>
          <w:rFonts w:ascii="Calibri" w:hAnsi="Calibri" w:cs="Calibri"/>
          <w:lang w:val="en-US"/>
        </w:rPr>
        <w:t>(Plancher et al., 2022)</w:t>
      </w:r>
      <w:r w:rsidR="006238B6" w:rsidRPr="00941F74">
        <w:rPr>
          <w:lang w:val="en-US"/>
        </w:rPr>
        <w:fldChar w:fldCharType="end"/>
      </w:r>
      <w:r w:rsidRPr="00941F74">
        <w:rPr>
          <w:lang w:val="en-US"/>
        </w:rPr>
        <w:t xml:space="preserve">. For this reason, they should be particularly relevant for producing </w:t>
      </w:r>
      <w:r w:rsidR="00FB1663">
        <w:rPr>
          <w:lang w:val="en-US"/>
        </w:rPr>
        <w:t xml:space="preserve">a </w:t>
      </w:r>
      <w:r w:rsidRPr="00941F74">
        <w:rPr>
          <w:lang w:val="en-US"/>
        </w:rPr>
        <w:t>fine-grained reconstruction of past land-cover. Furthermore, the distribution and composition of LCTs in this valley are documented by recent land-use maps</w:t>
      </w:r>
      <w:r w:rsidR="00B06139" w:rsidRPr="00941F74">
        <w:rPr>
          <w:lang w:val="en-US"/>
        </w:rPr>
        <w:t xml:space="preserve"> </w:t>
      </w:r>
      <w:r w:rsidR="006238B6" w:rsidRPr="00941F74">
        <w:rPr>
          <w:lang w:val="en-US"/>
        </w:rPr>
        <w:fldChar w:fldCharType="begin"/>
      </w:r>
      <w:r w:rsidR="003B1EC2">
        <w:rPr>
          <w:lang w:val="en-US"/>
        </w:rPr>
        <w:instrText xml:space="preserve"> ADDIN ZOTERO_ITEM CSL_CITATION {"citationID":"Jh0dTVo0","properties":{"formattedCitation":"(Houet et al., 2012a)","plainCitation":"(Houet et al., 2012a)","noteIndex":0},"citationItems":[{"id":1329,"uris":["http://zotero.org/users/10290022/items/4QJ35T4M"],"itemData":{"id":1329,"type":"paper-conference","container-title":"AGILE","event-place":"Avignon","ISBN":"978-90-816960-0-5","page":"1","publisher-place":"Avignon","title":"Modelling past and future land cover changes . A multi-scale approach applied in the Pyrenees","author":[{"family":"Houet","given":"Thomas"},{"family":"Galop","given":"Didier"},{"family":"Mazier","given":"Florence"},{"family":"Sheeren","given":"David"},{"family":"Dejoux","given":"J. F."}],"issued":{"date-parts":[["2012"]]}},"label":"page"}],"schema":"https://github.com/citation-style-language/schema/raw/master/csl-citation.json"} </w:instrText>
      </w:r>
      <w:r w:rsidR="006238B6" w:rsidRPr="00941F74">
        <w:rPr>
          <w:lang w:val="en-US"/>
        </w:rPr>
        <w:fldChar w:fldCharType="separate"/>
      </w:r>
      <w:r w:rsidR="003B1EC2" w:rsidRPr="003B1EC2">
        <w:rPr>
          <w:rFonts w:ascii="Calibri" w:hAnsi="Calibri" w:cs="Calibri"/>
          <w:lang w:val="en-US"/>
        </w:rPr>
        <w:t>(Houet et al., 2012a)</w:t>
      </w:r>
      <w:r w:rsidR="006238B6" w:rsidRPr="00941F74">
        <w:rPr>
          <w:lang w:val="en-US"/>
        </w:rPr>
        <w:fldChar w:fldCharType="end"/>
      </w:r>
      <w:r w:rsidRPr="00941F74">
        <w:rPr>
          <w:lang w:val="en-US"/>
        </w:rPr>
        <w:t xml:space="preserve"> and floristic inventories</w:t>
      </w:r>
      <w:r w:rsidR="00B06139" w:rsidRPr="00941F74">
        <w:rPr>
          <w:lang w:val="en-US"/>
        </w:rPr>
        <w:t xml:space="preserve"> </w:t>
      </w:r>
      <w:r w:rsidR="006238B6" w:rsidRPr="00941F74">
        <w:rPr>
          <w:lang w:val="en-US"/>
        </w:rPr>
        <w:fldChar w:fldCharType="begin"/>
      </w:r>
      <w:r w:rsidR="003B1EC2">
        <w:rPr>
          <w:lang w:val="en-US"/>
        </w:rPr>
        <w:instrText xml:space="preserve"> ADDIN ZOTERO_ITEM CSL_CITATION {"citationID":"N35QkOi2","properties":{"formattedCitation":"(Marquer, Mazier, Sugita, Galop, Houet, Faure, Gaillard, Haunold, Munnik, et al., 2020; Mazier et al., 2022)","plainCitation":"(Marquer, Mazier, Sugita, Galop, Houet, Faure, Gaillard, Haunold, Munnik, et al., 2020; Mazier et al., 2022)","dontUpdate":true,"noteIndex":0},"citationItems":[{"id":2264,"uris":["http://www.mendeley.com/documents/?uuid=d4d8c364-d6d8-463f-bceb-f205a69bee35","http://zotero.org/users/10290022/items/U5H5KGHQ"],"itemData":{"id":2264,"type":"article-journal","container-title":"Quaternary Science Reviews","DOI":"https://doi.org/10.1016/j.quascirev.2019.106049","issue":"106049","page":"1-14","title":"Pollen-based reconstruction of Holocene land-cover in mountain regions : Evaluation of the Landscape Reconstruction Algorithm in the Vicdessos valley, northern Pyrenees, France","volume":"228","author":[{"family":"Marquer","given":"Laurent"},{"family":"Mazier","given":"Florence"},{"family":"Sugita","given":"Shinya"},{"family":"Galop","given":"Didier"},{"family":"Houet","given":"Thomas"},{"family":"Faure","given":"Elodie"},{"family":"Gaillard","given":"Marie-José"},{"family":"Haunold","given":"Sébastien"},{"family":"Munnik","given":"Nicolas De"},{"family":"Simonneau","given":"Anaëlle"},{"family":"De Vleeschouwer","given":"François"},{"family":"Le Roux","given":"Gaël"}],"issued":{"date-parts":[["2020"]]}}},{"id":3238,"uris":["http://zotero.org/users/10290022/items/5FFE5JSI"],"itemData":{"id":3238,"type":"webpage","container-title":"GBIF.org","genre":"Sampling event dataset","title":"Vegetation surveys in a mountainous area (Pyrenees, France)","URL":"https://doi.org/10.15468/4q47d3","author":[{"family":"Mazier","given":"Florence"},{"family":"Plancher","given":"Clara"},{"family":"Haunold","given":"Sébastien"},{"family":"Bonnet","given":"Colline"},{"family":"Belly","given":"Hugo"},{"family":"Houet","given":"Thomas"}],"issued":{"date-parts":[["2022"]]}}}],"schema":"https://github.com/citation-style-language/schema/raw/master/csl-citation.json"} </w:instrText>
      </w:r>
      <w:r w:rsidR="006238B6" w:rsidRPr="00941F74">
        <w:rPr>
          <w:lang w:val="en-US"/>
        </w:rPr>
        <w:fldChar w:fldCharType="separate"/>
      </w:r>
      <w:r w:rsidR="00F20A19" w:rsidRPr="00941F74">
        <w:rPr>
          <w:rFonts w:ascii="Calibri" w:hAnsi="Calibri" w:cs="Calibri"/>
          <w:lang w:val="en-US"/>
        </w:rPr>
        <w:t>(Marquer et al., 2020; Mazier et al., 2022)</w:t>
      </w:r>
      <w:r w:rsidR="006238B6" w:rsidRPr="00941F74">
        <w:rPr>
          <w:lang w:val="en-US"/>
        </w:rPr>
        <w:fldChar w:fldCharType="end"/>
      </w:r>
      <w:r w:rsidRPr="00941F74">
        <w:rPr>
          <w:lang w:val="en-US"/>
        </w:rPr>
        <w:t xml:space="preserve">, which are ideal for </w:t>
      </w:r>
      <w:proofErr w:type="spellStart"/>
      <w:r w:rsidRPr="00941F74">
        <w:rPr>
          <w:lang w:val="en-US"/>
        </w:rPr>
        <w:t>characterising</w:t>
      </w:r>
      <w:proofErr w:type="spellEnd"/>
      <w:r w:rsidRPr="00941F74">
        <w:rPr>
          <w:lang w:val="en-US"/>
        </w:rPr>
        <w:t xml:space="preserve"> the sub-actual vegetation composition.</w:t>
      </w:r>
    </w:p>
    <w:p w14:paraId="1E55825F" w14:textId="3DF33EFF" w:rsidR="00D00E9E" w:rsidRPr="00941F74" w:rsidRDefault="007A54FC">
      <w:pPr>
        <w:spacing w:after="0" w:line="480" w:lineRule="auto"/>
        <w:contextualSpacing/>
        <w:rPr>
          <w:rFonts w:cstheme="minorHAnsi"/>
          <w:lang w:val="en-GB"/>
        </w:rPr>
      </w:pPr>
      <w:r w:rsidRPr="00941F74">
        <w:rPr>
          <w:rFonts w:cstheme="minorHAnsi"/>
          <w:lang w:val="en-GB"/>
        </w:rPr>
        <w:t>In this paper</w:t>
      </w:r>
      <w:r w:rsidR="002070F4" w:rsidRPr="00941F74">
        <w:rPr>
          <w:rFonts w:cstheme="minorHAnsi"/>
          <w:lang w:val="en-GB"/>
        </w:rPr>
        <w:t>,</w:t>
      </w:r>
      <w:r w:rsidRPr="00941F74">
        <w:rPr>
          <w:rFonts w:cstheme="minorHAnsi"/>
          <w:lang w:val="en-GB"/>
        </w:rPr>
        <w:t xml:space="preserve"> we </w:t>
      </w:r>
      <w:r w:rsidR="002070F4" w:rsidRPr="00941F74">
        <w:rPr>
          <w:rFonts w:cstheme="minorHAnsi"/>
          <w:lang w:val="en-GB"/>
        </w:rPr>
        <w:t>propose</w:t>
      </w:r>
      <w:r w:rsidR="004F1B9B" w:rsidRPr="00941F74">
        <w:rPr>
          <w:rFonts w:cstheme="minorHAnsi"/>
          <w:lang w:val="en-GB"/>
        </w:rPr>
        <w:t xml:space="preserve"> a new approach for </w:t>
      </w:r>
      <w:r w:rsidR="006E45A2" w:rsidRPr="00941F74">
        <w:rPr>
          <w:rFonts w:cstheme="minorHAnsi"/>
          <w:lang w:val="en-GB"/>
        </w:rPr>
        <w:t>backward predicting past landscapes</w:t>
      </w:r>
      <w:r w:rsidR="006E45A2" w:rsidRPr="00941F74" w:rsidDel="006E45A2">
        <w:rPr>
          <w:rFonts w:cstheme="minorHAnsi"/>
          <w:lang w:val="en-GB"/>
        </w:rPr>
        <w:t xml:space="preserve"> </w:t>
      </w:r>
      <w:r w:rsidR="006E45A2" w:rsidRPr="00941F74">
        <w:rPr>
          <w:rFonts w:cstheme="minorHAnsi"/>
          <w:lang w:val="en-GB"/>
        </w:rPr>
        <w:t xml:space="preserve">based on local LRA estimates and </w:t>
      </w:r>
      <w:r w:rsidR="004F1B9B" w:rsidRPr="00941F74">
        <w:rPr>
          <w:rFonts w:cstheme="minorHAnsi"/>
          <w:lang w:val="en-GB"/>
        </w:rPr>
        <w:t xml:space="preserve">using probabilistic and statistical tools that are easily parameterised and adapted in other geographical areas. </w:t>
      </w:r>
      <w:r w:rsidR="00C8252F" w:rsidRPr="00941F74">
        <w:rPr>
          <w:rFonts w:cstheme="minorHAnsi"/>
          <w:lang w:val="en-GB"/>
        </w:rPr>
        <w:t xml:space="preserve">We hypothesise that </w:t>
      </w:r>
      <w:r w:rsidR="00D00E9E" w:rsidRPr="00941F74">
        <w:rPr>
          <w:rFonts w:cstheme="minorHAnsi"/>
          <w:lang w:val="en-GB"/>
        </w:rPr>
        <w:t xml:space="preserve">(1) </w:t>
      </w:r>
      <w:r w:rsidR="00C8252F" w:rsidRPr="00941F74">
        <w:rPr>
          <w:rFonts w:cstheme="minorHAnsi"/>
          <w:lang w:val="en-GB"/>
        </w:rPr>
        <w:t>LOVE</w:t>
      </w:r>
      <w:r w:rsidR="008A4616" w:rsidRPr="00941F74">
        <w:rPr>
          <w:rFonts w:cstheme="minorHAnsi"/>
          <w:lang w:val="en-GB"/>
        </w:rPr>
        <w:t xml:space="preserve">-based </w:t>
      </w:r>
      <w:r w:rsidR="00C8252F" w:rsidRPr="00941F74">
        <w:rPr>
          <w:rFonts w:cstheme="minorHAnsi"/>
          <w:lang w:val="en-GB"/>
        </w:rPr>
        <w:t xml:space="preserve">estimates </w:t>
      </w:r>
      <w:r w:rsidR="005F688A" w:rsidRPr="00941F74">
        <w:rPr>
          <w:rFonts w:cstheme="minorHAnsi"/>
          <w:lang w:val="en-GB"/>
        </w:rPr>
        <w:t xml:space="preserve">within overlapping RSAPs around </w:t>
      </w:r>
      <w:r w:rsidR="008A4616" w:rsidRPr="00941F74">
        <w:rPr>
          <w:rFonts w:cstheme="minorHAnsi"/>
          <w:lang w:val="en-GB"/>
        </w:rPr>
        <w:t>n</w:t>
      </w:r>
      <w:r w:rsidR="00C8252F" w:rsidRPr="00941F74">
        <w:rPr>
          <w:rFonts w:cstheme="minorHAnsi"/>
          <w:lang w:val="en-GB"/>
        </w:rPr>
        <w:t xml:space="preserve">eighbouring sites </w:t>
      </w:r>
      <w:r w:rsidR="00F55F0D">
        <w:rPr>
          <w:rFonts w:cstheme="minorHAnsi"/>
          <w:lang w:val="en-GB"/>
        </w:rPr>
        <w:t xml:space="preserve">will </w:t>
      </w:r>
      <w:r w:rsidR="005F688A" w:rsidRPr="00941F74">
        <w:rPr>
          <w:rFonts w:cstheme="minorHAnsi"/>
          <w:lang w:val="en-GB"/>
        </w:rPr>
        <w:t xml:space="preserve">enable us to access </w:t>
      </w:r>
      <w:r w:rsidR="00FB1663">
        <w:rPr>
          <w:rFonts w:cstheme="minorHAnsi"/>
          <w:lang w:val="en-GB"/>
        </w:rPr>
        <w:t xml:space="preserve">the </w:t>
      </w:r>
      <w:r w:rsidR="005F688A" w:rsidRPr="00941F74">
        <w:rPr>
          <w:rFonts w:cstheme="minorHAnsi"/>
          <w:lang w:val="en-GB"/>
        </w:rPr>
        <w:t>past</w:t>
      </w:r>
      <w:r w:rsidR="00C8252F" w:rsidRPr="00941F74">
        <w:rPr>
          <w:rFonts w:cstheme="minorHAnsi"/>
          <w:lang w:val="en-GB"/>
        </w:rPr>
        <w:t xml:space="preserve"> distribution of </w:t>
      </w:r>
      <w:r w:rsidR="00932736" w:rsidRPr="00941F74">
        <w:rPr>
          <w:rFonts w:cstheme="minorHAnsi"/>
          <w:lang w:val="en-GB"/>
        </w:rPr>
        <w:t xml:space="preserve">individual </w:t>
      </w:r>
      <w:r w:rsidR="00C32C86" w:rsidRPr="00941F74">
        <w:rPr>
          <w:rFonts w:cstheme="minorHAnsi"/>
          <w:lang w:val="en-GB"/>
        </w:rPr>
        <w:t xml:space="preserve">taxa </w:t>
      </w:r>
      <w:r w:rsidR="00C8252F" w:rsidRPr="00941F74">
        <w:rPr>
          <w:rFonts w:cstheme="minorHAnsi"/>
          <w:lang w:val="en-GB"/>
        </w:rPr>
        <w:t xml:space="preserve">within </w:t>
      </w:r>
      <w:r w:rsidR="00942733" w:rsidRPr="00941F74">
        <w:rPr>
          <w:rFonts w:cstheme="minorHAnsi"/>
          <w:lang w:val="en-GB"/>
        </w:rPr>
        <w:t xml:space="preserve">these </w:t>
      </w:r>
      <w:r w:rsidR="00C8252F" w:rsidRPr="00941F74">
        <w:rPr>
          <w:rFonts w:cstheme="minorHAnsi"/>
          <w:lang w:val="en-GB"/>
        </w:rPr>
        <w:t>RSAPs using probability density functions</w:t>
      </w:r>
      <w:r w:rsidR="00F20A19" w:rsidRPr="00941F74">
        <w:rPr>
          <w:rFonts w:cstheme="minorHAnsi"/>
          <w:lang w:val="en-GB"/>
        </w:rPr>
        <w:t xml:space="preserve"> </w:t>
      </w:r>
      <w:r w:rsidR="00F20A19" w:rsidRPr="00941F74">
        <w:rPr>
          <w:rFonts w:cstheme="minorHAnsi"/>
          <w:lang w:val="en-GB"/>
        </w:rPr>
        <w:fldChar w:fldCharType="begin"/>
      </w:r>
      <w:r w:rsidR="000E0FBE">
        <w:rPr>
          <w:rFonts w:cstheme="minorHAnsi"/>
          <w:lang w:val="en-GB"/>
        </w:rPr>
        <w:instrText xml:space="preserve"> ADDIN ZOTERO_ITEM CSL_CITATION {"citationID":"pWSgzWOH","properties":{"formattedCitation":"(K\\uc0\\u252{}hl et al., 2002)","plainCitation":"(Kühl et al., 2002)","dontUpdate":true,"noteIndex":0},"citationItems":[{"id":2602,"uris":["http://zotero.org/users/10290022/items/NVYRW4FA"],"itemData":{"id":2602,"type":"article-journal","abstract":"We present a new procedure, the pdf method ( pdf =probability density function), for reconstructing Quaternary climate utilizing botanical data. The procedure includes the advantages of the indicator species method by considering the fossil and modern presence and absence of taxa rather than their frequencies, thus avoiding the need for modern analog plant communities. Overcoming the problematic use of absolute limits to describe climate response ranges is the main progress of the pdf method in comparison to the indicator species method. This advantage results from estimating probability density functions ( pdf s) for monthly mean January and July temperature conditional on the present day occurrence of single taxa. Gaussian distributions sufficiently approximate pdf s of many, although not all, studied taxa. On the assumption of statistical independence, the procedure calculates a joint pdf as the product of the pdf s of the individual taxa. This algorithm weights each taxon according to the extent of its climate response range expressed by its covariance structure. We interpret the maximum of the resulting pdf as the most likely climate and its confidence interval as the uncertainty range. To avoid an artificial reduction of uncertainty arising from the use of numerous similar pdf s, a preselection method is proposed based on the Mahalanobis distance between pdf s. The pdf method was applied to the Carpinus phase of a profile from Gröbern, Germany, that spans the last interglaciation (Eemian). The reconstructed most probable January and July temperatures of about 0.0°C and 18.4°C barely differ from the modern values of −0.5°C and 18.3°C.","container-title":"Quaternary Research","DOI":"10.1006/qres.2002.2380","ISSN":"0033-5894","issue":"03","note":"ISBN: 0033-5894","page":"381-392","title":"Probability Density Functions as Botanical-Climatological Transfer Functions for Climate Reconstruction","URL":"https://www.cambridge.org/core/product/identifier/S0033589400011534/type/journal_article","volume":"58","author":[{"family":"Kühl","given":"Norbert"},{"family":"Gebhardt","given":"Christoph"},{"family":"Litt","given":"Thomas"},{"family":"Hense","given":"Andreas"}],"issued":{"date-parts":[["2002"]]}}}],"schema":"https://github.com/citation-style-language/schema/raw/master/csl-citation.json"} </w:instrText>
      </w:r>
      <w:r w:rsidR="00F20A19" w:rsidRPr="00941F74">
        <w:rPr>
          <w:rFonts w:cstheme="minorHAnsi"/>
          <w:lang w:val="en-GB"/>
        </w:rPr>
        <w:fldChar w:fldCharType="separate"/>
      </w:r>
      <w:r w:rsidR="00F20A19" w:rsidRPr="00941F74">
        <w:rPr>
          <w:rFonts w:ascii="Calibri" w:hAnsi="Calibri" w:cs="Calibri"/>
          <w:szCs w:val="24"/>
          <w:lang w:val="en-US"/>
        </w:rPr>
        <w:t>(PDFs, Kühl et al., 2002)</w:t>
      </w:r>
      <w:r w:rsidR="00F20A19" w:rsidRPr="00941F74">
        <w:rPr>
          <w:rFonts w:cstheme="minorHAnsi"/>
          <w:lang w:val="en-GB"/>
        </w:rPr>
        <w:fldChar w:fldCharType="end"/>
      </w:r>
      <w:r w:rsidR="00F42085" w:rsidRPr="00941F74">
        <w:rPr>
          <w:rFonts w:cstheme="minorHAnsi"/>
          <w:lang w:val="en-GB"/>
        </w:rPr>
        <w:t xml:space="preserve">; that (2) </w:t>
      </w:r>
      <w:r w:rsidR="004D4A63" w:rsidRPr="00941F74">
        <w:rPr>
          <w:rFonts w:cstheme="minorHAnsi"/>
          <w:lang w:val="en-GB"/>
        </w:rPr>
        <w:t xml:space="preserve">autocorrelation of the taxon distribution </w:t>
      </w:r>
      <w:r w:rsidR="00F42085" w:rsidRPr="00941F74">
        <w:rPr>
          <w:rFonts w:cstheme="minorHAnsi"/>
          <w:lang w:val="en-GB"/>
        </w:rPr>
        <w:t>may be</w:t>
      </w:r>
      <w:r w:rsidR="00E9603E" w:rsidRPr="00941F74">
        <w:rPr>
          <w:rFonts w:cstheme="minorHAnsi"/>
          <w:lang w:val="en-GB"/>
        </w:rPr>
        <w:t xml:space="preserve"> backward computed</w:t>
      </w:r>
      <w:r w:rsidR="00932736" w:rsidRPr="00941F74">
        <w:rPr>
          <w:rFonts w:cstheme="minorHAnsi"/>
          <w:lang w:val="en-GB"/>
        </w:rPr>
        <w:t xml:space="preserve"> with </w:t>
      </w:r>
      <w:r w:rsidR="00E9603E" w:rsidRPr="00941F74">
        <w:rPr>
          <w:rFonts w:cstheme="minorHAnsi"/>
          <w:lang w:val="en-GB"/>
        </w:rPr>
        <w:t>multiscale</w:t>
      </w:r>
      <w:r w:rsidR="004D4A63" w:rsidRPr="00941F74">
        <w:rPr>
          <w:rFonts w:cstheme="minorHAnsi"/>
          <w:lang w:val="en-GB"/>
        </w:rPr>
        <w:t xml:space="preserve"> spatial </w:t>
      </w:r>
      <w:r w:rsidR="004E0DC4" w:rsidRPr="00941F74">
        <w:rPr>
          <w:rFonts w:cstheme="minorHAnsi"/>
          <w:lang w:val="en-GB"/>
        </w:rPr>
        <w:t xml:space="preserve">analyses </w:t>
      </w:r>
      <w:r w:rsidR="00060F18" w:rsidRPr="00941F74">
        <w:rPr>
          <w:rFonts w:cstheme="minorHAnsi"/>
          <w:lang w:val="en-GB"/>
        </w:rPr>
        <w:fldChar w:fldCharType="begin"/>
      </w:r>
      <w:r w:rsidR="003B1EC2">
        <w:rPr>
          <w:rFonts w:cstheme="minorHAnsi"/>
          <w:lang w:val="en-GB"/>
        </w:rPr>
        <w:instrText xml:space="preserve"> ADDIN ZOTERO_ITEM CSL_CITATION {"citationID":"F6gOkgzu","properties":{"formattedCitation":"(Gaucherel, 2007)","plainCitation":"(Gaucherel, 2007)","noteIndex":0},"citationItems":[{"id":2714,"uris":["http://www.mendeley.com/documents/?uuid=7073ad5e-449d-484d-89d2-d6c338a15884","http://zotero.org/users/10290022/items/PXRY69SU"],"itemData":{"id":2714,"type":"article-journal","abstract":"Spatial heterogeneity, in the wide sense of pattern complexity and variability, appears to be one of the dominant influences of ecological functions and processes. The most widely used quantification of heterogeneity in environmental studies is based on derived Shannon information theory indices. Yet, such heterogeneity index is not able to quantify the surface patterns of a landscape with a fully explicit scheme at each place and scale of the landscape. The objective of this work is to propose a methodology to bypass this disadvantage and to capture the local and scaling variations of the landscape. The method developed here combines a multiscale heterogeneity map (MHM) with a heterogeneity profile (HP) averaging at each place (respectively, at each scale) the spatial information contained in the landscape. Confidence levels have been estimated on the basis of a simple neutral landscape model to detect significant non-random heterogeneity fluctuations. This methodology is illustrated on both categorical (patchy) and continuous (pixelised) real landscapes: a heterogeneous agricultural landscape in Brittany and a spring phytoplankton bloom in north Atlantic. Heterogeneity analyses of both image types can simultaneously reveal subtle quantitative and qualitative features (gradients, boundaries, random or patchy patterns at successive scales) linked to ecological processes. © 2007 Elsevier B.V. All rights reserved.","container-title":"Landscape and Urban Planning","DOI":"10.1016/j.landurbplan.2007.01.022","ISSN":"01692046","issue":"3","page":"95-102","title":"Multiscale heterogeneity map and associated scaling profile for landscape analysis","volume":"82","author":[{"family":"Gaucherel","given":"C."}],"issued":{"date-parts":[["2007"]]}}}],"schema":"https://github.com/citation-style-language/schema/raw/master/csl-citation.json"} </w:instrText>
      </w:r>
      <w:r w:rsidR="00060F18" w:rsidRPr="00941F74">
        <w:rPr>
          <w:rFonts w:cstheme="minorHAnsi"/>
          <w:lang w:val="en-GB"/>
        </w:rPr>
        <w:fldChar w:fldCharType="separate"/>
      </w:r>
      <w:r w:rsidR="003B1EC2" w:rsidRPr="003B1EC2">
        <w:rPr>
          <w:rFonts w:ascii="Calibri" w:hAnsi="Calibri" w:cs="Calibri"/>
          <w:lang w:val="en-US"/>
        </w:rPr>
        <w:t>(Gaucherel, 2007)</w:t>
      </w:r>
      <w:r w:rsidR="00060F18" w:rsidRPr="00941F74">
        <w:rPr>
          <w:rFonts w:cstheme="minorHAnsi"/>
          <w:lang w:val="en-GB"/>
        </w:rPr>
        <w:fldChar w:fldCharType="end"/>
      </w:r>
      <w:r w:rsidR="00932736" w:rsidRPr="00941F74">
        <w:rPr>
          <w:rFonts w:cstheme="minorHAnsi"/>
          <w:lang w:val="en-GB"/>
        </w:rPr>
        <w:t xml:space="preserve"> by combining</w:t>
      </w:r>
      <w:r w:rsidR="004E0DC4" w:rsidRPr="00941F74">
        <w:rPr>
          <w:rFonts w:cstheme="minorHAnsi"/>
          <w:lang w:val="en-GB"/>
        </w:rPr>
        <w:t xml:space="preserve"> </w:t>
      </w:r>
      <w:r w:rsidR="004043DB" w:rsidRPr="00941F74">
        <w:rPr>
          <w:rFonts w:cstheme="minorHAnsi"/>
          <w:lang w:val="en-GB"/>
        </w:rPr>
        <w:t>recent land-cover map</w:t>
      </w:r>
      <w:r w:rsidR="006330DE">
        <w:rPr>
          <w:rFonts w:cstheme="minorHAnsi"/>
          <w:lang w:val="en-GB"/>
        </w:rPr>
        <w:t>s</w:t>
      </w:r>
      <w:r w:rsidR="004043DB" w:rsidRPr="00941F74">
        <w:rPr>
          <w:rFonts w:cstheme="minorHAnsi"/>
          <w:lang w:val="en-GB"/>
        </w:rPr>
        <w:t xml:space="preserve"> </w:t>
      </w:r>
      <w:r w:rsidR="00060F18" w:rsidRPr="00941F74">
        <w:rPr>
          <w:rFonts w:cstheme="minorHAnsi"/>
          <w:lang w:val="en-GB"/>
        </w:rPr>
        <w:fldChar w:fldCharType="begin"/>
      </w:r>
      <w:r w:rsidR="003B1EC2">
        <w:rPr>
          <w:rFonts w:cstheme="minorHAnsi"/>
          <w:lang w:val="en-GB"/>
        </w:rPr>
        <w:instrText xml:space="preserve"> ADDIN ZOTERO_ITEM CSL_CITATION {"citationID":"wEsn6Tze","properties":{"formattedCitation":"(Houet et al., 2012a)","plainCitation":"(Houet et al., 2012a)","noteIndex":0},"citationItems":[{"id":1329,"uris":["http://zotero.org/users/10290022/items/4QJ35T4M"],"itemData":{"id":1329,"type":"paper-conference","container-title":"AGILE","event-place":"Avignon","ISBN":"978-90-816960-0-5","page":"1","publisher-place":"Avignon","title":"Modelling past and future land cover changes . A multi-scale approach applied in the Pyrenees","author":[{"family":"Houet","given":"Thomas"},{"family":"Galop","given":"Didier"},{"family":"Mazier","given":"Florence"},{"family":"Sheeren","given":"David"},{"family":"Dejoux","given":"J. F."}],"issued":{"date-parts":[["2012"]]}}}],"schema":"https://github.com/citation-style-language/schema/raw/master/csl-citation.json"} </w:instrText>
      </w:r>
      <w:r w:rsidR="00060F18" w:rsidRPr="00941F74">
        <w:rPr>
          <w:rFonts w:cstheme="minorHAnsi"/>
          <w:lang w:val="en-GB"/>
        </w:rPr>
        <w:fldChar w:fldCharType="separate"/>
      </w:r>
      <w:r w:rsidR="003B1EC2" w:rsidRPr="003B1EC2">
        <w:rPr>
          <w:rFonts w:ascii="Calibri" w:hAnsi="Calibri" w:cs="Calibri"/>
          <w:lang w:val="en-US"/>
        </w:rPr>
        <w:t>(Houet et al., 2012a)</w:t>
      </w:r>
      <w:r w:rsidR="00060F18" w:rsidRPr="00941F74">
        <w:rPr>
          <w:rFonts w:cstheme="minorHAnsi"/>
          <w:lang w:val="en-GB"/>
        </w:rPr>
        <w:fldChar w:fldCharType="end"/>
      </w:r>
      <w:r w:rsidR="00060F18" w:rsidRPr="00941F74">
        <w:rPr>
          <w:rFonts w:cstheme="minorHAnsi"/>
          <w:lang w:val="en-GB"/>
        </w:rPr>
        <w:t xml:space="preserve"> </w:t>
      </w:r>
      <w:r w:rsidR="004D4A63" w:rsidRPr="00941F74">
        <w:rPr>
          <w:rFonts w:cstheme="minorHAnsi"/>
          <w:lang w:val="en-GB"/>
        </w:rPr>
        <w:t xml:space="preserve">and botanical </w:t>
      </w:r>
      <w:r w:rsidR="00060F18" w:rsidRPr="00941F74">
        <w:rPr>
          <w:rFonts w:cstheme="minorHAnsi"/>
          <w:lang w:val="en-GB"/>
        </w:rPr>
        <w:t xml:space="preserve">surveys </w:t>
      </w:r>
      <w:r w:rsidR="00060F18" w:rsidRPr="00941F74">
        <w:rPr>
          <w:rFonts w:cstheme="minorHAnsi"/>
          <w:lang w:val="en-GB"/>
        </w:rPr>
        <w:fldChar w:fldCharType="begin"/>
      </w:r>
      <w:r w:rsidR="003B1EC2">
        <w:rPr>
          <w:rFonts w:cstheme="minorHAnsi"/>
          <w:lang w:val="en-GB"/>
        </w:rPr>
        <w:instrText xml:space="preserve"> ADDIN ZOTERO_ITEM CSL_CITATION {"citationID":"OXDALY3n","properties":{"formattedCitation":"(Mazier et al., 2022)","plainCitation":"(Mazier et al., 2022)","noteIndex":0},"citationItems":[{"id":3238,"uris":["http://zotero.org/users/10290022/items/5FFE5JSI"],"itemData":{"id":3238,"type":"webpage","container-title":"GBIF.org","genre":"Sampling event dataset","title":"Vegetation surveys in a mountainous area (Pyrenees, France)","URL":"https://doi.org/10.15468/4q47d3","author":[{"family":"Mazier","given":"Florence"},{"family":"Plancher","given":"Clara"},{"family":"Haunold","given":"Sébastien"},{"family":"Bonnet","given":"Colline"},{"family":"Belly","given":"Hugo"},{"family":"Houet","given":"Thomas"}],"issued":{"date-parts":[["2022"]]}}}],"schema":"https://github.com/citation-style-language/schema/raw/master/csl-citation.json"} </w:instrText>
      </w:r>
      <w:r w:rsidR="00060F18" w:rsidRPr="00941F74">
        <w:rPr>
          <w:rFonts w:cstheme="minorHAnsi"/>
          <w:lang w:val="en-GB"/>
        </w:rPr>
        <w:fldChar w:fldCharType="separate"/>
      </w:r>
      <w:r w:rsidR="003B1EC2" w:rsidRPr="003B1EC2">
        <w:rPr>
          <w:rFonts w:ascii="Calibri" w:hAnsi="Calibri" w:cs="Calibri"/>
          <w:lang w:val="en-US"/>
        </w:rPr>
        <w:t>(Mazier et al., 2022)</w:t>
      </w:r>
      <w:r w:rsidR="00060F18" w:rsidRPr="00941F74">
        <w:rPr>
          <w:rFonts w:cstheme="minorHAnsi"/>
          <w:lang w:val="en-GB"/>
        </w:rPr>
        <w:fldChar w:fldCharType="end"/>
      </w:r>
      <w:r w:rsidR="00977AF6" w:rsidRPr="00941F74">
        <w:rPr>
          <w:rFonts w:cstheme="minorHAnsi"/>
          <w:lang w:val="en-GB"/>
        </w:rPr>
        <w:t xml:space="preserve">; and that (3) </w:t>
      </w:r>
      <w:r w:rsidR="00D00E9E" w:rsidRPr="00941F74">
        <w:rPr>
          <w:rFonts w:cstheme="minorHAnsi"/>
          <w:lang w:val="en-GB"/>
        </w:rPr>
        <w:t xml:space="preserve">linear models </w:t>
      </w:r>
      <w:r w:rsidR="00C54C29" w:rsidRPr="00941F74">
        <w:rPr>
          <w:rFonts w:cstheme="minorHAnsi"/>
          <w:lang w:val="en-GB"/>
        </w:rPr>
        <w:fldChar w:fldCharType="begin"/>
      </w:r>
      <w:r w:rsidR="003B1EC2">
        <w:rPr>
          <w:rFonts w:cstheme="minorHAnsi"/>
          <w:lang w:val="en-GB"/>
        </w:rPr>
        <w:instrText xml:space="preserve"> ADDIN ZOTERO_ITEM CSL_CITATION {"citationID":"3VZVAlia","properties":{"formattedCitation":"(McCullagh, 1984)","plainCitation":"(McCullagh, 1984)","noteIndex":0},"citationItems":[{"id":791,"uris":["http://zotero.org/users/10290022/items/8SZSH2NF"],"itemData":{"id":791,"type":"article-journal","container-title":"European Journal of Operational Research","DOI":"10.1016/0377-2217(84)90282-0","ISSN":"0377-2217","issue":"3","note":"publisher: North-Holland","page":"285-292","title":"Generalized linear models","URL":"https://www.sciencedirect.com/science/article/abs/pii/0377221784902820","volume":"16","author":[{"family":"McCullagh","given":"Peter"}],"accessed":{"date-parts":[["2018",5,28]]},"issued":{"date-parts":[["1984",6,1]]}}}],"schema":"https://github.com/citation-style-language/schema/raw/master/csl-citation.json"} </w:instrText>
      </w:r>
      <w:r w:rsidR="00C54C29" w:rsidRPr="00941F74">
        <w:rPr>
          <w:rFonts w:cstheme="minorHAnsi"/>
          <w:lang w:val="en-GB"/>
        </w:rPr>
        <w:fldChar w:fldCharType="separate"/>
      </w:r>
      <w:r w:rsidR="003B1EC2" w:rsidRPr="003B1EC2">
        <w:rPr>
          <w:rFonts w:ascii="Calibri" w:hAnsi="Calibri" w:cs="Calibri"/>
          <w:lang w:val="en-US"/>
        </w:rPr>
        <w:t>(McCullagh, 1984)</w:t>
      </w:r>
      <w:r w:rsidR="00C54C29" w:rsidRPr="00941F74">
        <w:rPr>
          <w:rFonts w:cstheme="minorHAnsi"/>
          <w:lang w:val="en-GB"/>
        </w:rPr>
        <w:fldChar w:fldCharType="end"/>
      </w:r>
      <w:r w:rsidR="00C54C29" w:rsidRPr="00941F74">
        <w:rPr>
          <w:rFonts w:cstheme="minorHAnsi"/>
          <w:lang w:val="en-GB"/>
        </w:rPr>
        <w:t xml:space="preserve"> </w:t>
      </w:r>
      <w:r w:rsidR="00576F92" w:rsidRPr="00941F74">
        <w:rPr>
          <w:rFonts w:cstheme="minorHAnsi"/>
          <w:lang w:val="en-GB"/>
        </w:rPr>
        <w:t xml:space="preserve">should be able to statistically explain </w:t>
      </w:r>
      <w:r w:rsidR="0027145B">
        <w:rPr>
          <w:rFonts w:cstheme="minorHAnsi"/>
          <w:lang w:val="en-GB"/>
        </w:rPr>
        <w:t>LCT</w:t>
      </w:r>
      <w:r w:rsidR="0027145B" w:rsidRPr="00941F74">
        <w:rPr>
          <w:rFonts w:cstheme="minorHAnsi"/>
          <w:lang w:val="en-GB"/>
        </w:rPr>
        <w:t xml:space="preserve"> </w:t>
      </w:r>
      <w:r w:rsidR="00576F92" w:rsidRPr="00941F74">
        <w:rPr>
          <w:rFonts w:cstheme="minorHAnsi"/>
          <w:lang w:val="en-GB"/>
        </w:rPr>
        <w:t>distributions based on</w:t>
      </w:r>
      <w:r w:rsidR="00677561" w:rsidRPr="00941F74">
        <w:rPr>
          <w:rFonts w:cstheme="minorHAnsi"/>
          <w:lang w:val="en-GB"/>
        </w:rPr>
        <w:t xml:space="preserve"> taxon distribution</w:t>
      </w:r>
      <w:r w:rsidR="00A45DFE" w:rsidRPr="00941F74">
        <w:rPr>
          <w:rFonts w:cstheme="minorHAnsi"/>
          <w:lang w:val="en-GB"/>
        </w:rPr>
        <w:t>s and some auxiliary environmental variables</w:t>
      </w:r>
      <w:r w:rsidR="00AE51E5" w:rsidRPr="00941F74">
        <w:rPr>
          <w:rFonts w:cstheme="minorHAnsi"/>
          <w:lang w:val="en-GB"/>
        </w:rPr>
        <w:t>.</w:t>
      </w:r>
      <w:r w:rsidR="00A45DFE" w:rsidRPr="00941F74">
        <w:rPr>
          <w:rFonts w:cstheme="minorHAnsi"/>
          <w:lang w:val="en-GB"/>
        </w:rPr>
        <w:t xml:space="preserve"> </w:t>
      </w:r>
      <w:r w:rsidR="00677561" w:rsidRPr="00941F74">
        <w:rPr>
          <w:rFonts w:cstheme="minorHAnsi"/>
          <w:lang w:val="en-GB"/>
        </w:rPr>
        <w:t>H</w:t>
      </w:r>
      <w:r w:rsidR="00744D1E" w:rsidRPr="00941F74">
        <w:rPr>
          <w:rFonts w:cstheme="minorHAnsi"/>
          <w:lang w:val="en-GB"/>
        </w:rPr>
        <w:t xml:space="preserve">ereafter </w:t>
      </w:r>
      <w:r w:rsidR="00677561" w:rsidRPr="00941F74">
        <w:rPr>
          <w:rFonts w:cstheme="minorHAnsi"/>
          <w:lang w:val="en-GB"/>
        </w:rPr>
        <w:t xml:space="preserve">this approach named </w:t>
      </w:r>
      <w:proofErr w:type="spellStart"/>
      <w:r w:rsidR="00677561" w:rsidRPr="00941F74">
        <w:rPr>
          <w:rFonts w:cstheme="minorHAnsi"/>
          <w:lang w:val="en-GB"/>
        </w:rPr>
        <w:t>BACKward</w:t>
      </w:r>
      <w:proofErr w:type="spellEnd"/>
      <w:r w:rsidR="00677561" w:rsidRPr="00941F74">
        <w:rPr>
          <w:rFonts w:cstheme="minorHAnsi"/>
          <w:lang w:val="en-GB"/>
        </w:rPr>
        <w:t xml:space="preserve"> predicting past </w:t>
      </w:r>
      <w:proofErr w:type="spellStart"/>
      <w:r w:rsidR="00677561" w:rsidRPr="00941F74">
        <w:rPr>
          <w:rFonts w:cstheme="minorHAnsi"/>
          <w:lang w:val="en-GB"/>
        </w:rPr>
        <w:t>LANDscapes</w:t>
      </w:r>
      <w:proofErr w:type="spellEnd"/>
      <w:r w:rsidR="00677561" w:rsidRPr="00941F74">
        <w:rPr>
          <w:rFonts w:cstheme="minorHAnsi"/>
          <w:lang w:val="en-GB"/>
        </w:rPr>
        <w:t xml:space="preserve"> at fine scale will be referred to </w:t>
      </w:r>
      <w:r w:rsidR="00A7685A" w:rsidRPr="00941F74">
        <w:rPr>
          <w:rFonts w:cstheme="minorHAnsi"/>
          <w:lang w:val="en-GB"/>
        </w:rPr>
        <w:t xml:space="preserve">as </w:t>
      </w:r>
      <w:r w:rsidR="00677561" w:rsidRPr="00941F74">
        <w:rPr>
          <w:rFonts w:cstheme="minorHAnsi"/>
          <w:lang w:val="en-GB"/>
        </w:rPr>
        <w:t>BACKLAND</w:t>
      </w:r>
      <w:r w:rsidR="00D00E9E" w:rsidRPr="00941F74">
        <w:rPr>
          <w:rFonts w:cstheme="minorHAnsi"/>
          <w:lang w:val="en-GB"/>
        </w:rPr>
        <w:t>.</w:t>
      </w:r>
      <w:r w:rsidR="00446F13" w:rsidRPr="00941F74">
        <w:rPr>
          <w:rFonts w:cstheme="minorHAnsi"/>
          <w:lang w:val="en-GB"/>
        </w:rPr>
        <w:t xml:space="preserve"> </w:t>
      </w:r>
    </w:p>
    <w:p w14:paraId="6B32C64B" w14:textId="5CBAC422" w:rsidR="00446F13" w:rsidRPr="00941F74" w:rsidRDefault="001827FA">
      <w:pPr>
        <w:spacing w:after="0" w:line="480" w:lineRule="auto"/>
        <w:contextualSpacing/>
        <w:rPr>
          <w:rFonts w:cstheme="minorHAnsi"/>
          <w:lang w:val="en-GB"/>
        </w:rPr>
      </w:pPr>
      <w:r w:rsidRPr="00941F74">
        <w:rPr>
          <w:rFonts w:cstheme="minorHAnsi"/>
          <w:lang w:val="en-GB"/>
        </w:rPr>
        <w:t>In this paper we present the steps of the BACKLAND approach, implemented and tested on recent time windows t</w:t>
      </w:r>
      <w:r w:rsidR="004F1B9B" w:rsidRPr="00941F74">
        <w:rPr>
          <w:rFonts w:cstheme="minorHAnsi"/>
          <w:lang w:val="en-GB"/>
        </w:rPr>
        <w:t xml:space="preserve">o generate </w:t>
      </w:r>
      <w:r w:rsidR="0027145B">
        <w:rPr>
          <w:rFonts w:cstheme="minorHAnsi"/>
          <w:lang w:val="en-GB"/>
        </w:rPr>
        <w:t xml:space="preserve">the </w:t>
      </w:r>
      <w:r w:rsidR="004F1B9B" w:rsidRPr="00941F74">
        <w:rPr>
          <w:rFonts w:cstheme="minorHAnsi"/>
          <w:lang w:val="en-GB"/>
        </w:rPr>
        <w:t xml:space="preserve">past </w:t>
      </w:r>
      <w:proofErr w:type="spellStart"/>
      <w:r w:rsidR="004F1B9B" w:rsidRPr="00941F74">
        <w:rPr>
          <w:rFonts w:cstheme="minorHAnsi"/>
          <w:lang w:val="en-GB"/>
        </w:rPr>
        <w:t>Bassiès</w:t>
      </w:r>
      <w:proofErr w:type="spellEnd"/>
      <w:r w:rsidR="004F1B9B" w:rsidRPr="00941F74">
        <w:rPr>
          <w:rFonts w:cstheme="minorHAnsi"/>
          <w:lang w:val="en-GB"/>
        </w:rPr>
        <w:t xml:space="preserve"> landscape within the RSAPs of a set of small sedimentary sites with overlapping RSAPs</w:t>
      </w:r>
      <w:r w:rsidR="00446F13" w:rsidRPr="00941F74">
        <w:rPr>
          <w:rFonts w:cstheme="minorHAnsi"/>
          <w:lang w:val="en-GB"/>
        </w:rPr>
        <w:t xml:space="preserve">. The accuracy of the </w:t>
      </w:r>
      <w:proofErr w:type="spellStart"/>
      <w:r w:rsidR="00446F13" w:rsidRPr="00941F74">
        <w:rPr>
          <w:rFonts w:cstheme="minorHAnsi"/>
          <w:lang w:val="en-GB"/>
        </w:rPr>
        <w:t>Bassiès</w:t>
      </w:r>
      <w:proofErr w:type="spellEnd"/>
      <w:r w:rsidR="00446F13" w:rsidRPr="00941F74">
        <w:rPr>
          <w:rFonts w:cstheme="minorHAnsi"/>
          <w:lang w:val="en-GB"/>
        </w:rPr>
        <w:t xml:space="preserve"> landscape predicted using BACKLAND is assessed in comparison with a contemporary land-cover map. The prospects for environmental science studies opened up by this approach are then discussed.</w:t>
      </w:r>
    </w:p>
    <w:p w14:paraId="4A17094E" w14:textId="10A71F13" w:rsidR="0080105F" w:rsidRDefault="0080105F" w:rsidP="00060700">
      <w:pPr>
        <w:suppressLineNumbers/>
        <w:spacing w:line="480" w:lineRule="auto"/>
        <w:rPr>
          <w:rFonts w:cstheme="minorHAnsi"/>
          <w:lang w:val="en-GB"/>
        </w:rPr>
      </w:pPr>
    </w:p>
    <w:p w14:paraId="5A7DEEB8" w14:textId="77777777" w:rsidR="0080105F" w:rsidRDefault="0080105F" w:rsidP="00060700">
      <w:pPr>
        <w:suppressLineNumbers/>
        <w:spacing w:line="480" w:lineRule="auto"/>
        <w:rPr>
          <w:rFonts w:cstheme="minorHAnsi"/>
          <w:lang w:val="en-GB"/>
        </w:rPr>
      </w:pPr>
    </w:p>
    <w:p w14:paraId="4CA424A1" w14:textId="77777777" w:rsidR="0080105F" w:rsidRPr="00060700" w:rsidRDefault="0080105F" w:rsidP="00060700">
      <w:pPr>
        <w:suppressLineNumbers/>
        <w:spacing w:line="480" w:lineRule="auto"/>
        <w:rPr>
          <w:lang w:val="en-GB"/>
        </w:rPr>
      </w:pPr>
    </w:p>
    <w:p w14:paraId="52B2F3B9" w14:textId="01A8028B" w:rsidR="00BC77DA" w:rsidRDefault="00EF1F50">
      <w:pPr>
        <w:suppressLineNumbers/>
        <w:spacing w:line="480" w:lineRule="auto"/>
        <w:jc w:val="left"/>
        <w:rPr>
          <w:color w:val="4BACC6" w:themeColor="accent5"/>
          <w:lang w:val="en-GB"/>
        </w:rPr>
      </w:pPr>
      <w:r w:rsidRPr="00EF1F50">
        <w:lastRenderedPageBreak/>
        <w:drawing>
          <wp:inline distT="0" distB="0" distL="0" distR="0" wp14:anchorId="3EB86E52" wp14:editId="6D12B49E">
            <wp:extent cx="5745480" cy="4579620"/>
            <wp:effectExtent l="0" t="0" r="762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5480" cy="4579620"/>
                    </a:xfrm>
                    <a:prstGeom prst="rect">
                      <a:avLst/>
                    </a:prstGeom>
                    <a:noFill/>
                    <a:ln>
                      <a:noFill/>
                    </a:ln>
                  </pic:spPr>
                </pic:pic>
              </a:graphicData>
            </a:graphic>
          </wp:inline>
        </w:drawing>
      </w:r>
    </w:p>
    <w:p w14:paraId="16A5F6C2" w14:textId="4AA4D7EC" w:rsidR="00B06139" w:rsidRDefault="00B06139">
      <w:pPr>
        <w:suppressLineNumbers/>
        <w:spacing w:line="480" w:lineRule="auto"/>
        <w:jc w:val="left"/>
        <w:rPr>
          <w:lang w:val="en-GB"/>
        </w:rPr>
      </w:pPr>
      <w:r w:rsidRPr="00D57B90">
        <w:rPr>
          <w:b/>
          <w:lang w:val="en-GB"/>
        </w:rPr>
        <w:t>Table 1</w:t>
      </w:r>
      <w:r w:rsidR="00BC77DA" w:rsidRPr="00D57B90">
        <w:rPr>
          <w:b/>
          <w:lang w:val="en-GB"/>
        </w:rPr>
        <w:t>:</w:t>
      </w:r>
      <w:r w:rsidR="00BC77DA" w:rsidRPr="00D57B90">
        <w:rPr>
          <w:lang w:val="en-GB"/>
        </w:rPr>
        <w:t xml:space="preserve"> </w:t>
      </w:r>
      <w:r w:rsidR="0050222B">
        <w:rPr>
          <w:lang w:val="en-GB"/>
        </w:rPr>
        <w:t>Abbreviations</w:t>
      </w:r>
      <w:r w:rsidR="00BC77DA" w:rsidRPr="00D57B90">
        <w:rPr>
          <w:lang w:val="en-GB"/>
        </w:rPr>
        <w:t xml:space="preserve"> used in the paper</w:t>
      </w:r>
    </w:p>
    <w:p w14:paraId="3B100C1A" w14:textId="765FDBF7" w:rsidR="0080105F" w:rsidRPr="00060700" w:rsidRDefault="0080105F" w:rsidP="00060700">
      <w:pPr>
        <w:pStyle w:val="Titre1"/>
        <w:numPr>
          <w:ilvl w:val="0"/>
          <w:numId w:val="30"/>
        </w:numPr>
        <w:spacing w:line="480" w:lineRule="auto"/>
        <w:rPr>
          <w:lang w:val="en-GB"/>
        </w:rPr>
      </w:pPr>
      <w:r w:rsidRPr="0080105F">
        <w:rPr>
          <w:rFonts w:asciiTheme="minorHAnsi" w:hAnsiTheme="minorHAnsi" w:cstheme="minorHAnsi"/>
          <w:sz w:val="22"/>
          <w:szCs w:val="22"/>
          <w:lang w:val="en-GB"/>
        </w:rPr>
        <w:t xml:space="preserve">Materials </w:t>
      </w:r>
    </w:p>
    <w:p w14:paraId="082FA566" w14:textId="65647BE5" w:rsidR="00C312CE" w:rsidRDefault="00C312CE">
      <w:pPr>
        <w:pStyle w:val="Titre2"/>
        <w:numPr>
          <w:ilvl w:val="1"/>
          <w:numId w:val="22"/>
        </w:numPr>
        <w:spacing w:line="480" w:lineRule="auto"/>
        <w:rPr>
          <w:rFonts w:asciiTheme="minorHAnsi" w:hAnsiTheme="minorHAnsi" w:cstheme="minorHAnsi"/>
          <w:sz w:val="22"/>
          <w:szCs w:val="22"/>
          <w:lang w:val="en-US"/>
        </w:rPr>
      </w:pPr>
      <w:r w:rsidRPr="00941F74">
        <w:rPr>
          <w:rFonts w:asciiTheme="minorHAnsi" w:hAnsiTheme="minorHAnsi" w:cstheme="minorHAnsi"/>
          <w:sz w:val="22"/>
          <w:szCs w:val="22"/>
          <w:lang w:val="en-US"/>
        </w:rPr>
        <w:t xml:space="preserve">Study zone characteristics </w:t>
      </w:r>
    </w:p>
    <w:p w14:paraId="28DA8262" w14:textId="322610C7" w:rsidR="00FA7DCF" w:rsidRDefault="0080105F" w:rsidP="00060700">
      <w:pPr>
        <w:spacing w:line="480" w:lineRule="auto"/>
        <w:rPr>
          <w:rFonts w:cstheme="minorHAnsi"/>
          <w:color w:val="FF0000"/>
          <w:lang w:val="en-US"/>
        </w:rPr>
      </w:pPr>
      <w:r w:rsidRPr="00941F74">
        <w:rPr>
          <w:lang w:val="en-GB"/>
        </w:rPr>
        <w:t xml:space="preserve">The </w:t>
      </w:r>
      <w:proofErr w:type="spellStart"/>
      <w:r w:rsidRPr="00941F74">
        <w:rPr>
          <w:lang w:val="en-GB"/>
        </w:rPr>
        <w:t>Bassiès</w:t>
      </w:r>
      <w:proofErr w:type="spellEnd"/>
      <w:r w:rsidRPr="00941F74">
        <w:rPr>
          <w:lang w:val="en-GB"/>
        </w:rPr>
        <w:t xml:space="preserve"> valley is located in the </w:t>
      </w:r>
      <w:proofErr w:type="spellStart"/>
      <w:r w:rsidRPr="00941F74">
        <w:rPr>
          <w:lang w:val="en-GB"/>
        </w:rPr>
        <w:t>Vicdessos</w:t>
      </w:r>
      <w:proofErr w:type="spellEnd"/>
      <w:r w:rsidRPr="00941F74">
        <w:rPr>
          <w:lang w:val="en-GB"/>
        </w:rPr>
        <w:t xml:space="preserve"> area within the Pyrenees </w:t>
      </w:r>
      <w:r>
        <w:rPr>
          <w:lang w:val="en-GB"/>
        </w:rPr>
        <w:t>mountain</w:t>
      </w:r>
      <w:r w:rsidRPr="00941F74">
        <w:rPr>
          <w:lang w:val="en-GB"/>
        </w:rPr>
        <w:t xml:space="preserve"> </w:t>
      </w:r>
      <w:r>
        <w:rPr>
          <w:lang w:val="en-GB"/>
        </w:rPr>
        <w:t>r</w:t>
      </w:r>
      <w:r w:rsidRPr="00941F74">
        <w:rPr>
          <w:lang w:val="en-GB"/>
        </w:rPr>
        <w:t>ange (</w:t>
      </w:r>
      <w:r w:rsidRPr="00941F74">
        <w:rPr>
          <w:lang w:val="en-US"/>
        </w:rPr>
        <w:t xml:space="preserve">N42.46; E1.26, </w:t>
      </w:r>
      <w:proofErr w:type="spellStart"/>
      <w:r w:rsidRPr="00941F74">
        <w:rPr>
          <w:lang w:val="en-GB"/>
        </w:rPr>
        <w:t>Ariège</w:t>
      </w:r>
      <w:proofErr w:type="spellEnd"/>
      <w:r w:rsidRPr="00941F74">
        <w:rPr>
          <w:lang w:val="en-GB"/>
        </w:rPr>
        <w:t xml:space="preserve">, France). It is </w:t>
      </w:r>
      <w:r>
        <w:rPr>
          <w:lang w:val="en-GB"/>
        </w:rPr>
        <w:t xml:space="preserve">a hanging glacial valley </w:t>
      </w:r>
      <w:r w:rsidRPr="00941F74">
        <w:rPr>
          <w:lang w:val="en-GB"/>
        </w:rPr>
        <w:t>characterised by a flat bottom at around 1500m of elevation on which wetlands have developed, surrounded by steep slopes culminating at 2676m (Pique Rouge). The average annual precipitation is 1640 mm year</w:t>
      </w:r>
      <w:r w:rsidRPr="00941F74">
        <w:rPr>
          <w:vertAlign w:val="superscript"/>
          <w:lang w:val="en-GB"/>
        </w:rPr>
        <w:t>-1</w:t>
      </w:r>
      <w:r w:rsidRPr="00941F74">
        <w:rPr>
          <w:lang w:val="en-GB"/>
        </w:rPr>
        <w:t>, with one-third as snow from November-December to April-May, and the average annual temperature is</w:t>
      </w:r>
      <w:r>
        <w:rPr>
          <w:lang w:val="en-GB"/>
        </w:rPr>
        <w:t xml:space="preserve"> around 7</w:t>
      </w:r>
      <w:r w:rsidRPr="00941F74">
        <w:rPr>
          <w:lang w:val="en-GB"/>
        </w:rPr>
        <w:t xml:space="preserve">°C </w:t>
      </w:r>
      <w:r w:rsidRPr="00941F74">
        <w:rPr>
          <w:lang w:val="en-GB"/>
        </w:rPr>
        <w:fldChar w:fldCharType="begin" w:fldLock="1"/>
      </w:r>
      <w:r w:rsidR="003B1EC2">
        <w:rPr>
          <w:lang w:val="en-GB"/>
        </w:rPr>
        <w:instrText xml:space="preserve"> ADDIN ZOTERO_ITEM CSL_CITATION {"citationID":"00CGfQFf","properties":{"formattedCitation":"(Quintana-Segu\\uc0\\u237{} et al., 2008)","plainCitation":"(Quintana-Seguí et al., 2008)","noteIndex":0},"citationItems":[{"id":2771,"uris":["http://www.mendeley.com/documents/?uuid=c4fadedb-074f-4ce6-b9af-4f3d8ebc7749","http://zotero.org/users/10290022/items/XERH9DX7"],"itemData":{"id":2771,"type":"article-journal","abstract":"Système d'analyse fournissant des renseignements atmosphériques à la neige (SAFRAN) is a mesoscale atmospheric analysis system for surface variables. It produces an analysis at the hourly time step using ground data observations. One of SAFRAN's main features is that it is based on climatically homogeneous zones and is able to take vertical variations into account. Originally intended for mountainous areas, it was later extended to cover France. This paper focuses on the validation of the extended version. The principle of the analysis is described and its quality was tested for five parameters (air temperature, humidity, wind speed, rainfall, and incoming radiation), using Météo-France's observation network and data of some well-instrumented stations. Moreover, SAFRAN's rainfall was compared with another analysis, known as analyse utilisant le relief pour l'hydrométéorologie (Aurelhy). Last, two different versions of SAFRAN were compared for mountain conditions. Temperature and relative humidity were well reproduced, presenting no bias. Wind speed was also well reproduced; however, its bias was -0.3 m s-1. The interpolation from the 6-h time step of the analysis to the 1-h time step was one of the sources of error. The precipitation analysis was robust and not biased; its root-mean-square error was 2.4 mm day-1. This error was mainly due to the spatial heterogeneity of the precipitation within the geographical zones of analysis (1000 km2). The analysis of incoming solar radiation presented some biases, especially in coastal areas. The results of the comparison with some well-instrumented sites were encouraging. SAFRAN is being run operationally at Météo-France on a real-time basis for various applications. © 2008 American Meteorological Society.","container-title":"Journal of Applied Meteorology and Climatology","DOI":"10.1175/2007JAMC1636.1","ISSN":"15588424","issue":"1","page":"92-107","title":"Analysis of near-surface atmospheric variables: Validation of the SAFRAN analysis over France","volume":"47","author":[{"family":"Quintana-Seguí","given":"Pere"},{"family":"Le Moigne","given":"P."},{"family":"Durand","given":"Y."},{"family":"Martin","given":"E."},{"family":"Habets","given":"F."},{"family":"Baillon","given":"M."},{"family":"Canellas","given":"C."},{"family":"Franchisteguy","given":"L."},{"family":"Morel","given":"S."}],"issued":{"date-parts":[["2008"]]}}}],"schema":"https://github.com/citation-style-language/schema/raw/master/csl-citation.json"} </w:instrText>
      </w:r>
      <w:r w:rsidRPr="00941F74">
        <w:rPr>
          <w:lang w:val="en-GB"/>
        </w:rPr>
        <w:fldChar w:fldCharType="separate"/>
      </w:r>
      <w:r w:rsidR="003B1EC2" w:rsidRPr="003B1EC2">
        <w:rPr>
          <w:rFonts w:ascii="Calibri" w:hAnsi="Calibri" w:cs="Calibri"/>
          <w:szCs w:val="24"/>
          <w:lang w:val="en-US"/>
        </w:rPr>
        <w:t>(Quintana-Seguí et al., 2008)</w:t>
      </w:r>
      <w:r w:rsidRPr="00941F74">
        <w:rPr>
          <w:lang w:val="en-GB"/>
        </w:rPr>
        <w:fldChar w:fldCharType="end"/>
      </w:r>
      <w:r w:rsidRPr="00941F74">
        <w:rPr>
          <w:lang w:val="en-GB"/>
        </w:rPr>
        <w:t xml:space="preserve">. The dominant winds </w:t>
      </w:r>
      <w:r>
        <w:rPr>
          <w:lang w:val="en-GB"/>
        </w:rPr>
        <w:t>come</w:t>
      </w:r>
      <w:r w:rsidRPr="00941F74">
        <w:rPr>
          <w:lang w:val="en-GB"/>
        </w:rPr>
        <w:t xml:space="preserve"> mostly from </w:t>
      </w:r>
      <w:r>
        <w:rPr>
          <w:lang w:val="en-GB"/>
        </w:rPr>
        <w:t xml:space="preserve">the </w:t>
      </w:r>
      <w:r w:rsidRPr="00941F74">
        <w:rPr>
          <w:lang w:val="en-GB"/>
        </w:rPr>
        <w:t xml:space="preserve">west and north-west; wind speed varies from 0 </w:t>
      </w:r>
      <w:r>
        <w:rPr>
          <w:lang w:val="en-GB"/>
        </w:rPr>
        <w:t>to</w:t>
      </w:r>
      <w:r w:rsidRPr="00941F74">
        <w:rPr>
          <w:lang w:val="en-GB"/>
        </w:rPr>
        <w:t xml:space="preserve"> 4 m.s</w:t>
      </w:r>
      <w:r w:rsidRPr="00941F74">
        <w:rPr>
          <w:vertAlign w:val="superscript"/>
          <w:lang w:val="en-GB"/>
        </w:rPr>
        <w:t>-1</w:t>
      </w:r>
      <w:r w:rsidRPr="00941F74">
        <w:rPr>
          <w:lang w:val="en-GB"/>
        </w:rPr>
        <w:t xml:space="preserve"> </w:t>
      </w:r>
      <w:r w:rsidRPr="00941F74">
        <w:rPr>
          <w:lang w:val="en-GB"/>
        </w:rPr>
        <w:fldChar w:fldCharType="begin" w:fldLock="1"/>
      </w:r>
      <w:r w:rsidR="003B1EC2">
        <w:rPr>
          <w:lang w:val="en-GB"/>
        </w:rPr>
        <w:instrText xml:space="preserve"> ADDIN ZOTERO_ITEM CSL_CITATION {"citationID":"SNWtJNK4","properties":{"formattedCitation":"(Szczypta et al., 2015)","plainCitation":"(Szczypta et al., 2015)","noteIndex":0},"citationItems":[{"id":1621,"uris":["http://www.mendeley.com/documents/?uuid=c928aeb7-e29e-49b3-ae0d-8fe38729eb2e","http://zotero.org/users/10290022/items/UQRR2X6D"],"itemData":{"id":1621,"type":"article-journal","abstract":"The seasonal snow in the Pyrenees Mountains is an essential source of runoff for hydropower production and crop irrigation in Spain and France. The Pyrenees are expected to undergo strong environmental perturbations over the 21st century because of climate change (rising temperatures) and the abandonment of agro-pastoral areas (reforestation). Both changes are happening at similar timescales and are expected to have an impact on snow cover. The effect of climate change on snow in the Pyrenees is well understood, but the effect of land cover changes is much less documented. Here, we analyze the response of snow cover to a combination of climate and land cover change scenarios in a small Pyrenean catchment (Bassiès, 14.5km2, elevation range 940-2651m a.s.l.) using a distributed snowpack evolution model. Climate scenarios were constructed from the output of regional climate model projections, whereas land cover scenarios were generated based on past observed changes and an inductive pattern-based model. The model was validated over a snow season using in situ snow depth measurements and high-resolution snow cover maps derived from SPOT (Satellite Pour l'Observation de la Terre - Earth Observation Satellite) satellite images. Model projections indicate that both climate and land cover changes reduce the mean snow depth. However, the impact on the snow cover duration is moderated in reforested areas by the shading effect of trees on the snow surface radiation balance. Most of the significant changes are expected to occur in the transition zone between 1500m a.s.l. and 2000m a.s.l. where (i) the projected increase in air temperatures decreases the snow fraction of the precipitation and (ii) the land cover changes are concentrated. However, the consequences on the runoff are limited because most of the meltwater originates from high-elevation areas of the catchment, which are less affected by climate change and reforestation.","container-title":"Journal of Hydrology","DOI":"10.1016/j.jhydrol.2014.11.060","ISSN":"00221694","note":"publisher: Elsevier B.V.\nISBN: 0022-1694","page":"84-99","title":"Impact of climate and land cover changes on snow cover in a small Pyrenean catchment","URL":"http://dx.doi.org/10.1016/j.jhydrol.2014.11.060","volume":"521","author":[{"family":"Szczypta","given":"C."},{"family":"Gascoin","given":"S."},{"family":"Houet","given":"Thomas"},{"family":"Hagolle","given":"O."},{"family":"Dejoux","given":"J. F."},{"family":"Vigneau","given":"C."},{"family":"Fanise","given":"P."}],"issued":{"date-parts":[["2015"]]}}}],"schema":"https://github.com/citation-style-language/schema/raw/master/csl-citation.json"} </w:instrText>
      </w:r>
      <w:r w:rsidRPr="00941F74">
        <w:rPr>
          <w:lang w:val="en-GB"/>
        </w:rPr>
        <w:fldChar w:fldCharType="separate"/>
      </w:r>
      <w:r w:rsidR="003B1EC2" w:rsidRPr="003B1EC2">
        <w:rPr>
          <w:rFonts w:ascii="Calibri" w:hAnsi="Calibri" w:cs="Calibri"/>
          <w:lang w:val="en-US"/>
        </w:rPr>
        <w:t>(Szczypta et al., 2015)</w:t>
      </w:r>
      <w:r w:rsidRPr="00941F74">
        <w:rPr>
          <w:lang w:val="en-GB"/>
        </w:rPr>
        <w:fldChar w:fldCharType="end"/>
      </w:r>
      <w:r w:rsidRPr="00941F74">
        <w:rPr>
          <w:lang w:val="en-GB"/>
        </w:rPr>
        <w:t xml:space="preserve">. </w:t>
      </w:r>
    </w:p>
    <w:p w14:paraId="43C83DDA" w14:textId="2B78BB6A" w:rsidR="00FA7DCF" w:rsidRPr="00941F74" w:rsidRDefault="0080105F">
      <w:pPr>
        <w:suppressLineNumbers/>
        <w:spacing w:line="480" w:lineRule="auto"/>
        <w:rPr>
          <w:rFonts w:cstheme="minorHAnsi"/>
          <w:lang w:val="en-GB"/>
        </w:rPr>
      </w:pPr>
      <w:r>
        <w:rPr>
          <w:rFonts w:cstheme="minorHAnsi"/>
          <w:noProof/>
          <w:color w:val="FF0000"/>
          <w:lang w:eastAsia="fr-FR"/>
        </w:rPr>
        <w:lastRenderedPageBreak/>
        <w:drawing>
          <wp:inline distT="0" distB="0" distL="0" distR="0" wp14:anchorId="68CA1DBD" wp14:editId="3A535F38">
            <wp:extent cx="5758815" cy="2078990"/>
            <wp:effectExtent l="0" t="0" r="0" b="0"/>
            <wp:docPr id="2" name="Image 2" descr="C:\Users\clpl\AppData\Local\Microsoft\Windows\INetCache\Content.Word\Fig1_localisation_a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lpl\AppData\Local\Microsoft\Windows\INetCache\Content.Word\Fig1_localisation_arial.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8815" cy="2078990"/>
                    </a:xfrm>
                    <a:prstGeom prst="rect">
                      <a:avLst/>
                    </a:prstGeom>
                    <a:noFill/>
                    <a:ln>
                      <a:noFill/>
                    </a:ln>
                  </pic:spPr>
                </pic:pic>
              </a:graphicData>
            </a:graphic>
          </wp:inline>
        </w:drawing>
      </w:r>
      <w:r w:rsidR="00FA7DCF" w:rsidRPr="00941F74">
        <w:rPr>
          <w:rFonts w:cstheme="minorHAnsi"/>
          <w:b/>
          <w:lang w:val="en-GB"/>
        </w:rPr>
        <w:t>Figure 1:</w:t>
      </w:r>
      <w:r w:rsidR="00FA7DCF" w:rsidRPr="00941F74">
        <w:rPr>
          <w:rFonts w:cstheme="minorHAnsi"/>
          <w:lang w:val="en-GB"/>
        </w:rPr>
        <w:t xml:space="preserve"> Location of the study zone (black line) and the targeted sedimentary sites with available TW1995 LOVE estimates of vegetation composition within 1 km Relevant Source Area of Pollen (</w:t>
      </w:r>
      <w:proofErr w:type="spellStart"/>
      <w:r w:rsidR="00FA7DCF" w:rsidRPr="00941F74">
        <w:rPr>
          <w:rFonts w:cstheme="minorHAnsi"/>
          <w:lang w:val="en-GB"/>
        </w:rPr>
        <w:t>Plancher</w:t>
      </w:r>
      <w:proofErr w:type="spellEnd"/>
      <w:r w:rsidR="00FA7DCF" w:rsidRPr="00941F74">
        <w:rPr>
          <w:rFonts w:cstheme="minorHAnsi"/>
          <w:lang w:val="en-GB"/>
        </w:rPr>
        <w:t xml:space="preserve"> et al., 2022).</w:t>
      </w:r>
    </w:p>
    <w:p w14:paraId="049F1C04" w14:textId="6B663D24" w:rsidR="00C312CE" w:rsidRPr="00941F74" w:rsidRDefault="00C312CE">
      <w:pPr>
        <w:pStyle w:val="Paragraphedeliste"/>
        <w:spacing w:line="480" w:lineRule="auto"/>
        <w:ind w:left="0"/>
        <w:rPr>
          <w:rFonts w:cstheme="minorHAnsi"/>
          <w:lang w:val="en-GB"/>
        </w:rPr>
      </w:pPr>
      <w:r w:rsidRPr="00941F74">
        <w:rPr>
          <w:rFonts w:cstheme="minorHAnsi"/>
          <w:lang w:val="en-GB"/>
        </w:rPr>
        <w:t xml:space="preserve">Our study area covers </w:t>
      </w:r>
      <w:r w:rsidR="009B5562" w:rsidRPr="00941F74">
        <w:rPr>
          <w:rFonts w:cstheme="minorHAnsi"/>
          <w:lang w:val="en-GB"/>
        </w:rPr>
        <w:t>9</w:t>
      </w:r>
      <w:r w:rsidRPr="00941F74">
        <w:rPr>
          <w:rFonts w:cstheme="minorHAnsi"/>
          <w:lang w:val="en-GB"/>
        </w:rPr>
        <w:t xml:space="preserve">km² in the </w:t>
      </w:r>
      <w:proofErr w:type="spellStart"/>
      <w:r w:rsidRPr="00941F74">
        <w:rPr>
          <w:rFonts w:cstheme="minorHAnsi"/>
          <w:lang w:val="en-GB"/>
        </w:rPr>
        <w:t>Bassiès</w:t>
      </w:r>
      <w:proofErr w:type="spellEnd"/>
      <w:r w:rsidRPr="00941F74">
        <w:rPr>
          <w:rFonts w:cstheme="minorHAnsi"/>
          <w:lang w:val="en-GB"/>
        </w:rPr>
        <w:t xml:space="preserve"> valley and its vicinity: it is delimited by the 1km Relevant Source Areas of Pollen (RSAPs) of the seven sedimentary sites </w:t>
      </w:r>
      <w:r w:rsidR="00A549F5" w:rsidRPr="00941F74">
        <w:rPr>
          <w:rFonts w:cstheme="minorHAnsi"/>
          <w:lang w:val="en-GB"/>
        </w:rPr>
        <w:t xml:space="preserve">for which LOVE estimates are available </w:t>
      </w:r>
      <w:r w:rsidR="002C54F8" w:rsidRPr="00941F74">
        <w:rPr>
          <w:rFonts w:cstheme="minorHAnsi"/>
          <w:lang w:val="en-GB"/>
        </w:rPr>
        <w:fldChar w:fldCharType="begin"/>
      </w:r>
      <w:r w:rsidR="003B1EC2">
        <w:rPr>
          <w:rFonts w:cstheme="minorHAnsi"/>
          <w:lang w:val="en-GB"/>
        </w:rPr>
        <w:instrText xml:space="preserve"> ADDIN ZOTERO_ITEM CSL_CITATION {"citationID":"KUqZtpAL","properties":{"formattedCitation":"(Plancher et al., 2022)","plainCitation":"(Plancher et al., 2022)","noteIndex":0},"citationItems":[{"id":3227,"uris":["http://zotero.org/users/10290022/items/T4Q5CY5M"],"itemData":{"id":3227,"type":"article-journal","container-title":"Quaternary Science Reviews","DOI":"https://doi.org/10.1016/j.quascirev.2022.107753","page":"107753","title":"Spatial and temporal patterns of upland vegetation over the last 200 years in the northern pyrenees: Example from the Bassiès valley, Ariège, France","volume":"294","author":[{"family":"Plancher","given":"Clara"},{"family":"Galop","given":"Didier"},{"family":"Houet","given":"Thomas"},{"family":"Lerigoleur","given":"Emile"},{"family":"Marquer","given":"Laurent"},{"family":"Sugita","given":"Shinya"},{"family":"Mazier","given":"Florence"}],"issued":{"date-parts":[["2022"]]}}}],"schema":"https://github.com/citation-style-language/schema/raw/master/csl-citation.json"} </w:instrText>
      </w:r>
      <w:r w:rsidR="002C54F8" w:rsidRPr="00941F74">
        <w:rPr>
          <w:rFonts w:cstheme="minorHAnsi"/>
          <w:lang w:val="en-GB"/>
        </w:rPr>
        <w:fldChar w:fldCharType="separate"/>
      </w:r>
      <w:r w:rsidR="003B1EC2" w:rsidRPr="003B1EC2">
        <w:rPr>
          <w:rFonts w:ascii="Calibri" w:hAnsi="Calibri" w:cs="Calibri"/>
          <w:lang w:val="en-US"/>
        </w:rPr>
        <w:t>(Plancher et al., 2022)</w:t>
      </w:r>
      <w:r w:rsidR="002C54F8" w:rsidRPr="00941F74">
        <w:rPr>
          <w:rFonts w:cstheme="minorHAnsi"/>
          <w:lang w:val="en-GB"/>
        </w:rPr>
        <w:fldChar w:fldCharType="end"/>
      </w:r>
      <w:r w:rsidR="002C54F8" w:rsidRPr="00941F74">
        <w:rPr>
          <w:rFonts w:cstheme="minorHAnsi"/>
          <w:lang w:val="en-GB"/>
        </w:rPr>
        <w:t xml:space="preserve"> </w:t>
      </w:r>
      <w:r w:rsidR="00A549F5" w:rsidRPr="00941F74">
        <w:rPr>
          <w:rFonts w:cstheme="minorHAnsi"/>
          <w:lang w:val="en-GB"/>
        </w:rPr>
        <w:t xml:space="preserve">and </w:t>
      </w:r>
      <w:r w:rsidR="0027145B">
        <w:rPr>
          <w:rFonts w:cstheme="minorHAnsi"/>
          <w:lang w:val="en-GB"/>
        </w:rPr>
        <w:t xml:space="preserve">that are </w:t>
      </w:r>
      <w:r w:rsidR="00A549F5" w:rsidRPr="00941F74">
        <w:rPr>
          <w:rFonts w:cstheme="minorHAnsi"/>
          <w:lang w:val="en-GB"/>
        </w:rPr>
        <w:t>required in</w:t>
      </w:r>
      <w:r w:rsidRPr="00941F74">
        <w:rPr>
          <w:rFonts w:cstheme="minorHAnsi"/>
          <w:lang w:val="en-GB"/>
        </w:rPr>
        <w:t xml:space="preserve"> this paper for land-cover backward prediction. The northern part of our study area</w:t>
      </w:r>
      <w:r w:rsidR="00F10ED3" w:rsidRPr="00941F74">
        <w:rPr>
          <w:rFonts w:cstheme="minorHAnsi"/>
          <w:lang w:val="en-GB"/>
        </w:rPr>
        <w:t xml:space="preserve"> e</w:t>
      </w:r>
      <w:r w:rsidRPr="00941F74">
        <w:rPr>
          <w:rFonts w:cstheme="minorHAnsi"/>
          <w:lang w:val="en-GB"/>
        </w:rPr>
        <w:t xml:space="preserve">xtends down the northern slopes towards the adjacent valleys of </w:t>
      </w:r>
      <w:proofErr w:type="spellStart"/>
      <w:r w:rsidRPr="00941F74">
        <w:rPr>
          <w:rFonts w:cstheme="minorHAnsi"/>
          <w:lang w:val="en-GB"/>
        </w:rPr>
        <w:t>Aulus</w:t>
      </w:r>
      <w:proofErr w:type="spellEnd"/>
      <w:r w:rsidRPr="00941F74">
        <w:rPr>
          <w:rFonts w:cstheme="minorHAnsi"/>
          <w:lang w:val="en-GB"/>
        </w:rPr>
        <w:t xml:space="preserve"> (northwest</w:t>
      </w:r>
      <w:r w:rsidR="00F10ED3" w:rsidRPr="00941F74">
        <w:rPr>
          <w:rFonts w:cstheme="minorHAnsi"/>
          <w:lang w:val="en-GB"/>
        </w:rPr>
        <w:t>, not shown</w:t>
      </w:r>
      <w:r w:rsidRPr="00941F74">
        <w:rPr>
          <w:rFonts w:cstheme="minorHAnsi"/>
          <w:lang w:val="en-GB"/>
        </w:rPr>
        <w:t xml:space="preserve">) and </w:t>
      </w:r>
      <w:proofErr w:type="spellStart"/>
      <w:r w:rsidRPr="00941F74">
        <w:rPr>
          <w:rFonts w:cstheme="minorHAnsi"/>
          <w:lang w:val="en-GB"/>
        </w:rPr>
        <w:t>Auzat</w:t>
      </w:r>
      <w:proofErr w:type="spellEnd"/>
      <w:r w:rsidRPr="00941F74">
        <w:rPr>
          <w:rFonts w:cstheme="minorHAnsi"/>
          <w:lang w:val="en-GB"/>
        </w:rPr>
        <w:t xml:space="preserve"> (northeast</w:t>
      </w:r>
      <w:r w:rsidR="00F10ED3" w:rsidRPr="00941F74">
        <w:rPr>
          <w:rFonts w:cstheme="minorHAnsi"/>
          <w:lang w:val="en-GB"/>
        </w:rPr>
        <w:t xml:space="preserve">, </w:t>
      </w:r>
      <w:r w:rsidR="00F10ED3" w:rsidRPr="00D57B90">
        <w:rPr>
          <w:rFonts w:cstheme="minorHAnsi"/>
          <w:color w:val="FF0000"/>
          <w:lang w:val="en-GB"/>
        </w:rPr>
        <w:t>Fig.1</w:t>
      </w:r>
      <w:r w:rsidRPr="00941F74">
        <w:rPr>
          <w:rFonts w:cstheme="minorHAnsi"/>
          <w:lang w:val="en-GB"/>
        </w:rPr>
        <w:t xml:space="preserve">) to a minimum altitude of 1066m. The southern part rises beyond </w:t>
      </w:r>
      <w:r w:rsidR="0027145B">
        <w:rPr>
          <w:rFonts w:cstheme="minorHAnsi"/>
          <w:lang w:val="en-GB"/>
        </w:rPr>
        <w:t>Lake</w:t>
      </w:r>
      <w:r w:rsidR="0027145B" w:rsidRPr="00941F74">
        <w:rPr>
          <w:rFonts w:cstheme="minorHAnsi"/>
          <w:lang w:val="en-GB"/>
        </w:rPr>
        <w:t xml:space="preserve"> </w:t>
      </w:r>
      <w:proofErr w:type="spellStart"/>
      <w:r w:rsidRPr="00941F74">
        <w:rPr>
          <w:rFonts w:cstheme="minorHAnsi"/>
          <w:lang w:val="en-GB"/>
        </w:rPr>
        <w:t>Sigriou</w:t>
      </w:r>
      <w:proofErr w:type="spellEnd"/>
      <w:r w:rsidRPr="00941F74">
        <w:rPr>
          <w:rFonts w:cstheme="minorHAnsi"/>
          <w:lang w:val="en-GB"/>
        </w:rPr>
        <w:t xml:space="preserve"> </w:t>
      </w:r>
      <w:r w:rsidR="00F10ED3" w:rsidRPr="00941F74">
        <w:rPr>
          <w:rFonts w:cstheme="minorHAnsi"/>
          <w:lang w:val="en-GB"/>
        </w:rPr>
        <w:t>(SIG)</w:t>
      </w:r>
      <w:r w:rsidRPr="00941F74">
        <w:rPr>
          <w:rFonts w:cstheme="minorHAnsi"/>
          <w:lang w:val="en-GB"/>
        </w:rPr>
        <w:t xml:space="preserve"> and represents the highest part</w:t>
      </w:r>
      <w:r w:rsidR="004F73AC" w:rsidRPr="00941F74">
        <w:rPr>
          <w:rFonts w:cstheme="minorHAnsi"/>
          <w:lang w:val="en-GB"/>
        </w:rPr>
        <w:t xml:space="preserve"> reaching </w:t>
      </w:r>
      <w:r w:rsidRPr="00941F74">
        <w:rPr>
          <w:rFonts w:cstheme="minorHAnsi"/>
          <w:lang w:val="en-GB"/>
        </w:rPr>
        <w:t>2410m of elevation.</w:t>
      </w:r>
    </w:p>
    <w:p w14:paraId="67027CD3" w14:textId="1DEA780E" w:rsidR="00C312CE" w:rsidRPr="00941F74" w:rsidRDefault="00C312CE">
      <w:pPr>
        <w:pStyle w:val="Paragraphedeliste"/>
        <w:spacing w:line="480" w:lineRule="auto"/>
        <w:ind w:left="0"/>
        <w:rPr>
          <w:rFonts w:cstheme="minorHAnsi"/>
          <w:lang w:val="en-GB"/>
        </w:rPr>
      </w:pPr>
      <w:r w:rsidRPr="00941F74">
        <w:rPr>
          <w:rFonts w:cstheme="minorHAnsi"/>
          <w:lang w:val="en-GB"/>
        </w:rPr>
        <w:t xml:space="preserve">The </w:t>
      </w:r>
      <w:r w:rsidR="003D6351" w:rsidRPr="00941F74">
        <w:rPr>
          <w:rFonts w:cstheme="minorHAnsi"/>
          <w:lang w:val="en-GB"/>
        </w:rPr>
        <w:t xml:space="preserve">modern </w:t>
      </w:r>
      <w:r w:rsidRPr="00941F74">
        <w:rPr>
          <w:rFonts w:cstheme="minorHAnsi"/>
          <w:lang w:val="en-GB"/>
        </w:rPr>
        <w:t xml:space="preserve">vegetation </w:t>
      </w:r>
      <w:r w:rsidR="003D6351" w:rsidRPr="00941F74">
        <w:rPr>
          <w:rFonts w:cstheme="minorHAnsi"/>
          <w:lang w:val="en-GB"/>
        </w:rPr>
        <w:t>is</w:t>
      </w:r>
      <w:r w:rsidRPr="00941F74">
        <w:rPr>
          <w:rFonts w:cstheme="minorHAnsi"/>
          <w:lang w:val="en-GB"/>
        </w:rPr>
        <w:t xml:space="preserve"> </w:t>
      </w:r>
      <w:r w:rsidR="003D6351" w:rsidRPr="00941F74">
        <w:rPr>
          <w:rFonts w:cstheme="minorHAnsi"/>
          <w:lang w:val="en-GB"/>
        </w:rPr>
        <w:t xml:space="preserve">dominated by </w:t>
      </w:r>
      <w:r w:rsidR="00601071">
        <w:rPr>
          <w:rFonts w:cstheme="minorHAnsi"/>
          <w:lang w:val="en-GB"/>
        </w:rPr>
        <w:t>heathlands (</w:t>
      </w:r>
      <w:r w:rsidR="003D6351" w:rsidRPr="00941F74">
        <w:rPr>
          <w:rFonts w:cstheme="minorHAnsi"/>
          <w:i/>
          <w:lang w:val="en-GB"/>
        </w:rPr>
        <w:t xml:space="preserve">Rhododendron </w:t>
      </w:r>
      <w:proofErr w:type="spellStart"/>
      <w:r w:rsidR="003D6351" w:rsidRPr="00941F74">
        <w:rPr>
          <w:rFonts w:cstheme="minorHAnsi"/>
          <w:i/>
          <w:lang w:val="en-GB"/>
        </w:rPr>
        <w:t>ferrugineum</w:t>
      </w:r>
      <w:proofErr w:type="spellEnd"/>
      <w:r w:rsidR="003D6351" w:rsidRPr="00941F74">
        <w:rPr>
          <w:rFonts w:cstheme="minorHAnsi"/>
          <w:lang w:val="en-GB"/>
        </w:rPr>
        <w:t xml:space="preserve"> or </w:t>
      </w:r>
      <w:proofErr w:type="spellStart"/>
      <w:r w:rsidR="003D6351" w:rsidRPr="00941F74">
        <w:rPr>
          <w:rFonts w:cstheme="minorHAnsi"/>
          <w:i/>
          <w:lang w:val="en-GB"/>
        </w:rPr>
        <w:t>Calluna</w:t>
      </w:r>
      <w:proofErr w:type="spellEnd"/>
      <w:r w:rsidR="003D6351" w:rsidRPr="00941F74">
        <w:rPr>
          <w:rFonts w:cstheme="minorHAnsi"/>
          <w:i/>
          <w:lang w:val="en-GB"/>
        </w:rPr>
        <w:t xml:space="preserve"> vulgaris</w:t>
      </w:r>
      <w:r w:rsidR="003D6351" w:rsidRPr="00941F74">
        <w:rPr>
          <w:rFonts w:cstheme="minorHAnsi"/>
          <w:lang w:val="en-GB"/>
        </w:rPr>
        <w:t>-dominated) with different-sized</w:t>
      </w:r>
      <w:r w:rsidRPr="00941F74">
        <w:rPr>
          <w:rFonts w:cstheme="minorHAnsi"/>
          <w:lang w:val="en-GB"/>
        </w:rPr>
        <w:t xml:space="preserve"> patches of grassland</w:t>
      </w:r>
      <w:r w:rsidR="003D6351" w:rsidRPr="00941F74">
        <w:rPr>
          <w:rFonts w:cstheme="minorHAnsi"/>
          <w:lang w:val="en-GB"/>
        </w:rPr>
        <w:t>s</w:t>
      </w:r>
      <w:r w:rsidRPr="00941F74">
        <w:rPr>
          <w:rFonts w:cstheme="minorHAnsi"/>
          <w:lang w:val="en-GB"/>
        </w:rPr>
        <w:t xml:space="preserve"> (</w:t>
      </w:r>
      <w:proofErr w:type="spellStart"/>
      <w:r w:rsidRPr="00941F74">
        <w:rPr>
          <w:rFonts w:cstheme="minorHAnsi"/>
          <w:i/>
          <w:lang w:val="en-GB"/>
        </w:rPr>
        <w:t>Festuca</w:t>
      </w:r>
      <w:proofErr w:type="spellEnd"/>
      <w:r w:rsidRPr="00941F74">
        <w:rPr>
          <w:rFonts w:cstheme="minorHAnsi"/>
          <w:i/>
          <w:lang w:val="en-GB"/>
        </w:rPr>
        <w:t xml:space="preserve"> </w:t>
      </w:r>
      <w:proofErr w:type="spellStart"/>
      <w:r w:rsidRPr="00941F74">
        <w:rPr>
          <w:rFonts w:cstheme="minorHAnsi"/>
          <w:i/>
          <w:lang w:val="en-GB"/>
        </w:rPr>
        <w:t>eskia</w:t>
      </w:r>
      <w:proofErr w:type="spellEnd"/>
      <w:r w:rsidRPr="00941F74">
        <w:rPr>
          <w:rFonts w:cstheme="minorHAnsi"/>
          <w:i/>
          <w:lang w:val="en-GB"/>
        </w:rPr>
        <w:t xml:space="preserve">, </w:t>
      </w:r>
      <w:proofErr w:type="spellStart"/>
      <w:r w:rsidRPr="00941F74">
        <w:rPr>
          <w:rFonts w:cstheme="minorHAnsi"/>
          <w:i/>
          <w:lang w:val="en-GB"/>
        </w:rPr>
        <w:t>Nardus</w:t>
      </w:r>
      <w:proofErr w:type="spellEnd"/>
      <w:r w:rsidRPr="00941F74">
        <w:rPr>
          <w:rFonts w:cstheme="minorHAnsi"/>
          <w:i/>
          <w:lang w:val="en-GB"/>
        </w:rPr>
        <w:t xml:space="preserve"> </w:t>
      </w:r>
      <w:proofErr w:type="spellStart"/>
      <w:r w:rsidRPr="00941F74">
        <w:rPr>
          <w:rFonts w:cstheme="minorHAnsi"/>
          <w:i/>
          <w:lang w:val="en-GB"/>
        </w:rPr>
        <w:t>stricta</w:t>
      </w:r>
      <w:proofErr w:type="spellEnd"/>
      <w:r w:rsidRPr="00941F74">
        <w:rPr>
          <w:rFonts w:cstheme="minorHAnsi"/>
          <w:lang w:val="en-GB"/>
        </w:rPr>
        <w:t>)</w:t>
      </w:r>
      <w:r w:rsidR="003D6351" w:rsidRPr="00941F74">
        <w:rPr>
          <w:rFonts w:cstheme="minorHAnsi"/>
          <w:lang w:val="en-GB"/>
        </w:rPr>
        <w:t xml:space="preserve"> </w:t>
      </w:r>
      <w:r w:rsidR="00F10ED3" w:rsidRPr="00941F74">
        <w:rPr>
          <w:rFonts w:cstheme="minorHAnsi"/>
          <w:lang w:val="en-GB"/>
        </w:rPr>
        <w:t xml:space="preserve">mainly </w:t>
      </w:r>
      <w:r w:rsidR="00E76259" w:rsidRPr="00941F74">
        <w:rPr>
          <w:rFonts w:cstheme="minorHAnsi"/>
          <w:lang w:val="en-GB"/>
        </w:rPr>
        <w:t xml:space="preserve">distributed </w:t>
      </w:r>
      <w:r w:rsidR="003D6351" w:rsidRPr="00941F74">
        <w:rPr>
          <w:rFonts w:cstheme="minorHAnsi"/>
          <w:lang w:val="en-GB"/>
        </w:rPr>
        <w:t>on slopes</w:t>
      </w:r>
      <w:r w:rsidRPr="00941F74">
        <w:rPr>
          <w:rFonts w:cstheme="minorHAnsi"/>
          <w:lang w:val="en-GB"/>
        </w:rPr>
        <w:t xml:space="preserve">. Patches of forest are </w:t>
      </w:r>
      <w:r w:rsidR="00700857" w:rsidRPr="00941F74">
        <w:rPr>
          <w:rFonts w:cstheme="minorHAnsi"/>
          <w:lang w:val="en-GB"/>
        </w:rPr>
        <w:t>mainly found on</w:t>
      </w:r>
      <w:r w:rsidRPr="00941F74">
        <w:rPr>
          <w:rFonts w:cstheme="minorHAnsi"/>
          <w:lang w:val="en-GB"/>
        </w:rPr>
        <w:t xml:space="preserve"> the northern slopes, with beech-dominated forests and</w:t>
      </w:r>
      <w:r w:rsidR="00B24C4B">
        <w:rPr>
          <w:rFonts w:cstheme="minorHAnsi"/>
          <w:lang w:val="en-GB"/>
        </w:rPr>
        <w:t xml:space="preserve"> clumps of</w:t>
      </w:r>
      <w:r w:rsidRPr="00941F74">
        <w:rPr>
          <w:rFonts w:cstheme="minorHAnsi"/>
          <w:lang w:val="en-GB"/>
        </w:rPr>
        <w:t xml:space="preserve"> </w:t>
      </w:r>
      <w:proofErr w:type="spellStart"/>
      <w:r w:rsidRPr="00941F74">
        <w:rPr>
          <w:rFonts w:cstheme="minorHAnsi"/>
          <w:i/>
          <w:lang w:val="en-GB"/>
        </w:rPr>
        <w:t>Pinus</w:t>
      </w:r>
      <w:proofErr w:type="spellEnd"/>
      <w:r w:rsidRPr="00941F74">
        <w:rPr>
          <w:rFonts w:cstheme="minorHAnsi"/>
          <w:i/>
          <w:lang w:val="en-GB"/>
        </w:rPr>
        <w:t xml:space="preserve"> </w:t>
      </w:r>
      <w:proofErr w:type="spellStart"/>
      <w:r w:rsidRPr="00941F74">
        <w:rPr>
          <w:rFonts w:cstheme="minorHAnsi"/>
          <w:i/>
          <w:lang w:val="en-GB"/>
        </w:rPr>
        <w:t>uncinata</w:t>
      </w:r>
      <w:proofErr w:type="spellEnd"/>
      <w:r w:rsidRPr="00941F74">
        <w:rPr>
          <w:rFonts w:cstheme="minorHAnsi"/>
          <w:lang w:val="en-GB"/>
        </w:rPr>
        <w:t xml:space="preserve"> mainly below and above 1600m respectively.</w:t>
      </w:r>
    </w:p>
    <w:p w14:paraId="4FECB80E" w14:textId="496F736D" w:rsidR="00C312CE" w:rsidRPr="00941F74" w:rsidRDefault="00C312CE">
      <w:pPr>
        <w:pStyle w:val="Titre2"/>
        <w:numPr>
          <w:ilvl w:val="1"/>
          <w:numId w:val="22"/>
        </w:numPr>
        <w:spacing w:line="480" w:lineRule="auto"/>
        <w:rPr>
          <w:rFonts w:asciiTheme="minorHAnsi" w:hAnsiTheme="minorHAnsi" w:cstheme="minorHAnsi"/>
          <w:sz w:val="22"/>
          <w:szCs w:val="22"/>
          <w:lang w:val="en-US"/>
        </w:rPr>
      </w:pPr>
      <w:r w:rsidRPr="00941F74">
        <w:rPr>
          <w:rFonts w:asciiTheme="minorHAnsi" w:hAnsiTheme="minorHAnsi" w:cstheme="minorHAnsi"/>
          <w:sz w:val="22"/>
          <w:szCs w:val="22"/>
          <w:lang w:val="en-US"/>
        </w:rPr>
        <w:t>Datasets</w:t>
      </w:r>
    </w:p>
    <w:p w14:paraId="475DD2CB" w14:textId="4FE99539" w:rsidR="00C312CE" w:rsidRPr="00941F74" w:rsidRDefault="00C312CE">
      <w:pPr>
        <w:spacing w:line="480" w:lineRule="auto"/>
        <w:rPr>
          <w:rFonts w:cstheme="minorHAnsi"/>
          <w:lang w:val="en-US"/>
        </w:rPr>
      </w:pPr>
      <w:r w:rsidRPr="00941F74">
        <w:rPr>
          <w:rFonts w:cstheme="minorHAnsi"/>
          <w:lang w:val="en-US"/>
        </w:rPr>
        <w:t xml:space="preserve">The </w:t>
      </w:r>
      <w:r w:rsidR="00190051" w:rsidRPr="00941F74">
        <w:rPr>
          <w:rFonts w:cstheme="minorHAnsi"/>
          <w:lang w:val="en-US"/>
        </w:rPr>
        <w:t>approach</w:t>
      </w:r>
      <w:r w:rsidRPr="00941F74">
        <w:rPr>
          <w:rFonts w:cstheme="minorHAnsi"/>
          <w:lang w:val="en-US"/>
        </w:rPr>
        <w:t xml:space="preserve"> to reconstruct past land-cover maps requires (</w:t>
      </w:r>
      <w:r w:rsidR="00937848" w:rsidRPr="00941F74">
        <w:rPr>
          <w:rFonts w:cstheme="minorHAnsi"/>
          <w:lang w:val="en-US"/>
        </w:rPr>
        <w:t>2.2.1.</w:t>
      </w:r>
      <w:r w:rsidRPr="00941F74">
        <w:rPr>
          <w:rFonts w:cstheme="minorHAnsi"/>
          <w:lang w:val="en-US"/>
        </w:rPr>
        <w:t xml:space="preserve">) pollen data from several nearby sites </w:t>
      </w:r>
      <w:r w:rsidR="00700857" w:rsidRPr="00941F74">
        <w:rPr>
          <w:rFonts w:cstheme="minorHAnsi"/>
          <w:lang w:val="en-US"/>
        </w:rPr>
        <w:t xml:space="preserve">translated into percentage cover of plant taxa using the LRA approach </w:t>
      </w:r>
      <w:r w:rsidR="002C54F8" w:rsidRPr="00941F74">
        <w:rPr>
          <w:rFonts w:cstheme="minorHAnsi"/>
          <w:lang w:val="en-US"/>
        </w:rPr>
        <w:fldChar w:fldCharType="begin"/>
      </w:r>
      <w:r w:rsidR="003B1EC2">
        <w:rPr>
          <w:rFonts w:cstheme="minorHAnsi"/>
          <w:lang w:val="en-US"/>
        </w:rPr>
        <w:instrText xml:space="preserve"> ADDIN ZOTERO_ITEM CSL_CITATION {"citationID":"x9hbKDBk","properties":{"formattedCitation":"(Sugita, 2007a, 2007b)","plainCitation":"(Sugita, 2007a, 2007b)","noteIndex":0},"citationItems":[{"id":83,"uris":["http://zotero.org/users/10290022/items/PDK5TWZE"],"itemData":{"id":83,"type":"article-journal","abstract":"This paper describes the LOVE (LOcal Vegetation Estimates) model for estimating local vegetation composition within the relevant source area of pollen. This model quantifies and then subtracts background pollen tie, pollen coming from beyond the relevant source area) in order to arrive at a quantitative reconstruction of local vegetation. Parameters required for LOVE applications are pollen counts from target sites, the relevant source area of pollen of these sites, pollen productivity estimates and regional vegetation composition within 10(4)-10(5) km(2). Regional vegetation composition is obtained using fossil pollen from large sites (&gt;= 10(2) ha) with the REVEALS (Regional Estimates of VEgetation Abundance from Large Sites) model, the first step of the Landscape Reconstruction Algorithm (LRA) specifically designed for LOVE applications. POLLSCAPE simulations demonstrate that (1) regional vegetation composition can be used to predict background pollen at and beyond the relevant source area of pollen for given-sized basins, (2) LOVE with the LRA framework provides a robust and accurate estimate of local vegetation composition much better than vegetation reconstruction using pollen percentages alone and (3) although the relevant source area of pollen is difficult to estimate particularly in past landscapes, a proposed method using backward modelling of LOVE is effective to estimate the relevant source area in landscapes of unknown vegetation patchiness and heterogeneity. Thus, the LRA will also be useful to estimate indirectly changes in spatial structure of past vegetation and landscape caused by natural and anthropogenic forcing.","container-title":"The Holocene","DOI":"10.1177/0959683607075838","ISSN":"0959-6836","issue":"2","note":"ISBN: 0959-6836","page":"229-241","title":"Theory of quantitative reconstruction of vegetation I: pollen from large sites REVEALS regional vegetation composition.","volume":"17","author":[{"family":"Sugita","given":"Shinya"}],"issued":{"date-parts":[["2007"]]}}},{"id":2449,"uris":["http://www.mendeley.com/documents/?uuid=7639867d-dd42-4f40-a31d-23169d3bfea6","http://zotero.org/users/10290022/items/PIKT3FP4"],"itemData":{"id":2449,"type":"article-journal","abstract":"This paper describes the LOVE (LOcal Vegetation Estimates) model for estimating local vegetation composition within the relevant source area of pollen. This model quantifies and then subtracts background pollen tie, pollen coming from beyond the relevant source area) in order to arrive at a quantitative reconstruction of local vegetation. Parameters required for LOVE applications are pollen counts from target sites, the relevant source area of pollen of these sites, pollen productivity estimates and regional vegetation composition within 10(4)-10(5) km(2). Regional vegetation composition is obtained using fossil pollen from large sites (&gt;= 10(2) ha) with the REVEALS (Regional Estimates of VEgetation Abundance from Large Sites) model, the first step of the Landscape Reconstruction Algorithm (LRA) specifically designed for LOVE applications. POLLSCAPE simulations demonstrate that (1) regional vegetation composition can be used to predict background pollen at and beyond the relevant source area of pollen for given-sized basins, (2) LOVE with the LRA framework provides a robust and accurate estimate of local vegetation composition much better than vegetation reconstruction using pollen percentages alone and (3) although the relevant source area of pollen is difficult to estimate particularly in past landscapes, a proposed method using backward modelling of LOVE is effective to estimate the relevant source area in landscapes of unknown vegetation patchiness and heterogeneity. Thus, the LRA will also be useful to estimate indirectly changes in spatial structure of past vegetation and landscape caused by natural and anthropogenic forcing.","container-title":"Holocene","DOI":"10.1177/0959683607075838","ISSN":"09596836","issue":"2","note":"ISBN: 0959-6836","page":"243-257","title":"Theory of quantitative reconstruction of vegetation II: All you need is LOVE","URL":"http://journals.sagepub.com/doi/10.1177/0959683607075838","volume":"17","author":[{"family":"Sugita","given":"Shinya"}],"issued":{"date-parts":[["2007"]]}}}],"schema":"https://github.com/citation-style-language/schema/raw/master/csl-citation.json"} </w:instrText>
      </w:r>
      <w:r w:rsidR="002C54F8" w:rsidRPr="00941F74">
        <w:rPr>
          <w:rFonts w:cstheme="minorHAnsi"/>
          <w:lang w:val="en-US"/>
        </w:rPr>
        <w:fldChar w:fldCharType="separate"/>
      </w:r>
      <w:r w:rsidR="003B1EC2" w:rsidRPr="003B1EC2">
        <w:rPr>
          <w:rFonts w:ascii="Calibri" w:hAnsi="Calibri" w:cs="Calibri"/>
          <w:lang w:val="en-US"/>
        </w:rPr>
        <w:t>(Sugita, 2007a, 2007b)</w:t>
      </w:r>
      <w:r w:rsidR="002C54F8" w:rsidRPr="00941F74">
        <w:rPr>
          <w:rFonts w:cstheme="minorHAnsi"/>
          <w:lang w:val="en-US"/>
        </w:rPr>
        <w:fldChar w:fldCharType="end"/>
      </w:r>
      <w:r w:rsidRPr="00941F74">
        <w:rPr>
          <w:rFonts w:cstheme="minorHAnsi"/>
          <w:lang w:val="en-US"/>
        </w:rPr>
        <w:t>, as well as (</w:t>
      </w:r>
      <w:r w:rsidR="00937848" w:rsidRPr="00941F74">
        <w:rPr>
          <w:rFonts w:cstheme="minorHAnsi"/>
          <w:lang w:val="en-US"/>
        </w:rPr>
        <w:t>2.2.2.</w:t>
      </w:r>
      <w:r w:rsidRPr="00941F74">
        <w:rPr>
          <w:rFonts w:cstheme="minorHAnsi"/>
          <w:lang w:val="en-US"/>
        </w:rPr>
        <w:t>) cartographic (Digital Elevation Model and land-cover maps) and botanical data (taxonomic survey).</w:t>
      </w:r>
    </w:p>
    <w:p w14:paraId="756C8A30" w14:textId="11296794" w:rsidR="00C312CE" w:rsidRDefault="00C312CE">
      <w:pPr>
        <w:pStyle w:val="Titre3"/>
        <w:numPr>
          <w:ilvl w:val="2"/>
          <w:numId w:val="22"/>
        </w:numPr>
        <w:spacing w:line="480" w:lineRule="auto"/>
        <w:rPr>
          <w:rFonts w:asciiTheme="minorHAnsi" w:hAnsiTheme="minorHAnsi" w:cstheme="minorHAnsi"/>
          <w:b/>
          <w:sz w:val="22"/>
          <w:szCs w:val="22"/>
          <w:lang w:val="en-US"/>
        </w:rPr>
      </w:pPr>
      <w:r w:rsidRPr="00941F74">
        <w:rPr>
          <w:rFonts w:asciiTheme="minorHAnsi" w:hAnsiTheme="minorHAnsi" w:cstheme="minorHAnsi"/>
          <w:b/>
          <w:sz w:val="22"/>
          <w:szCs w:val="22"/>
          <w:lang w:val="en-US"/>
        </w:rPr>
        <w:lastRenderedPageBreak/>
        <w:t>L</w:t>
      </w:r>
      <w:r w:rsidR="00FB0CF3" w:rsidRPr="00941F74">
        <w:rPr>
          <w:rFonts w:asciiTheme="minorHAnsi" w:hAnsiTheme="minorHAnsi" w:cstheme="minorHAnsi"/>
          <w:b/>
          <w:sz w:val="22"/>
          <w:szCs w:val="22"/>
          <w:lang w:val="en-US"/>
        </w:rPr>
        <w:t>OVE</w:t>
      </w:r>
      <w:r w:rsidRPr="00941F74">
        <w:rPr>
          <w:rFonts w:asciiTheme="minorHAnsi" w:hAnsiTheme="minorHAnsi" w:cstheme="minorHAnsi"/>
          <w:b/>
          <w:sz w:val="22"/>
          <w:szCs w:val="22"/>
          <w:lang w:val="en-US"/>
        </w:rPr>
        <w:t>-based estimates of local vegetation composition</w:t>
      </w:r>
    </w:p>
    <w:p w14:paraId="07AB3F80" w14:textId="015C289C" w:rsidR="005F74D5" w:rsidRPr="00060700" w:rsidRDefault="00EF1F50" w:rsidP="00060700">
      <w:pPr>
        <w:suppressLineNumbers/>
        <w:rPr>
          <w:lang w:val="en-US"/>
        </w:rPr>
      </w:pPr>
      <w:r w:rsidRPr="00EF1F50">
        <w:drawing>
          <wp:inline distT="0" distB="0" distL="0" distR="0" wp14:anchorId="27E25BF9" wp14:editId="32AFE500">
            <wp:extent cx="5768340" cy="3847694"/>
            <wp:effectExtent l="0" t="0" r="3810" b="63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8340" cy="3847694"/>
                    </a:xfrm>
                    <a:prstGeom prst="rect">
                      <a:avLst/>
                    </a:prstGeom>
                    <a:noFill/>
                    <a:ln>
                      <a:noFill/>
                    </a:ln>
                  </pic:spPr>
                </pic:pic>
              </a:graphicData>
            </a:graphic>
          </wp:inline>
        </w:drawing>
      </w:r>
    </w:p>
    <w:p w14:paraId="5788FF91" w14:textId="77777777" w:rsidR="00EF09AF" w:rsidRPr="00941F74" w:rsidRDefault="00EF09AF">
      <w:pPr>
        <w:suppressLineNumbers/>
        <w:spacing w:line="480" w:lineRule="auto"/>
        <w:rPr>
          <w:rFonts w:cstheme="minorHAnsi"/>
          <w:lang w:val="en-GB"/>
        </w:rPr>
      </w:pPr>
      <w:r w:rsidRPr="00941F74">
        <w:rPr>
          <w:rFonts w:cstheme="minorHAnsi"/>
          <w:b/>
          <w:lang w:val="en-GB"/>
        </w:rPr>
        <w:t>Table 2:</w:t>
      </w:r>
      <w:r w:rsidRPr="00941F74">
        <w:rPr>
          <w:rFonts w:cstheme="minorHAnsi"/>
          <w:lang w:val="en-GB"/>
        </w:rPr>
        <w:t xml:space="preserve"> Sites</w:t>
      </w:r>
      <w:r>
        <w:rPr>
          <w:rFonts w:ascii="Times New Roman" w:hAnsi="Times New Roman" w:cs="Times New Roman"/>
          <w:lang w:val="en-GB"/>
        </w:rPr>
        <w:t>’</w:t>
      </w:r>
      <w:r w:rsidRPr="00941F74">
        <w:rPr>
          <w:rFonts w:cstheme="minorHAnsi"/>
          <w:lang w:val="en-GB"/>
        </w:rPr>
        <w:t xml:space="preserve"> characteristics and LOVE estimates of local 18 taxa-based vegetation composition</w:t>
      </w:r>
    </w:p>
    <w:p w14:paraId="0C82E08E" w14:textId="75F1F734" w:rsidR="001264DF" w:rsidRPr="00941F74" w:rsidRDefault="004D3B8E">
      <w:pPr>
        <w:spacing w:line="480" w:lineRule="auto"/>
        <w:rPr>
          <w:rFonts w:cstheme="minorHAnsi"/>
          <w:lang w:val="en-GB"/>
        </w:rPr>
      </w:pPr>
      <w:r w:rsidRPr="00941F74">
        <w:rPr>
          <w:rFonts w:cstheme="minorHAnsi"/>
          <w:lang w:val="en-GB"/>
        </w:rPr>
        <w:t>By t</w:t>
      </w:r>
      <w:r w:rsidR="001264DF" w:rsidRPr="00941F74">
        <w:rPr>
          <w:rFonts w:cstheme="minorHAnsi"/>
          <w:lang w:val="en-GB"/>
        </w:rPr>
        <w:t>aking into account the dispersal and deposition of pollen grains via the Gaussian Plume Model</w:t>
      </w:r>
      <w:r w:rsidRPr="00941F74">
        <w:rPr>
          <w:rFonts w:cstheme="minorHAnsi"/>
          <w:lang w:val="en-GB"/>
        </w:rPr>
        <w:t xml:space="preserve">, </w:t>
      </w:r>
      <w:r w:rsidR="001264DF" w:rsidRPr="00941F74">
        <w:rPr>
          <w:rFonts w:cstheme="minorHAnsi"/>
          <w:lang w:val="en-GB"/>
        </w:rPr>
        <w:t xml:space="preserve">the LRA approach </w:t>
      </w:r>
      <w:r w:rsidR="002C7FAC">
        <w:rPr>
          <w:rFonts w:cstheme="minorHAnsi"/>
          <w:lang w:val="en-GB"/>
        </w:rPr>
        <w:t>considers</w:t>
      </w:r>
      <w:r w:rsidR="00A47FB0" w:rsidRPr="00941F74">
        <w:rPr>
          <w:rFonts w:cstheme="minorHAnsi"/>
          <w:lang w:val="en-GB"/>
        </w:rPr>
        <w:t xml:space="preserve"> that </w:t>
      </w:r>
      <w:r w:rsidR="002C7FAC">
        <w:rPr>
          <w:rFonts w:cstheme="minorHAnsi"/>
          <w:lang w:val="en-GB"/>
        </w:rPr>
        <w:t>plants</w:t>
      </w:r>
      <w:r w:rsidR="002C7FAC" w:rsidRPr="00941F74">
        <w:rPr>
          <w:rFonts w:cstheme="minorHAnsi"/>
          <w:lang w:val="en-GB"/>
        </w:rPr>
        <w:t xml:space="preserve"> </w:t>
      </w:r>
      <w:r w:rsidR="00A47FB0" w:rsidRPr="00941F74">
        <w:rPr>
          <w:rFonts w:cstheme="minorHAnsi"/>
          <w:lang w:val="en-GB"/>
        </w:rPr>
        <w:t xml:space="preserve">closer to </w:t>
      </w:r>
      <w:r w:rsidR="001264DF" w:rsidRPr="00941F74">
        <w:rPr>
          <w:rFonts w:cstheme="minorHAnsi"/>
          <w:lang w:val="en-GB"/>
        </w:rPr>
        <w:t>the sampling point</w:t>
      </w:r>
      <w:r w:rsidR="00A47FB0" w:rsidRPr="00941F74">
        <w:rPr>
          <w:rFonts w:cstheme="minorHAnsi"/>
          <w:lang w:val="en-GB"/>
        </w:rPr>
        <w:t xml:space="preserve"> contribute more grains </w:t>
      </w:r>
      <w:r w:rsidR="001264DF" w:rsidRPr="00941F74">
        <w:rPr>
          <w:rFonts w:cstheme="minorHAnsi"/>
          <w:lang w:val="en-GB"/>
        </w:rPr>
        <w:t xml:space="preserve">to the pollen assemblage than </w:t>
      </w:r>
      <w:r w:rsidR="002C7FAC">
        <w:rPr>
          <w:rFonts w:cstheme="minorHAnsi"/>
          <w:lang w:val="en-GB"/>
        </w:rPr>
        <w:t>plants</w:t>
      </w:r>
      <w:r w:rsidR="002C7FAC" w:rsidRPr="00941F74">
        <w:rPr>
          <w:rFonts w:cstheme="minorHAnsi"/>
          <w:lang w:val="en-GB"/>
        </w:rPr>
        <w:t xml:space="preserve"> </w:t>
      </w:r>
      <w:r w:rsidR="00A47FB0" w:rsidRPr="00941F74">
        <w:rPr>
          <w:rFonts w:cstheme="minorHAnsi"/>
          <w:lang w:val="en-GB"/>
        </w:rPr>
        <w:t>further away</w:t>
      </w:r>
      <w:r w:rsidR="001264DF" w:rsidRPr="00941F74">
        <w:rPr>
          <w:rFonts w:cstheme="minorHAnsi"/>
          <w:lang w:val="en-GB"/>
        </w:rPr>
        <w:t xml:space="preserve"> </w:t>
      </w:r>
      <w:r w:rsidR="002C54F8" w:rsidRPr="00941F74">
        <w:rPr>
          <w:rFonts w:cstheme="minorHAnsi"/>
          <w:lang w:val="en-GB"/>
        </w:rPr>
        <w:fldChar w:fldCharType="begin"/>
      </w:r>
      <w:r w:rsidR="003B1EC2">
        <w:rPr>
          <w:rFonts w:cstheme="minorHAnsi"/>
          <w:lang w:val="en-GB"/>
        </w:rPr>
        <w:instrText xml:space="preserve"> ADDIN ZOTERO_ITEM CSL_CITATION {"citationID":"NXyMZxOp","properties":{"formattedCitation":"(Sugita, 2007b)","plainCitation":"(Sugita, 2007b)","noteIndex":0},"citationItems":[{"id":2449,"uris":["http://www.mendeley.com/documents/?uuid=7639867d-dd42-4f40-a31d-23169d3bfea6","http://zotero.org/users/10290022/items/PIKT3FP4"],"itemData":{"id":2449,"type":"article-journal","abstract":"This paper describes the LOVE (LOcal Vegetation Estimates) model for estimating local vegetation composition within the relevant source area of pollen. This model quantifies and then subtracts background pollen tie, pollen coming from beyond the relevant source area) in order to arrive at a quantitative reconstruction of local vegetation. Parameters required for LOVE applications are pollen counts from target sites, the relevant source area of pollen of these sites, pollen productivity estimates and regional vegetation composition within 10(4)-10(5) km(2). Regional vegetation composition is obtained using fossil pollen from large sites (&gt;= 10(2) ha) with the REVEALS (Regional Estimates of VEgetation Abundance from Large Sites) model, the first step of the Landscape Reconstruction Algorithm (LRA) specifically designed for LOVE applications. POLLSCAPE simulations demonstrate that (1) regional vegetation composition can be used to predict background pollen at and beyond the relevant source area of pollen for given-sized basins, (2) LOVE with the LRA framework provides a robust and accurate estimate of local vegetation composition much better than vegetation reconstruction using pollen percentages alone and (3) although the relevant source area of pollen is difficult to estimate particularly in past landscapes, a proposed method using backward modelling of LOVE is effective to estimate the relevant source area in landscapes of unknown vegetation patchiness and heterogeneity. Thus, the LRA will also be useful to estimate indirectly changes in spatial structure of past vegetation and landscape caused by natural and anthropogenic forcing.","container-title":"Holocene","DOI":"10.1177/0959683607075838","ISSN":"09596836","issue":"2","note":"ISBN: 0959-6836","page":"243-257","title":"Theory of quantitative reconstruction of vegetation II: All you need is LOVE","URL":"http://journals.sagepub.com/doi/10.1177/0959683607075838","volume":"17","author":[{"family":"Sugita","given":"Shinya"}],"issued":{"date-parts":[["2007"]]}}}],"schema":"https://github.com/citation-style-language/schema/raw/master/csl-citation.json"} </w:instrText>
      </w:r>
      <w:r w:rsidR="002C54F8" w:rsidRPr="00941F74">
        <w:rPr>
          <w:rFonts w:cstheme="minorHAnsi"/>
          <w:lang w:val="en-GB"/>
        </w:rPr>
        <w:fldChar w:fldCharType="separate"/>
      </w:r>
      <w:r w:rsidR="003B1EC2" w:rsidRPr="003B1EC2">
        <w:rPr>
          <w:rFonts w:ascii="Calibri" w:hAnsi="Calibri" w:cs="Calibri"/>
          <w:lang w:val="en-US"/>
        </w:rPr>
        <w:t>(Sugita, 2007b)</w:t>
      </w:r>
      <w:r w:rsidR="002C54F8" w:rsidRPr="00941F74">
        <w:rPr>
          <w:rFonts w:cstheme="minorHAnsi"/>
          <w:lang w:val="en-GB"/>
        </w:rPr>
        <w:fldChar w:fldCharType="end"/>
      </w:r>
      <w:r w:rsidR="001264DF" w:rsidRPr="00941F74">
        <w:rPr>
          <w:rFonts w:cstheme="minorHAnsi"/>
          <w:lang w:val="en-GB"/>
        </w:rPr>
        <w:t>. The LOVE model thus provides Distance Weighted Plant Abundance</w:t>
      </w:r>
      <w:r w:rsidR="00E818B5" w:rsidRPr="00941F74">
        <w:rPr>
          <w:rFonts w:cstheme="minorHAnsi"/>
          <w:lang w:val="en-GB"/>
        </w:rPr>
        <w:t>s</w:t>
      </w:r>
      <w:r w:rsidR="00035BCB" w:rsidRPr="00941F74">
        <w:rPr>
          <w:rFonts w:cstheme="minorHAnsi"/>
          <w:lang w:val="en-GB"/>
        </w:rPr>
        <w:t xml:space="preserve"> (DWPA</w:t>
      </w:r>
      <w:r w:rsidR="00E818B5" w:rsidRPr="00941F74">
        <w:rPr>
          <w:rFonts w:cstheme="minorHAnsi"/>
          <w:lang w:val="en-GB"/>
        </w:rPr>
        <w:t>s</w:t>
      </w:r>
      <w:r w:rsidR="00035BCB" w:rsidRPr="00941F74">
        <w:rPr>
          <w:rFonts w:cstheme="minorHAnsi"/>
          <w:lang w:val="en-GB"/>
        </w:rPr>
        <w:t>)</w:t>
      </w:r>
      <w:r w:rsidR="001264DF" w:rsidRPr="00941F74">
        <w:rPr>
          <w:rFonts w:cstheme="minorHAnsi"/>
          <w:lang w:val="en-GB"/>
        </w:rPr>
        <w:t xml:space="preserve"> within the RSAP, the smallest spatial scale for which vegetation composition can be estimated by the model using a fossil pollen record.</w:t>
      </w:r>
      <w:r w:rsidR="00035BCB" w:rsidRPr="00941F74">
        <w:rPr>
          <w:rFonts w:cstheme="minorHAnsi"/>
          <w:lang w:val="en-US"/>
        </w:rPr>
        <w:t xml:space="preserve"> Hereafter, the DWPA</w:t>
      </w:r>
      <w:r w:rsidR="00E818B5" w:rsidRPr="00941F74">
        <w:rPr>
          <w:rFonts w:cstheme="minorHAnsi"/>
          <w:lang w:val="en-US"/>
        </w:rPr>
        <w:t xml:space="preserve">s </w:t>
      </w:r>
      <w:r w:rsidR="00035BCB" w:rsidRPr="00941F74">
        <w:rPr>
          <w:rFonts w:cstheme="minorHAnsi"/>
          <w:lang w:val="en-US"/>
        </w:rPr>
        <w:t>will be referred to as LOVE</w:t>
      </w:r>
      <w:r w:rsidR="00A47FB0" w:rsidRPr="00941F74">
        <w:rPr>
          <w:rFonts w:cstheme="minorHAnsi"/>
          <w:lang w:val="en-US"/>
        </w:rPr>
        <w:t xml:space="preserve"> </w:t>
      </w:r>
      <w:r w:rsidR="00035BCB" w:rsidRPr="00941F74">
        <w:rPr>
          <w:rFonts w:cstheme="minorHAnsi"/>
          <w:lang w:val="en-US"/>
        </w:rPr>
        <w:t>estimates.</w:t>
      </w:r>
    </w:p>
    <w:p w14:paraId="50E8B604" w14:textId="69BD5AC5" w:rsidR="0084248C" w:rsidRPr="00941F74" w:rsidRDefault="002C7FAC">
      <w:pPr>
        <w:spacing w:line="480" w:lineRule="auto"/>
        <w:rPr>
          <w:rFonts w:cstheme="minorHAnsi"/>
          <w:lang w:val="en-GB"/>
        </w:rPr>
      </w:pPr>
      <w:r>
        <w:rPr>
          <w:rFonts w:cstheme="minorHAnsi"/>
          <w:lang w:val="en-GB"/>
        </w:rPr>
        <w:t>Details about the</w:t>
      </w:r>
      <w:r w:rsidRPr="00941F74">
        <w:rPr>
          <w:rFonts w:cstheme="minorHAnsi"/>
          <w:lang w:val="en-GB"/>
        </w:rPr>
        <w:t xml:space="preserve"> </w:t>
      </w:r>
      <w:r w:rsidR="00C312CE" w:rsidRPr="00941F74">
        <w:rPr>
          <w:rFonts w:cstheme="minorHAnsi"/>
          <w:lang w:val="en-GB"/>
        </w:rPr>
        <w:t>chronology of the</w:t>
      </w:r>
      <w:r w:rsidR="00B46B46" w:rsidRPr="00941F74">
        <w:rPr>
          <w:rFonts w:cstheme="minorHAnsi"/>
          <w:lang w:val="en-GB"/>
        </w:rPr>
        <w:t xml:space="preserve"> sediment cores</w:t>
      </w:r>
      <w:r w:rsidR="00C312CE" w:rsidRPr="00941F74">
        <w:rPr>
          <w:rFonts w:cstheme="minorHAnsi"/>
          <w:lang w:val="en-GB"/>
        </w:rPr>
        <w:t xml:space="preserve"> (</w:t>
      </w:r>
      <w:r w:rsidR="00B46B46" w:rsidRPr="00941F74">
        <w:rPr>
          <w:rFonts w:cstheme="minorHAnsi"/>
          <w:vertAlign w:val="superscript"/>
          <w:lang w:val="en-GB"/>
        </w:rPr>
        <w:t>210</w:t>
      </w:r>
      <w:r w:rsidR="00B46B46" w:rsidRPr="00941F74">
        <w:rPr>
          <w:rFonts w:cstheme="minorHAnsi"/>
          <w:lang w:val="en-GB"/>
        </w:rPr>
        <w:t xml:space="preserve">Pb, </w:t>
      </w:r>
      <w:r w:rsidR="00B46B46" w:rsidRPr="00941F74">
        <w:rPr>
          <w:rFonts w:cstheme="minorHAnsi"/>
          <w:vertAlign w:val="superscript"/>
          <w:lang w:val="en-GB"/>
        </w:rPr>
        <w:t>137</w:t>
      </w:r>
      <w:r w:rsidR="00B46B46" w:rsidRPr="00941F74">
        <w:rPr>
          <w:rFonts w:cstheme="minorHAnsi"/>
          <w:lang w:val="en-GB"/>
        </w:rPr>
        <w:t xml:space="preserve">Cs and </w:t>
      </w:r>
      <w:r w:rsidR="00B46B46" w:rsidRPr="00941F74">
        <w:rPr>
          <w:rFonts w:cstheme="minorHAnsi"/>
          <w:vertAlign w:val="superscript"/>
          <w:lang w:val="en-GB"/>
        </w:rPr>
        <w:t>14</w:t>
      </w:r>
      <w:r w:rsidR="00B46B46" w:rsidRPr="00941F74">
        <w:rPr>
          <w:rFonts w:cstheme="minorHAnsi"/>
          <w:lang w:val="en-GB"/>
        </w:rPr>
        <w:t>C dates</w:t>
      </w:r>
      <w:r w:rsidR="00C312CE" w:rsidRPr="00941F74">
        <w:rPr>
          <w:rFonts w:cstheme="minorHAnsi"/>
          <w:lang w:val="en-GB"/>
        </w:rPr>
        <w:t xml:space="preserve">) and the </w:t>
      </w:r>
      <w:r w:rsidR="00035BCB" w:rsidRPr="00941F74">
        <w:rPr>
          <w:rFonts w:cstheme="minorHAnsi"/>
          <w:lang w:val="en-GB"/>
        </w:rPr>
        <w:t xml:space="preserve">LOVE </w:t>
      </w:r>
      <w:r w:rsidR="00C312CE" w:rsidRPr="00941F74">
        <w:rPr>
          <w:rFonts w:cstheme="minorHAnsi"/>
          <w:lang w:val="en-GB"/>
        </w:rPr>
        <w:t xml:space="preserve">estimates (Table </w:t>
      </w:r>
      <w:r w:rsidR="00B06139" w:rsidRPr="00941F74">
        <w:rPr>
          <w:rFonts w:cstheme="minorHAnsi"/>
          <w:lang w:val="en-GB"/>
        </w:rPr>
        <w:t>2</w:t>
      </w:r>
      <w:r w:rsidR="00C312CE" w:rsidRPr="00941F74">
        <w:rPr>
          <w:rFonts w:cstheme="minorHAnsi"/>
          <w:lang w:val="en-GB"/>
        </w:rPr>
        <w:t xml:space="preserve">) used in this study </w:t>
      </w:r>
      <w:r>
        <w:rPr>
          <w:rFonts w:cstheme="minorHAnsi"/>
          <w:lang w:val="en-GB"/>
        </w:rPr>
        <w:t>were</w:t>
      </w:r>
      <w:r w:rsidR="00A47FB0" w:rsidRPr="00941F74">
        <w:rPr>
          <w:rFonts w:cstheme="minorHAnsi"/>
          <w:lang w:val="en-GB"/>
        </w:rPr>
        <w:t xml:space="preserve"> published </w:t>
      </w:r>
      <w:r w:rsidR="00B46B46" w:rsidRPr="00941F74">
        <w:rPr>
          <w:rFonts w:cstheme="minorHAnsi"/>
          <w:lang w:val="en-GB"/>
        </w:rPr>
        <w:t xml:space="preserve">in </w:t>
      </w:r>
      <w:r w:rsidR="00C312CE" w:rsidRPr="00941F74">
        <w:rPr>
          <w:rFonts w:cstheme="minorHAnsi"/>
          <w:lang w:val="en-GB"/>
        </w:rPr>
        <w:fldChar w:fldCharType="begin" w:fldLock="1"/>
      </w:r>
      <w:r w:rsidR="0051009B">
        <w:rPr>
          <w:rFonts w:cstheme="minorHAnsi"/>
          <w:lang w:val="en-GB"/>
        </w:rPr>
        <w:instrText xml:space="preserve"> ADDIN ZOTERO_ITEM CSL_CITATION {"citationID":"7ErwBpgn","properties":{"formattedCitation":"(Marquer, Mazier, Sugita, Galop, Houet, Faure, Gaillard, Haunold, Munnik, et al., 2020)","plainCitation":"(Marquer, Mazier, Sugita, Galop, Houet, Faure, Gaillard, Haunold, Munnik, et al., 2020)","dontUpdate":true,"noteIndex":0},"citationItems":[{"id":2264,"uris":["http://www.mendeley.com/documents/?uuid=d4d8c364-d6d8-463f-bceb-f205a69bee35","http://zotero.org/users/10290022/items/U5H5KGHQ"],"itemData":{"id":2264,"type":"article-journal","container-title":"Quaternary Science Reviews","DOI":"https://doi.org/10.1016/j.quascirev.2019.106049","issue":"106049","page":"1-14","title":"Pollen-based reconstruction of Holocene land-cover in mountain regions : Evaluation of the Landscape Reconstruction Algorithm in the Vicdessos valley, northern Pyrenees, France","volume":"228","author":[{"family":"Marquer","given":"Laurent"},{"family":"Mazier","given":"Florence"},{"family":"Sugita","given":"Shinya"},{"family":"Galop","given":"Didier"},{"family":"Houet","given":"Thomas"},{"family":"Faure","given":"Elodie"},{"family":"Gaillard","given":"Marie-José"},{"family":"Haunold","given":"Sébastien"},{"family":"Munnik","given":"Nicolas De"},{"family":"Simonneau","given":"Anaëlle"},{"family":"De Vleeschouwer","given":"François"},{"family":"Le Roux","given":"Gaël"}],"issued":{"date-parts":[["2020"]]}}}],"schema":"https://github.com/citation-style-language/schema/raw/master/csl-citation.json"} </w:instrText>
      </w:r>
      <w:r w:rsidR="00C312CE" w:rsidRPr="00941F74">
        <w:rPr>
          <w:rFonts w:cstheme="minorHAnsi"/>
          <w:lang w:val="en-GB"/>
        </w:rPr>
        <w:fldChar w:fldCharType="separate"/>
      </w:r>
      <w:r w:rsidR="00A7068C">
        <w:rPr>
          <w:rFonts w:ascii="Calibri" w:hAnsi="Calibri" w:cs="Calibri"/>
          <w:lang w:val="en-US"/>
        </w:rPr>
        <w:t>Marquer et al. (</w:t>
      </w:r>
      <w:r w:rsidR="006154BC" w:rsidRPr="00941F74">
        <w:rPr>
          <w:rFonts w:ascii="Calibri" w:hAnsi="Calibri" w:cs="Calibri"/>
          <w:lang w:val="en-US"/>
        </w:rPr>
        <w:t>2020)</w:t>
      </w:r>
      <w:r w:rsidR="00C312CE" w:rsidRPr="00941F74">
        <w:rPr>
          <w:rFonts w:cstheme="minorHAnsi"/>
          <w:lang w:val="en-GB"/>
        </w:rPr>
        <w:fldChar w:fldCharType="end"/>
      </w:r>
      <w:r w:rsidR="00C312CE" w:rsidRPr="00941F74">
        <w:rPr>
          <w:rFonts w:cstheme="minorHAnsi"/>
          <w:lang w:val="en-GB"/>
        </w:rPr>
        <w:t xml:space="preserve"> and </w:t>
      </w:r>
      <w:proofErr w:type="spellStart"/>
      <w:r w:rsidR="00C312CE" w:rsidRPr="00941F74">
        <w:rPr>
          <w:rFonts w:cstheme="minorHAnsi"/>
          <w:lang w:val="en-GB"/>
        </w:rPr>
        <w:t>Plancher</w:t>
      </w:r>
      <w:proofErr w:type="spellEnd"/>
      <w:r w:rsidR="00C312CE" w:rsidRPr="00941F74">
        <w:rPr>
          <w:rFonts w:cstheme="minorHAnsi"/>
          <w:lang w:val="en-GB"/>
        </w:rPr>
        <w:t xml:space="preserve"> et al. (</w:t>
      </w:r>
      <w:r w:rsidR="00ED1C3C" w:rsidRPr="00941F74">
        <w:rPr>
          <w:rFonts w:cstheme="minorHAnsi"/>
          <w:lang w:val="en-GB"/>
        </w:rPr>
        <w:t>2022</w:t>
      </w:r>
      <w:r w:rsidR="00C312CE" w:rsidRPr="00941F74">
        <w:rPr>
          <w:rFonts w:cstheme="minorHAnsi"/>
          <w:lang w:val="en-GB"/>
        </w:rPr>
        <w:t>)</w:t>
      </w:r>
      <w:r>
        <w:rPr>
          <w:rFonts w:cstheme="minorHAnsi"/>
          <w:lang w:val="en-GB"/>
        </w:rPr>
        <w:t>,</w:t>
      </w:r>
      <w:r w:rsidR="00784998" w:rsidRPr="00941F74">
        <w:rPr>
          <w:rFonts w:cstheme="minorHAnsi"/>
          <w:lang w:val="en-GB"/>
        </w:rPr>
        <w:t xml:space="preserve"> including information </w:t>
      </w:r>
      <w:r w:rsidR="00B46B46" w:rsidRPr="00941F74">
        <w:rPr>
          <w:rFonts w:cstheme="minorHAnsi"/>
          <w:lang w:val="en-GB"/>
        </w:rPr>
        <w:t>on age-depth m</w:t>
      </w:r>
      <w:r w:rsidR="00C312CE" w:rsidRPr="00941F74">
        <w:rPr>
          <w:rFonts w:cstheme="minorHAnsi"/>
          <w:lang w:val="en-GB"/>
        </w:rPr>
        <w:t xml:space="preserve">odels, </w:t>
      </w:r>
      <w:r w:rsidR="00B46B46" w:rsidRPr="00941F74">
        <w:rPr>
          <w:rFonts w:cstheme="minorHAnsi"/>
          <w:lang w:val="en-GB"/>
        </w:rPr>
        <w:t xml:space="preserve">site </w:t>
      </w:r>
      <w:r w:rsidR="004A6BA4" w:rsidRPr="00941F74">
        <w:rPr>
          <w:rFonts w:cstheme="minorHAnsi"/>
          <w:lang w:val="en-GB"/>
        </w:rPr>
        <w:t xml:space="preserve">selection, </w:t>
      </w:r>
      <w:r w:rsidR="00C312CE" w:rsidRPr="00941F74">
        <w:rPr>
          <w:rFonts w:cstheme="minorHAnsi"/>
          <w:lang w:val="en-GB"/>
        </w:rPr>
        <w:t xml:space="preserve">pollen sampling </w:t>
      </w:r>
      <w:r w:rsidR="004A6BA4" w:rsidRPr="00941F74">
        <w:rPr>
          <w:rFonts w:cstheme="minorHAnsi"/>
          <w:lang w:val="en-GB"/>
        </w:rPr>
        <w:t xml:space="preserve">strategy </w:t>
      </w:r>
      <w:r w:rsidR="00C312CE" w:rsidRPr="00941F74">
        <w:rPr>
          <w:rFonts w:cstheme="minorHAnsi"/>
          <w:lang w:val="en-GB"/>
        </w:rPr>
        <w:t>and the parameters used to run the LRA</w:t>
      </w:r>
      <w:r w:rsidR="00035BCB" w:rsidRPr="00941F74">
        <w:rPr>
          <w:rFonts w:cstheme="minorHAnsi"/>
          <w:lang w:val="en-GB"/>
        </w:rPr>
        <w:t xml:space="preserve"> </w:t>
      </w:r>
      <w:r w:rsidR="00B46B46" w:rsidRPr="00941F74">
        <w:rPr>
          <w:rFonts w:cstheme="minorHAnsi"/>
          <w:lang w:val="en-GB"/>
        </w:rPr>
        <w:t>approach.</w:t>
      </w:r>
      <w:r w:rsidR="00C312CE" w:rsidRPr="00941F74">
        <w:rPr>
          <w:rFonts w:cstheme="minorHAnsi"/>
          <w:lang w:val="en-GB"/>
        </w:rPr>
        <w:t xml:space="preserve"> </w:t>
      </w:r>
    </w:p>
    <w:p w14:paraId="392F3FAC" w14:textId="2B759D03" w:rsidR="00C312CE" w:rsidRPr="00941F74" w:rsidRDefault="00784998">
      <w:pPr>
        <w:spacing w:line="480" w:lineRule="auto"/>
        <w:rPr>
          <w:rFonts w:cstheme="minorHAnsi"/>
          <w:lang w:val="en-GB"/>
        </w:rPr>
      </w:pPr>
      <w:r w:rsidRPr="00941F74">
        <w:rPr>
          <w:rFonts w:cstheme="minorHAnsi"/>
          <w:lang w:val="en-GB"/>
        </w:rPr>
        <w:t xml:space="preserve">For this paper, </w:t>
      </w:r>
      <w:r w:rsidR="0084248C" w:rsidRPr="00941F74">
        <w:rPr>
          <w:rFonts w:cstheme="minorHAnsi"/>
          <w:lang w:val="en-GB"/>
        </w:rPr>
        <w:t>we used th</w:t>
      </w:r>
      <w:r w:rsidR="00C312CE" w:rsidRPr="00941F74">
        <w:rPr>
          <w:rFonts w:cstheme="minorHAnsi"/>
          <w:lang w:val="en-GB"/>
        </w:rPr>
        <w:t>e LOV</w:t>
      </w:r>
      <w:r w:rsidR="00035BCB" w:rsidRPr="00941F74">
        <w:rPr>
          <w:rFonts w:cstheme="minorHAnsi"/>
          <w:lang w:val="en-GB"/>
        </w:rPr>
        <w:t xml:space="preserve">E </w:t>
      </w:r>
      <w:r w:rsidR="00C312CE" w:rsidRPr="00941F74">
        <w:rPr>
          <w:rFonts w:cstheme="minorHAnsi"/>
          <w:lang w:val="en-GB"/>
        </w:rPr>
        <w:t xml:space="preserve">estimates </w:t>
      </w:r>
      <w:r w:rsidR="00146A59" w:rsidRPr="00941F74">
        <w:rPr>
          <w:rFonts w:cstheme="minorHAnsi"/>
          <w:lang w:val="en-GB"/>
        </w:rPr>
        <w:t>for 18 major taxa available for the 1990-2000 cal. AD time window,</w:t>
      </w:r>
      <w:r w:rsidR="00E26EA3" w:rsidRPr="00941F74">
        <w:rPr>
          <w:rFonts w:cstheme="minorHAnsi"/>
          <w:lang w:val="en-GB"/>
        </w:rPr>
        <w:t xml:space="preserve"> f</w:t>
      </w:r>
      <w:r w:rsidR="0084248C" w:rsidRPr="00941F74">
        <w:rPr>
          <w:rFonts w:cstheme="minorHAnsi"/>
          <w:lang w:val="en-GB"/>
        </w:rPr>
        <w:t>urther referred to as TW1995.</w:t>
      </w:r>
      <w:r w:rsidR="00146A59" w:rsidRPr="00941F74">
        <w:rPr>
          <w:rFonts w:cstheme="minorHAnsi"/>
          <w:lang w:val="en-GB"/>
        </w:rPr>
        <w:t xml:space="preserve"> The LOVE result is expressed in proportions of the total </w:t>
      </w:r>
      <w:r w:rsidR="00146A59" w:rsidRPr="00941F74">
        <w:rPr>
          <w:rFonts w:cstheme="minorHAnsi"/>
          <w:lang w:val="en-GB"/>
        </w:rPr>
        <w:lastRenderedPageBreak/>
        <w:t xml:space="preserve">cumulative sum of plant abundance at the RSAP identified in </w:t>
      </w:r>
      <w:proofErr w:type="spellStart"/>
      <w:r w:rsidR="00146A59" w:rsidRPr="00941F74">
        <w:rPr>
          <w:rFonts w:cstheme="minorHAnsi"/>
          <w:lang w:val="en-GB"/>
        </w:rPr>
        <w:t>Plancher</w:t>
      </w:r>
      <w:proofErr w:type="spellEnd"/>
      <w:r w:rsidR="00146A59" w:rsidRPr="00941F74">
        <w:rPr>
          <w:rFonts w:cstheme="minorHAnsi"/>
          <w:lang w:val="en-GB"/>
        </w:rPr>
        <w:t xml:space="preserve"> et al. (2022) as </w:t>
      </w:r>
      <w:r w:rsidR="00921508">
        <w:rPr>
          <w:rFonts w:cstheme="minorHAnsi"/>
          <w:lang w:val="en-GB"/>
        </w:rPr>
        <w:t xml:space="preserve">a </w:t>
      </w:r>
      <w:r w:rsidR="00E76259" w:rsidRPr="00941F74">
        <w:rPr>
          <w:rFonts w:cstheme="minorHAnsi"/>
          <w:lang w:val="en-GB"/>
        </w:rPr>
        <w:t xml:space="preserve">1 </w:t>
      </w:r>
      <w:r w:rsidR="00146A59" w:rsidRPr="00941F74">
        <w:rPr>
          <w:rFonts w:cstheme="minorHAnsi"/>
          <w:lang w:val="en-GB"/>
        </w:rPr>
        <w:t>km radius around each of the seven cores.</w:t>
      </w:r>
      <w:r w:rsidR="00E26EA3" w:rsidRPr="00941F74">
        <w:rPr>
          <w:rFonts w:cstheme="minorHAnsi"/>
          <w:lang w:val="en-GB"/>
        </w:rPr>
        <w:t xml:space="preserve"> </w:t>
      </w:r>
      <w:r w:rsidR="00A15A69" w:rsidRPr="00941F74">
        <w:rPr>
          <w:rFonts w:cstheme="minorHAnsi"/>
          <w:lang w:val="en-GB"/>
        </w:rPr>
        <w:t xml:space="preserve">It </w:t>
      </w:r>
      <w:r w:rsidR="00A15A69" w:rsidRPr="00941F74">
        <w:rPr>
          <w:lang w:val="en-US"/>
        </w:rPr>
        <w:t xml:space="preserve">ranges from 0 to 1; 0 means </w:t>
      </w:r>
      <w:r w:rsidR="002C7FAC">
        <w:rPr>
          <w:lang w:val="en-US"/>
        </w:rPr>
        <w:t xml:space="preserve">that </w:t>
      </w:r>
      <w:r w:rsidR="00A15A69" w:rsidRPr="00941F74">
        <w:rPr>
          <w:lang w:val="en-US"/>
        </w:rPr>
        <w:t xml:space="preserve">the plant species is absent, and 1 </w:t>
      </w:r>
      <w:r w:rsidR="002C7FAC">
        <w:rPr>
          <w:lang w:val="en-US"/>
        </w:rPr>
        <w:t xml:space="preserve">that </w:t>
      </w:r>
      <w:r w:rsidR="00A15A69" w:rsidRPr="00941F74">
        <w:rPr>
          <w:lang w:val="en-US"/>
        </w:rPr>
        <w:t xml:space="preserve">the </w:t>
      </w:r>
      <w:r w:rsidR="006330DE">
        <w:rPr>
          <w:lang w:val="en-US"/>
        </w:rPr>
        <w:t>DWPA</w:t>
      </w:r>
      <w:r w:rsidR="00A15A69" w:rsidRPr="00941F74">
        <w:rPr>
          <w:lang w:val="en-US"/>
        </w:rPr>
        <w:t xml:space="preserve"> within the RSAP is 100%. </w:t>
      </w:r>
      <w:r w:rsidR="00E26EA3" w:rsidRPr="00941F74">
        <w:rPr>
          <w:rFonts w:cstheme="minorHAnsi"/>
          <w:lang w:val="en-GB"/>
        </w:rPr>
        <w:t>T</w:t>
      </w:r>
      <w:r w:rsidR="00C312CE" w:rsidRPr="00941F74">
        <w:rPr>
          <w:rFonts w:cstheme="minorHAnsi"/>
          <w:lang w:val="en-GB"/>
        </w:rPr>
        <w:t>en tree taxa (</w:t>
      </w:r>
      <w:proofErr w:type="spellStart"/>
      <w:r w:rsidR="00C312CE" w:rsidRPr="00941F74">
        <w:rPr>
          <w:rFonts w:cstheme="minorHAnsi"/>
          <w:i/>
          <w:iCs/>
          <w:lang w:val="en-GB"/>
        </w:rPr>
        <w:t>Abies</w:t>
      </w:r>
      <w:proofErr w:type="spellEnd"/>
      <w:r w:rsidR="00C312CE" w:rsidRPr="00941F74">
        <w:rPr>
          <w:rFonts w:cstheme="minorHAnsi"/>
          <w:lang w:val="en-GB"/>
        </w:rPr>
        <w:t xml:space="preserve">, </w:t>
      </w:r>
      <w:proofErr w:type="spellStart"/>
      <w:r w:rsidR="00C312CE" w:rsidRPr="00941F74">
        <w:rPr>
          <w:rFonts w:cstheme="minorHAnsi"/>
          <w:i/>
          <w:iCs/>
          <w:lang w:val="en-GB"/>
        </w:rPr>
        <w:t>Betula</w:t>
      </w:r>
      <w:proofErr w:type="spellEnd"/>
      <w:r w:rsidR="00C312CE" w:rsidRPr="00941F74">
        <w:rPr>
          <w:rFonts w:cstheme="minorHAnsi"/>
          <w:lang w:val="en-GB"/>
        </w:rPr>
        <w:t xml:space="preserve">, </w:t>
      </w:r>
      <w:proofErr w:type="spellStart"/>
      <w:r w:rsidR="00C312CE" w:rsidRPr="00941F74">
        <w:rPr>
          <w:rFonts w:cstheme="minorHAnsi"/>
          <w:i/>
          <w:iCs/>
          <w:lang w:val="en-GB"/>
        </w:rPr>
        <w:t>Corylus</w:t>
      </w:r>
      <w:proofErr w:type="spellEnd"/>
      <w:r w:rsidR="00C312CE" w:rsidRPr="00941F74">
        <w:rPr>
          <w:rFonts w:cstheme="minorHAnsi"/>
          <w:lang w:val="en-GB"/>
        </w:rPr>
        <w:t xml:space="preserve">, </w:t>
      </w:r>
      <w:r w:rsidR="00C312CE" w:rsidRPr="00941F74">
        <w:rPr>
          <w:rFonts w:cstheme="minorHAnsi"/>
          <w:i/>
          <w:iCs/>
          <w:lang w:val="en-GB"/>
        </w:rPr>
        <w:t>Fagus</w:t>
      </w:r>
      <w:r w:rsidR="00C312CE" w:rsidRPr="00941F74">
        <w:rPr>
          <w:rFonts w:cstheme="minorHAnsi"/>
          <w:lang w:val="en-GB"/>
        </w:rPr>
        <w:t xml:space="preserve">, </w:t>
      </w:r>
      <w:proofErr w:type="spellStart"/>
      <w:r w:rsidR="00C312CE" w:rsidRPr="00941F74">
        <w:rPr>
          <w:rFonts w:cstheme="minorHAnsi"/>
          <w:lang w:val="en-GB"/>
        </w:rPr>
        <w:t>Fraxinus</w:t>
      </w:r>
      <w:proofErr w:type="spellEnd"/>
      <w:r w:rsidR="00C312CE" w:rsidRPr="00941F74">
        <w:rPr>
          <w:rFonts w:cstheme="minorHAnsi"/>
          <w:lang w:val="en-GB"/>
        </w:rPr>
        <w:t xml:space="preserve">, </w:t>
      </w:r>
      <w:proofErr w:type="spellStart"/>
      <w:r w:rsidR="00C312CE" w:rsidRPr="00941F74">
        <w:rPr>
          <w:rFonts w:cstheme="minorHAnsi"/>
          <w:i/>
          <w:lang w:val="en-GB"/>
        </w:rPr>
        <w:t>Picea</w:t>
      </w:r>
      <w:proofErr w:type="spellEnd"/>
      <w:r w:rsidR="00C312CE" w:rsidRPr="00941F74">
        <w:rPr>
          <w:rFonts w:cstheme="minorHAnsi"/>
          <w:lang w:val="en-GB"/>
        </w:rPr>
        <w:t xml:space="preserve">, </w:t>
      </w:r>
      <w:proofErr w:type="spellStart"/>
      <w:r w:rsidR="00C312CE" w:rsidRPr="00941F74">
        <w:rPr>
          <w:rFonts w:cstheme="minorHAnsi"/>
          <w:i/>
          <w:iCs/>
          <w:lang w:val="en-GB"/>
        </w:rPr>
        <w:t>Pinus</w:t>
      </w:r>
      <w:proofErr w:type="spellEnd"/>
      <w:r w:rsidR="00C312CE" w:rsidRPr="00941F74">
        <w:rPr>
          <w:rFonts w:cstheme="minorHAnsi"/>
          <w:lang w:val="en-GB"/>
        </w:rPr>
        <w:t xml:space="preserve">, </w:t>
      </w:r>
      <w:proofErr w:type="spellStart"/>
      <w:r w:rsidR="00C312CE" w:rsidRPr="00941F74">
        <w:rPr>
          <w:rFonts w:cstheme="minorHAnsi"/>
          <w:i/>
          <w:iCs/>
          <w:lang w:val="en-GB"/>
        </w:rPr>
        <w:t>Quercus</w:t>
      </w:r>
      <w:proofErr w:type="spellEnd"/>
      <w:r w:rsidR="00C312CE" w:rsidRPr="00941F74">
        <w:rPr>
          <w:rFonts w:cstheme="minorHAnsi"/>
          <w:lang w:val="en-GB"/>
        </w:rPr>
        <w:t xml:space="preserve">, </w:t>
      </w:r>
      <w:r w:rsidR="00C312CE" w:rsidRPr="00941F74">
        <w:rPr>
          <w:rFonts w:cstheme="minorHAnsi"/>
          <w:i/>
          <w:iCs/>
          <w:lang w:val="en-GB"/>
        </w:rPr>
        <w:t xml:space="preserve">Salix </w:t>
      </w:r>
      <w:r w:rsidR="00C312CE" w:rsidRPr="00941F74">
        <w:rPr>
          <w:rFonts w:cstheme="minorHAnsi"/>
          <w:iCs/>
          <w:lang w:val="en-GB"/>
        </w:rPr>
        <w:t xml:space="preserve">and </w:t>
      </w:r>
      <w:proofErr w:type="spellStart"/>
      <w:r w:rsidR="00C312CE" w:rsidRPr="00941F74">
        <w:rPr>
          <w:rFonts w:cstheme="minorHAnsi"/>
          <w:i/>
          <w:iCs/>
          <w:lang w:val="en-GB"/>
        </w:rPr>
        <w:t>TIlia</w:t>
      </w:r>
      <w:proofErr w:type="spellEnd"/>
      <w:r w:rsidR="00C312CE" w:rsidRPr="00941F74">
        <w:rPr>
          <w:rFonts w:cstheme="minorHAnsi"/>
          <w:i/>
          <w:iCs/>
          <w:lang w:val="en-GB"/>
        </w:rPr>
        <w:t>)</w:t>
      </w:r>
      <w:r w:rsidR="00C312CE" w:rsidRPr="00941F74">
        <w:rPr>
          <w:rFonts w:cstheme="minorHAnsi"/>
          <w:iCs/>
          <w:lang w:val="en-GB"/>
        </w:rPr>
        <w:t xml:space="preserve">, three </w:t>
      </w:r>
      <w:r w:rsidR="002C7FAC">
        <w:rPr>
          <w:rFonts w:cstheme="minorHAnsi"/>
          <w:iCs/>
          <w:lang w:val="en-GB"/>
        </w:rPr>
        <w:t>shrub</w:t>
      </w:r>
      <w:r w:rsidR="002C7FAC" w:rsidRPr="00941F74">
        <w:rPr>
          <w:rFonts w:cstheme="minorHAnsi"/>
          <w:iCs/>
          <w:lang w:val="en-GB"/>
        </w:rPr>
        <w:t xml:space="preserve"> </w:t>
      </w:r>
      <w:r w:rsidR="00C312CE" w:rsidRPr="00941F74">
        <w:rPr>
          <w:rFonts w:cstheme="minorHAnsi"/>
          <w:iCs/>
          <w:lang w:val="en-GB"/>
        </w:rPr>
        <w:t>taxa (</w:t>
      </w:r>
      <w:proofErr w:type="spellStart"/>
      <w:r w:rsidR="00C312CE" w:rsidRPr="00941F74">
        <w:rPr>
          <w:rFonts w:cstheme="minorHAnsi"/>
          <w:i/>
          <w:iCs/>
          <w:lang w:val="en-GB"/>
        </w:rPr>
        <w:t>Calluna</w:t>
      </w:r>
      <w:proofErr w:type="spellEnd"/>
      <w:r w:rsidR="00C312CE" w:rsidRPr="00941F74">
        <w:rPr>
          <w:rFonts w:cstheme="minorHAnsi"/>
          <w:i/>
          <w:iCs/>
          <w:lang w:val="en-GB"/>
        </w:rPr>
        <w:t xml:space="preserve"> vulgaris</w:t>
      </w:r>
      <w:r w:rsidR="00C312CE" w:rsidRPr="00941F74">
        <w:rPr>
          <w:rFonts w:cstheme="minorHAnsi"/>
          <w:lang w:val="en-GB"/>
        </w:rPr>
        <w:t xml:space="preserve">, </w:t>
      </w:r>
      <w:proofErr w:type="spellStart"/>
      <w:r w:rsidR="00C312CE" w:rsidRPr="00941F74">
        <w:rPr>
          <w:rFonts w:cstheme="minorHAnsi"/>
          <w:lang w:val="en-GB"/>
        </w:rPr>
        <w:t>Ericaceae</w:t>
      </w:r>
      <w:proofErr w:type="spellEnd"/>
      <w:r w:rsidR="00C312CE" w:rsidRPr="00941F74">
        <w:rPr>
          <w:rFonts w:cstheme="minorHAnsi"/>
          <w:lang w:val="en-GB"/>
        </w:rPr>
        <w:t xml:space="preserve"> and </w:t>
      </w:r>
      <w:proofErr w:type="spellStart"/>
      <w:r w:rsidR="00C312CE" w:rsidRPr="00941F74">
        <w:rPr>
          <w:rFonts w:cstheme="minorHAnsi"/>
          <w:i/>
          <w:iCs/>
          <w:lang w:val="en-GB"/>
        </w:rPr>
        <w:t>Juniperus</w:t>
      </w:r>
      <w:proofErr w:type="spellEnd"/>
      <w:r w:rsidR="00C312CE" w:rsidRPr="00941F74">
        <w:rPr>
          <w:rFonts w:cstheme="minorHAnsi"/>
          <w:i/>
          <w:iCs/>
          <w:lang w:val="en-GB"/>
        </w:rPr>
        <w:t>)</w:t>
      </w:r>
      <w:r w:rsidR="00C312CE" w:rsidRPr="00941F74">
        <w:rPr>
          <w:rFonts w:cstheme="minorHAnsi"/>
          <w:iCs/>
          <w:lang w:val="en-GB"/>
        </w:rPr>
        <w:t>, and five herbaceous taxa (</w:t>
      </w:r>
      <w:proofErr w:type="spellStart"/>
      <w:r w:rsidR="00C312CE" w:rsidRPr="00941F74">
        <w:rPr>
          <w:rFonts w:cstheme="minorHAnsi"/>
          <w:lang w:val="en-GB"/>
        </w:rPr>
        <w:t>Asteraceae</w:t>
      </w:r>
      <w:proofErr w:type="spellEnd"/>
      <w:r w:rsidR="00C312CE" w:rsidRPr="00941F74">
        <w:rPr>
          <w:rFonts w:cstheme="minorHAnsi"/>
          <w:lang w:val="en-GB"/>
        </w:rPr>
        <w:t xml:space="preserve"> Sub-Family </w:t>
      </w:r>
      <w:proofErr w:type="spellStart"/>
      <w:r w:rsidR="00C312CE" w:rsidRPr="00941F74">
        <w:rPr>
          <w:rFonts w:cstheme="minorHAnsi"/>
          <w:lang w:val="en-GB"/>
        </w:rPr>
        <w:t>Cichorioideae</w:t>
      </w:r>
      <w:proofErr w:type="spellEnd"/>
      <w:r w:rsidR="00C312CE" w:rsidRPr="00941F74">
        <w:rPr>
          <w:rFonts w:cstheme="minorHAnsi"/>
          <w:lang w:val="en-GB"/>
        </w:rPr>
        <w:t xml:space="preserve">, </w:t>
      </w:r>
      <w:proofErr w:type="spellStart"/>
      <w:r w:rsidR="00C312CE" w:rsidRPr="00941F74">
        <w:rPr>
          <w:rFonts w:cstheme="minorHAnsi"/>
          <w:lang w:val="en-GB"/>
        </w:rPr>
        <w:t>Cyperaceae</w:t>
      </w:r>
      <w:proofErr w:type="spellEnd"/>
      <w:r w:rsidR="00C312CE" w:rsidRPr="00941F74">
        <w:rPr>
          <w:rFonts w:cstheme="minorHAnsi"/>
          <w:lang w:val="en-GB"/>
        </w:rPr>
        <w:t xml:space="preserve">, </w:t>
      </w:r>
      <w:proofErr w:type="spellStart"/>
      <w:r w:rsidR="00C312CE" w:rsidRPr="00941F74">
        <w:rPr>
          <w:rFonts w:cstheme="minorHAnsi"/>
          <w:lang w:val="en-GB"/>
        </w:rPr>
        <w:t>Poaceae</w:t>
      </w:r>
      <w:proofErr w:type="spellEnd"/>
      <w:r w:rsidR="00C312CE" w:rsidRPr="00941F74">
        <w:rPr>
          <w:rFonts w:cstheme="minorHAnsi"/>
          <w:lang w:val="en-GB"/>
        </w:rPr>
        <w:t xml:space="preserve">, </w:t>
      </w:r>
      <w:proofErr w:type="spellStart"/>
      <w:r w:rsidR="00C312CE" w:rsidRPr="00941F74">
        <w:rPr>
          <w:rFonts w:cstheme="minorHAnsi"/>
          <w:i/>
          <w:iCs/>
          <w:lang w:val="en-GB"/>
        </w:rPr>
        <w:t>Plantago</w:t>
      </w:r>
      <w:proofErr w:type="spellEnd"/>
      <w:r w:rsidR="00C312CE" w:rsidRPr="00941F74">
        <w:rPr>
          <w:rFonts w:cstheme="minorHAnsi"/>
          <w:i/>
          <w:iCs/>
          <w:lang w:val="en-GB"/>
        </w:rPr>
        <w:t xml:space="preserve"> </w:t>
      </w:r>
      <w:proofErr w:type="spellStart"/>
      <w:r w:rsidR="00C312CE" w:rsidRPr="00941F74">
        <w:rPr>
          <w:rFonts w:cstheme="minorHAnsi"/>
          <w:i/>
          <w:iCs/>
          <w:lang w:val="en-GB"/>
        </w:rPr>
        <w:t>lanceolata</w:t>
      </w:r>
      <w:proofErr w:type="spellEnd"/>
      <w:r w:rsidR="00C312CE" w:rsidRPr="00941F74">
        <w:rPr>
          <w:rFonts w:cstheme="minorHAnsi"/>
          <w:i/>
          <w:iCs/>
          <w:lang w:val="en-GB"/>
        </w:rPr>
        <w:t xml:space="preserve"> </w:t>
      </w:r>
      <w:r w:rsidR="00C312CE" w:rsidRPr="00941F74">
        <w:rPr>
          <w:rFonts w:cstheme="minorHAnsi"/>
          <w:lang w:val="en-GB"/>
        </w:rPr>
        <w:t xml:space="preserve">and </w:t>
      </w:r>
      <w:proofErr w:type="spellStart"/>
      <w:r w:rsidR="00C312CE" w:rsidRPr="00941F74">
        <w:rPr>
          <w:rFonts w:cstheme="minorHAnsi"/>
          <w:i/>
          <w:iCs/>
          <w:lang w:val="en-GB"/>
        </w:rPr>
        <w:t>Potentilla</w:t>
      </w:r>
      <w:proofErr w:type="spellEnd"/>
      <w:r w:rsidR="00C312CE" w:rsidRPr="00941F74">
        <w:rPr>
          <w:rFonts w:cstheme="minorHAnsi"/>
          <w:lang w:val="en-GB"/>
        </w:rPr>
        <w:t>-type)</w:t>
      </w:r>
      <w:r w:rsidR="00E26EA3" w:rsidRPr="00941F74">
        <w:rPr>
          <w:rFonts w:cstheme="minorHAnsi"/>
          <w:lang w:val="en-GB"/>
        </w:rPr>
        <w:t xml:space="preserve"> </w:t>
      </w:r>
      <w:r w:rsidR="002C7FAC">
        <w:rPr>
          <w:rFonts w:cstheme="minorHAnsi"/>
          <w:lang w:val="en-GB"/>
        </w:rPr>
        <w:t>were</w:t>
      </w:r>
      <w:r w:rsidR="002C7FAC" w:rsidRPr="00941F74">
        <w:rPr>
          <w:rFonts w:cstheme="minorHAnsi"/>
          <w:lang w:val="en-GB"/>
        </w:rPr>
        <w:t xml:space="preserve"> </w:t>
      </w:r>
      <w:r w:rsidR="00E26EA3" w:rsidRPr="00941F74">
        <w:rPr>
          <w:rFonts w:cstheme="minorHAnsi"/>
          <w:lang w:val="en-GB"/>
        </w:rPr>
        <w:t>considered</w:t>
      </w:r>
      <w:r w:rsidR="00C312CE" w:rsidRPr="00941F74">
        <w:rPr>
          <w:rFonts w:cstheme="minorHAnsi"/>
          <w:lang w:val="en-GB"/>
        </w:rPr>
        <w:t>.</w:t>
      </w:r>
      <w:r w:rsidR="006330DE">
        <w:rPr>
          <w:rFonts w:cstheme="minorHAnsi"/>
          <w:lang w:val="en-GB"/>
        </w:rPr>
        <w:t xml:space="preserve"> The</w:t>
      </w:r>
      <w:r w:rsidR="00A15A69" w:rsidRPr="00941F74">
        <w:rPr>
          <w:lang w:val="en-US"/>
        </w:rPr>
        <w:t xml:space="preserve"> </w:t>
      </w:r>
      <w:r w:rsidR="00BC544F" w:rsidRPr="00941F74">
        <w:rPr>
          <w:rFonts w:cstheme="minorHAnsi"/>
          <w:lang w:val="en-GB"/>
        </w:rPr>
        <w:t xml:space="preserve">LOVE </w:t>
      </w:r>
      <w:r w:rsidR="00C312CE" w:rsidRPr="00941F74">
        <w:rPr>
          <w:rFonts w:cstheme="minorHAnsi"/>
          <w:lang w:val="en-GB"/>
        </w:rPr>
        <w:t xml:space="preserve">estimate for taxa </w:t>
      </w:r>
      <w:proofErr w:type="spellStart"/>
      <w:r w:rsidR="001264DF" w:rsidRPr="00941F74">
        <w:rPr>
          <w:rFonts w:cstheme="minorHAnsi"/>
          <w:lang w:val="en-GB"/>
        </w:rPr>
        <w:t>i</w:t>
      </w:r>
      <w:proofErr w:type="spellEnd"/>
      <w:r w:rsidR="001264DF" w:rsidRPr="00941F74">
        <w:rPr>
          <w:rFonts w:cstheme="minorHAnsi"/>
          <w:lang w:val="en-GB"/>
        </w:rPr>
        <w:t xml:space="preserve"> </w:t>
      </w:r>
      <w:r w:rsidR="00C312CE" w:rsidRPr="00941F74">
        <w:rPr>
          <w:rFonts w:cstheme="minorHAnsi"/>
          <w:lang w:val="en-GB"/>
        </w:rPr>
        <w:t xml:space="preserve">at site </w:t>
      </w:r>
      <w:r w:rsidR="001264DF" w:rsidRPr="00941F74">
        <w:rPr>
          <w:rFonts w:cstheme="minorHAnsi"/>
          <w:lang w:val="en-GB"/>
        </w:rPr>
        <w:t xml:space="preserve">k </w:t>
      </w:r>
      <w:r w:rsidR="00C312CE" w:rsidRPr="00941F74">
        <w:rPr>
          <w:rFonts w:cstheme="minorHAnsi"/>
          <w:lang w:val="en-GB"/>
        </w:rPr>
        <w:t xml:space="preserve">will be written </w:t>
      </w:r>
      <m:oMath>
        <m:sSub>
          <m:sSubPr>
            <m:ctrlPr>
              <w:rPr>
                <w:rFonts w:ascii="Cambria Math" w:hAnsi="Cambria Math" w:cstheme="minorHAnsi"/>
                <w:lang w:val="en-GB"/>
              </w:rPr>
            </m:ctrlPr>
          </m:sSubPr>
          <m:e>
            <m:r>
              <m:rPr>
                <m:sty m:val="p"/>
              </m:rPr>
              <w:rPr>
                <w:rFonts w:ascii="Cambria Math" w:hAnsi="Cambria Math" w:cstheme="minorHAnsi"/>
                <w:lang w:val="en-GB"/>
              </w:rPr>
              <m:t>LOVE</m:t>
            </m:r>
          </m:e>
          <m:sub>
            <m:r>
              <m:rPr>
                <m:sty m:val="p"/>
              </m:rPr>
              <w:rPr>
                <w:rFonts w:ascii="Cambria Math" w:hAnsi="Cambria Math" w:cstheme="minorHAnsi"/>
                <w:lang w:val="en-GB"/>
              </w:rPr>
              <m:t>i,k</m:t>
            </m:r>
          </m:sub>
        </m:sSub>
      </m:oMath>
      <w:r w:rsidR="00C312CE" w:rsidRPr="00941F74">
        <w:rPr>
          <w:rFonts w:cstheme="minorHAnsi"/>
          <w:lang w:val="en-GB"/>
        </w:rPr>
        <w:t xml:space="preserve"> </w:t>
      </w:r>
      <w:r w:rsidR="002C7FAC">
        <w:rPr>
          <w:rFonts w:cstheme="minorHAnsi"/>
          <w:lang w:val="en-GB"/>
        </w:rPr>
        <w:t>hereafter</w:t>
      </w:r>
      <w:r w:rsidR="002C7FAC" w:rsidRPr="00941F74">
        <w:rPr>
          <w:rFonts w:cstheme="minorHAnsi"/>
          <w:lang w:val="en-GB"/>
        </w:rPr>
        <w:t xml:space="preserve"> </w:t>
      </w:r>
      <w:r w:rsidR="00EF4205" w:rsidRPr="00941F74">
        <w:rPr>
          <w:rFonts w:cstheme="minorHAnsi"/>
          <w:lang w:val="en-GB"/>
        </w:rPr>
        <w:t xml:space="preserve">and the 18 taxa estimates </w:t>
      </w:r>
      <w:r w:rsidR="00C312CE" w:rsidRPr="00941F74">
        <w:rPr>
          <w:rFonts w:cstheme="minorHAnsi"/>
          <w:lang w:val="en-GB"/>
        </w:rPr>
        <w:t xml:space="preserve">sum </w:t>
      </w:r>
      <w:r w:rsidR="00775061" w:rsidRPr="00941F74">
        <w:rPr>
          <w:rFonts w:cstheme="minorHAnsi"/>
          <w:lang w:val="en-GB"/>
        </w:rPr>
        <w:t xml:space="preserve">up </w:t>
      </w:r>
      <w:r w:rsidR="00C312CE" w:rsidRPr="00941F74">
        <w:rPr>
          <w:rFonts w:cstheme="minorHAnsi"/>
          <w:lang w:val="en-GB"/>
        </w:rPr>
        <w:t>to 100% of the vegetation composition.</w:t>
      </w:r>
    </w:p>
    <w:p w14:paraId="64AA6AAC" w14:textId="2505A390" w:rsidR="00C312CE" w:rsidRDefault="00C312CE">
      <w:pPr>
        <w:spacing w:line="480" w:lineRule="auto"/>
        <w:rPr>
          <w:rFonts w:cstheme="minorHAnsi"/>
          <w:lang w:val="en-GB"/>
        </w:rPr>
      </w:pPr>
      <w:r w:rsidRPr="00941F74">
        <w:rPr>
          <w:rFonts w:cstheme="minorHAnsi"/>
          <w:lang w:val="en-GB"/>
        </w:rPr>
        <w:t xml:space="preserve">As the study sites are close to each other (between 352m and 1728m), the RSAP of each site overlaps with at least one </w:t>
      </w:r>
      <w:r w:rsidR="00AD66D3" w:rsidRPr="00941F74">
        <w:rPr>
          <w:rFonts w:cstheme="minorHAnsi"/>
          <w:lang w:val="en-GB"/>
        </w:rPr>
        <w:t>(</w:t>
      </w:r>
      <w:r w:rsidRPr="00941F74">
        <w:rPr>
          <w:rFonts w:cstheme="minorHAnsi"/>
          <w:lang w:val="en-GB"/>
        </w:rPr>
        <w:t xml:space="preserve">SIG with ESC) and up to four </w:t>
      </w:r>
      <w:r w:rsidR="00AD66D3" w:rsidRPr="00941F74">
        <w:rPr>
          <w:rFonts w:cstheme="minorHAnsi"/>
          <w:lang w:val="en-GB"/>
        </w:rPr>
        <w:t>sites</w:t>
      </w:r>
      <w:r w:rsidRPr="00941F74">
        <w:rPr>
          <w:rFonts w:cstheme="minorHAnsi"/>
          <w:lang w:val="en-GB"/>
        </w:rPr>
        <w:t xml:space="preserve"> (EM with OT, FOUZ, W1652 and LEG). </w:t>
      </w:r>
      <w:r w:rsidR="004201E7" w:rsidRPr="00941F74">
        <w:rPr>
          <w:rFonts w:cstheme="minorHAnsi"/>
          <w:lang w:val="en-GB"/>
        </w:rPr>
        <w:t>By</w:t>
      </w:r>
      <w:r w:rsidRPr="00941F74">
        <w:rPr>
          <w:rFonts w:cstheme="minorHAnsi"/>
          <w:lang w:val="en-GB"/>
        </w:rPr>
        <w:t xml:space="preserve"> showing large inter-site variations despite this proximity, these </w:t>
      </w:r>
      <w:r w:rsidR="00EF4205" w:rsidRPr="00941F74">
        <w:rPr>
          <w:rFonts w:cstheme="minorHAnsi"/>
          <w:lang w:val="en-GB"/>
        </w:rPr>
        <w:t xml:space="preserve">LOVE </w:t>
      </w:r>
      <w:r w:rsidRPr="00941F74">
        <w:rPr>
          <w:rFonts w:cstheme="minorHAnsi"/>
          <w:lang w:val="en-GB"/>
        </w:rPr>
        <w:t>estimates represent a strong potential for spatializing pollen-based vegetation reconstructions</w:t>
      </w:r>
      <w:r w:rsidR="00D73C9C" w:rsidRPr="00941F74">
        <w:rPr>
          <w:rFonts w:cstheme="minorHAnsi"/>
          <w:lang w:val="en-GB"/>
        </w:rPr>
        <w:t xml:space="preserve"> </w:t>
      </w:r>
      <w:r w:rsidR="001D03E8" w:rsidRPr="00941F74">
        <w:rPr>
          <w:rFonts w:cstheme="minorHAnsi"/>
          <w:lang w:val="en-GB"/>
        </w:rPr>
        <w:fldChar w:fldCharType="begin"/>
      </w:r>
      <w:r w:rsidR="003B1EC2">
        <w:rPr>
          <w:rFonts w:cstheme="minorHAnsi"/>
          <w:lang w:val="en-GB"/>
        </w:rPr>
        <w:instrText xml:space="preserve"> ADDIN ZOTERO_ITEM CSL_CITATION {"citationID":"IQOPJcHs","properties":{"formattedCitation":"(Plancher et al., 2022)","plainCitation":"(Plancher et al., 2022)","noteIndex":0},"citationItems":[{"id":3227,"uris":["http://zotero.org/users/10290022/items/T4Q5CY5M"],"itemData":{"id":3227,"type":"article-journal","container-title":"Quaternary Science Reviews","DOI":"https://doi.org/10.1016/j.quascirev.2022.107753","page":"107753","title":"Spatial and temporal patterns of upland vegetation over the last 200 years in the northern pyrenees: Example from the Bassiès valley, Ariège, France","volume":"294","author":[{"family":"Plancher","given":"Clara"},{"family":"Galop","given":"Didier"},{"family":"Houet","given":"Thomas"},{"family":"Lerigoleur","given":"Emile"},{"family":"Marquer","given":"Laurent"},{"family":"Sugita","given":"Shinya"},{"family":"Mazier","given":"Florence"}],"issued":{"date-parts":[["2022"]]}}}],"schema":"https://github.com/citation-style-language/schema/raw/master/csl-citation.json"} </w:instrText>
      </w:r>
      <w:r w:rsidR="001D03E8" w:rsidRPr="00941F74">
        <w:rPr>
          <w:rFonts w:cstheme="minorHAnsi"/>
          <w:lang w:val="en-GB"/>
        </w:rPr>
        <w:fldChar w:fldCharType="separate"/>
      </w:r>
      <w:r w:rsidR="003B1EC2" w:rsidRPr="003B1EC2">
        <w:rPr>
          <w:rFonts w:ascii="Calibri" w:hAnsi="Calibri" w:cs="Calibri"/>
          <w:lang w:val="en-US"/>
        </w:rPr>
        <w:t>(Plancher et al., 2022)</w:t>
      </w:r>
      <w:r w:rsidR="001D03E8" w:rsidRPr="00941F74">
        <w:rPr>
          <w:rFonts w:cstheme="minorHAnsi"/>
          <w:lang w:val="en-GB"/>
        </w:rPr>
        <w:fldChar w:fldCharType="end"/>
      </w:r>
      <w:r w:rsidRPr="00941F74">
        <w:rPr>
          <w:rFonts w:cstheme="minorHAnsi"/>
          <w:lang w:val="en-GB"/>
        </w:rPr>
        <w:t xml:space="preserve">. According to </w:t>
      </w:r>
      <w:r w:rsidR="00EF4205" w:rsidRPr="00941F74">
        <w:rPr>
          <w:rFonts w:cstheme="minorHAnsi"/>
          <w:lang w:val="en-GB"/>
        </w:rPr>
        <w:t xml:space="preserve">LOVE estimates </w:t>
      </w:r>
      <w:r w:rsidRPr="00941F74">
        <w:rPr>
          <w:rFonts w:cstheme="minorHAnsi"/>
          <w:lang w:val="en-GB"/>
        </w:rPr>
        <w:t>at TW1995,</w:t>
      </w:r>
      <w:r w:rsidR="0057527F" w:rsidRPr="00941F74">
        <w:rPr>
          <w:rFonts w:cstheme="minorHAnsi"/>
          <w:lang w:val="en-GB"/>
        </w:rPr>
        <w:t xml:space="preserve"> the vegetation cover within 1 km radii is dominated by </w:t>
      </w:r>
      <w:proofErr w:type="spellStart"/>
      <w:r w:rsidR="0057527F" w:rsidRPr="00941F74">
        <w:rPr>
          <w:rFonts w:cstheme="minorHAnsi"/>
          <w:lang w:val="en-GB"/>
        </w:rPr>
        <w:t>Ericaceae</w:t>
      </w:r>
      <w:proofErr w:type="spellEnd"/>
      <w:r w:rsidR="0057527F" w:rsidRPr="00941F74">
        <w:rPr>
          <w:rFonts w:cstheme="minorHAnsi"/>
          <w:lang w:val="en-GB"/>
        </w:rPr>
        <w:t xml:space="preserve"> ar</w:t>
      </w:r>
      <w:r w:rsidRPr="00941F74">
        <w:rPr>
          <w:rFonts w:cstheme="minorHAnsi"/>
          <w:lang w:val="en-GB"/>
        </w:rPr>
        <w:t xml:space="preserve">ound SIG, LEG and FOUZ and W1652, </w:t>
      </w:r>
      <w:r w:rsidR="002C7FAC">
        <w:rPr>
          <w:rFonts w:cstheme="minorHAnsi"/>
          <w:lang w:val="en-GB"/>
        </w:rPr>
        <w:t xml:space="preserve">by </w:t>
      </w:r>
      <w:proofErr w:type="spellStart"/>
      <w:r w:rsidR="0057527F" w:rsidRPr="00941F74">
        <w:rPr>
          <w:rFonts w:cstheme="minorHAnsi"/>
          <w:i/>
          <w:lang w:val="en-GB"/>
        </w:rPr>
        <w:t>Calluna</w:t>
      </w:r>
      <w:proofErr w:type="spellEnd"/>
      <w:r w:rsidR="0057527F" w:rsidRPr="00941F74">
        <w:rPr>
          <w:rFonts w:cstheme="minorHAnsi"/>
          <w:i/>
          <w:lang w:val="en-GB"/>
        </w:rPr>
        <w:t xml:space="preserve"> vulgaris</w:t>
      </w:r>
      <w:r w:rsidR="0057527F" w:rsidRPr="00941F74" w:rsidDel="0057527F">
        <w:rPr>
          <w:rFonts w:cstheme="minorHAnsi"/>
          <w:lang w:val="en-GB"/>
        </w:rPr>
        <w:t xml:space="preserve"> </w:t>
      </w:r>
      <w:r w:rsidRPr="00941F74">
        <w:rPr>
          <w:rFonts w:cstheme="minorHAnsi"/>
          <w:lang w:val="en-GB"/>
        </w:rPr>
        <w:t xml:space="preserve">around ESC, </w:t>
      </w:r>
      <w:r w:rsidR="002C7FAC">
        <w:rPr>
          <w:rFonts w:cstheme="minorHAnsi"/>
          <w:lang w:val="en-GB"/>
        </w:rPr>
        <w:t xml:space="preserve">by </w:t>
      </w:r>
      <w:proofErr w:type="spellStart"/>
      <w:r w:rsidR="0057527F" w:rsidRPr="00941F74">
        <w:rPr>
          <w:rFonts w:cstheme="minorHAnsi"/>
          <w:lang w:val="en-GB"/>
        </w:rPr>
        <w:t>Cyperaceae</w:t>
      </w:r>
      <w:proofErr w:type="spellEnd"/>
      <w:r w:rsidR="0057527F" w:rsidRPr="00941F74">
        <w:rPr>
          <w:rFonts w:cstheme="minorHAnsi"/>
          <w:lang w:val="en-GB"/>
        </w:rPr>
        <w:t xml:space="preserve"> </w:t>
      </w:r>
      <w:r w:rsidRPr="00941F74">
        <w:rPr>
          <w:rFonts w:cstheme="minorHAnsi"/>
          <w:lang w:val="en-GB"/>
        </w:rPr>
        <w:t xml:space="preserve">around EM, and </w:t>
      </w:r>
      <w:r w:rsidR="002C7FAC">
        <w:rPr>
          <w:rFonts w:cstheme="minorHAnsi"/>
          <w:lang w:val="en-GB"/>
        </w:rPr>
        <w:t xml:space="preserve">by </w:t>
      </w:r>
      <w:proofErr w:type="spellStart"/>
      <w:r w:rsidR="0057527F" w:rsidRPr="00941F74">
        <w:rPr>
          <w:rFonts w:cstheme="minorHAnsi"/>
          <w:lang w:val="en-GB"/>
        </w:rPr>
        <w:t>Poaceae</w:t>
      </w:r>
      <w:proofErr w:type="spellEnd"/>
      <w:r w:rsidR="0057527F" w:rsidRPr="00941F74">
        <w:rPr>
          <w:rFonts w:cstheme="minorHAnsi"/>
          <w:lang w:val="en-GB"/>
        </w:rPr>
        <w:t xml:space="preserve"> </w:t>
      </w:r>
      <w:r w:rsidRPr="00941F74">
        <w:rPr>
          <w:rFonts w:cstheme="minorHAnsi"/>
          <w:lang w:val="en-GB"/>
        </w:rPr>
        <w:t>around OT</w:t>
      </w:r>
      <w:r w:rsidR="0057527F" w:rsidRPr="00941F74">
        <w:rPr>
          <w:rFonts w:cstheme="minorHAnsi"/>
          <w:lang w:val="en-GB"/>
        </w:rPr>
        <w:t xml:space="preserve"> </w:t>
      </w:r>
      <w:r w:rsidRPr="00941F74">
        <w:rPr>
          <w:rFonts w:cstheme="minorHAnsi"/>
          <w:lang w:val="en-GB"/>
        </w:rPr>
        <w:t>(</w:t>
      </w:r>
      <w:r w:rsidRPr="00A7068C">
        <w:rPr>
          <w:rFonts w:cstheme="minorHAnsi"/>
          <w:color w:val="4BACC6" w:themeColor="accent5"/>
          <w:lang w:val="en-GB"/>
        </w:rPr>
        <w:t xml:space="preserve">Table </w:t>
      </w:r>
      <w:r w:rsidR="001D03E8" w:rsidRPr="00A7068C">
        <w:rPr>
          <w:rFonts w:cstheme="minorHAnsi"/>
          <w:color w:val="4BACC6" w:themeColor="accent5"/>
          <w:lang w:val="en-GB"/>
        </w:rPr>
        <w:t>2</w:t>
      </w:r>
      <w:r w:rsidR="004B4AA0" w:rsidRPr="00941F74">
        <w:rPr>
          <w:rFonts w:cstheme="minorHAnsi"/>
          <w:lang w:val="en-GB"/>
        </w:rPr>
        <w:t xml:space="preserve">, </w:t>
      </w:r>
      <w:proofErr w:type="spellStart"/>
      <w:r w:rsidR="004B4AA0" w:rsidRPr="00941F74">
        <w:rPr>
          <w:rFonts w:cstheme="minorHAnsi"/>
          <w:lang w:val="en-GB"/>
        </w:rPr>
        <w:t>Plancher</w:t>
      </w:r>
      <w:proofErr w:type="spellEnd"/>
      <w:r w:rsidR="004B4AA0" w:rsidRPr="00941F74">
        <w:rPr>
          <w:rFonts w:cstheme="minorHAnsi"/>
          <w:lang w:val="en-GB"/>
        </w:rPr>
        <w:t xml:space="preserve"> et al. 2022</w:t>
      </w:r>
      <w:r w:rsidRPr="00941F74">
        <w:rPr>
          <w:rFonts w:cstheme="minorHAnsi"/>
          <w:lang w:val="en-GB"/>
        </w:rPr>
        <w:t>). Tree taxa represent between 9% (W1652) and 4</w:t>
      </w:r>
      <w:r w:rsidR="0007408E" w:rsidRPr="00941F74">
        <w:rPr>
          <w:rFonts w:cstheme="minorHAnsi"/>
          <w:lang w:val="en-GB"/>
        </w:rPr>
        <w:t>1</w:t>
      </w:r>
      <w:r w:rsidRPr="00941F74">
        <w:rPr>
          <w:rFonts w:cstheme="minorHAnsi"/>
          <w:lang w:val="en-GB"/>
        </w:rPr>
        <w:t>% (LEG) of the local vegetation, shrubs between 0.1% (OT) and 9</w:t>
      </w:r>
      <w:r w:rsidR="0007408E" w:rsidRPr="00941F74">
        <w:rPr>
          <w:rFonts w:cstheme="minorHAnsi"/>
          <w:lang w:val="en-GB"/>
        </w:rPr>
        <w:t>1</w:t>
      </w:r>
      <w:r w:rsidRPr="00941F74">
        <w:rPr>
          <w:rFonts w:cstheme="minorHAnsi"/>
          <w:lang w:val="en-GB"/>
        </w:rPr>
        <w:t>% (W1652) and herbaceous taxa between 0% (LEG) and 88% (EM).</w:t>
      </w:r>
    </w:p>
    <w:p w14:paraId="2C3EFAFE" w14:textId="77777777" w:rsidR="00163919" w:rsidRPr="00060700" w:rsidRDefault="00163919">
      <w:pPr>
        <w:spacing w:line="480" w:lineRule="auto"/>
        <w:rPr>
          <w:rFonts w:ascii="Calibri" w:hAnsi="Calibri" w:cs="Calibri"/>
          <w:lang w:val="en-GB"/>
        </w:rPr>
      </w:pPr>
    </w:p>
    <w:p w14:paraId="700DBD29" w14:textId="0C9B0265" w:rsidR="00163919" w:rsidRPr="00060700" w:rsidRDefault="00163919" w:rsidP="00060700">
      <w:pPr>
        <w:pStyle w:val="Titre3"/>
        <w:numPr>
          <w:ilvl w:val="2"/>
          <w:numId w:val="31"/>
        </w:numPr>
        <w:spacing w:line="480" w:lineRule="auto"/>
        <w:rPr>
          <w:rFonts w:ascii="Calibri" w:hAnsi="Calibri" w:cs="Calibri"/>
          <w:lang w:val="en-GB"/>
        </w:rPr>
      </w:pPr>
      <w:r w:rsidRPr="00060700">
        <w:rPr>
          <w:rFonts w:ascii="Calibri" w:hAnsi="Calibri" w:cs="Calibri"/>
          <w:b/>
          <w:lang w:val="en-US"/>
        </w:rPr>
        <w:t>Cartographic and botanical data</w:t>
      </w:r>
    </w:p>
    <w:p w14:paraId="7E810028" w14:textId="1C0A2C6C" w:rsidR="00163919" w:rsidRDefault="00163919">
      <w:pPr>
        <w:autoSpaceDE w:val="0"/>
        <w:autoSpaceDN w:val="0"/>
        <w:adjustRightInd w:val="0"/>
        <w:spacing w:after="0" w:line="480" w:lineRule="auto"/>
        <w:rPr>
          <w:rFonts w:cstheme="minorHAnsi"/>
          <w:lang w:val="en-GB"/>
        </w:rPr>
      </w:pPr>
      <w:r w:rsidRPr="00060700">
        <w:rPr>
          <w:rFonts w:ascii="Calibri" w:hAnsi="Calibri" w:cs="Calibri"/>
          <w:lang w:val="en-GB"/>
        </w:rPr>
        <w:t xml:space="preserve">A digital elevation model (DEM) and two recent land-cover maps (1993 and 2008, </w:t>
      </w:r>
      <w:r w:rsidRPr="00060700">
        <w:rPr>
          <w:rFonts w:ascii="Calibri" w:hAnsi="Calibri" w:cs="Calibri"/>
          <w:lang w:val="en-GB"/>
        </w:rPr>
        <w:fldChar w:fldCharType="begin"/>
      </w:r>
      <w:r w:rsidRPr="00060700">
        <w:rPr>
          <w:rFonts w:ascii="Calibri" w:hAnsi="Calibri" w:cs="Calibri"/>
          <w:lang w:val="en-GB"/>
        </w:rPr>
        <w:instrText xml:space="preserve"> ADDIN ZOTERO_ITEM CSL_CITATION {"citationID":"Ztgh4cyG","properties":{"formattedCitation":"(Houet et al., 2012)","plainCitation":"(Houet et al., 2012)","dontUpdate":true,"noteIndex":0},"citationItems":[{"id":1329,"uris":["http://zotero.org/users/10290022/items/4QJ35T4M"],"itemData":{"id":1329,"type":"paper-conference","container-title":"AGILE","event-place":"Avignon","ISBN":"978-90-816960-0-5","page":"1","publisher-place":"Avignon","title":"Modelling past and future land cover changes . A multi-scale approach applied in the Pyrenees","author":[{"family":"Houet","given":"Thomas"},{"family":"Galop","given":"Didier"},{"family":"Mazier","given":"Florence"},{"family":"Sheeren","given":"David"},{"family":"Dejoux","given":"J. F."}],"issued":{"date-parts":[["2012"]]}}}],"schema":"https://github.com/citation-style-language/schema/raw/master/csl-citation.json"} </w:instrText>
      </w:r>
      <w:r w:rsidRPr="00060700">
        <w:rPr>
          <w:rFonts w:ascii="Calibri" w:hAnsi="Calibri" w:cs="Calibri"/>
          <w:lang w:val="en-GB"/>
        </w:rPr>
        <w:fldChar w:fldCharType="separate"/>
      </w:r>
      <w:r w:rsidRPr="00163919">
        <w:rPr>
          <w:rFonts w:ascii="Calibri" w:hAnsi="Calibri" w:cs="Calibri"/>
          <w:lang w:val="en-US"/>
        </w:rPr>
        <w:t>Houet et al., 2012)</w:t>
      </w:r>
      <w:r w:rsidRPr="00060700">
        <w:rPr>
          <w:rFonts w:ascii="Calibri" w:hAnsi="Calibri" w:cs="Calibri"/>
          <w:lang w:val="en-GB"/>
        </w:rPr>
        <w:fldChar w:fldCharType="end"/>
      </w:r>
      <w:r w:rsidRPr="00060700">
        <w:rPr>
          <w:rFonts w:ascii="Calibri" w:hAnsi="Calibri" w:cs="Calibri"/>
          <w:lang w:val="en-GB"/>
        </w:rPr>
        <w:t xml:space="preserve"> were used in this paper. The DEM was used to estimate auxiliary environmental variables. These auxiliary variables were integrated in the models to take</w:t>
      </w:r>
      <w:r w:rsidRPr="00941F74">
        <w:rPr>
          <w:rFonts w:cstheme="minorHAnsi"/>
          <w:lang w:val="en-GB"/>
        </w:rPr>
        <w:t xml:space="preserve"> into account the environmental variability of </w:t>
      </w:r>
      <w:r>
        <w:rPr>
          <w:rFonts w:cstheme="minorHAnsi"/>
          <w:lang w:val="en-GB"/>
        </w:rPr>
        <w:t xml:space="preserve">the </w:t>
      </w:r>
      <w:proofErr w:type="spellStart"/>
      <w:r w:rsidRPr="00941F74">
        <w:rPr>
          <w:rFonts w:cstheme="minorHAnsi"/>
          <w:lang w:val="en-GB"/>
        </w:rPr>
        <w:t>Bassiès</w:t>
      </w:r>
      <w:proofErr w:type="spellEnd"/>
      <w:r w:rsidRPr="00941F74">
        <w:rPr>
          <w:rFonts w:cstheme="minorHAnsi"/>
          <w:lang w:val="en-GB"/>
        </w:rPr>
        <w:t xml:space="preserve"> landscape on its vegetation distribution (see section 3.2.2). The 1993 and 2008 land-cover maps are based on true </w:t>
      </w:r>
      <w:proofErr w:type="spellStart"/>
      <w:r w:rsidRPr="00941F74">
        <w:rPr>
          <w:rFonts w:cstheme="minorHAnsi"/>
          <w:lang w:val="en-GB"/>
        </w:rPr>
        <w:t>color</w:t>
      </w:r>
      <w:proofErr w:type="spellEnd"/>
      <w:r w:rsidRPr="00941F74">
        <w:rPr>
          <w:rFonts w:cstheme="minorHAnsi"/>
          <w:lang w:val="en-GB"/>
        </w:rPr>
        <w:t xml:space="preserve"> (RGB) and false </w:t>
      </w:r>
      <w:proofErr w:type="spellStart"/>
      <w:r w:rsidRPr="00941F74">
        <w:rPr>
          <w:rFonts w:cstheme="minorHAnsi"/>
          <w:lang w:val="en-GB"/>
        </w:rPr>
        <w:t>color</w:t>
      </w:r>
      <w:proofErr w:type="spellEnd"/>
      <w:r w:rsidRPr="00941F74">
        <w:rPr>
          <w:rFonts w:cstheme="minorHAnsi"/>
          <w:lang w:val="en-GB"/>
        </w:rPr>
        <w:t xml:space="preserve"> (near infrared) aerial images, classified using a geographic object-based image analysis combining visual interpretation and automatic classification </w:t>
      </w:r>
      <w:r w:rsidRPr="00941F74">
        <w:rPr>
          <w:rFonts w:cstheme="minorHAnsi"/>
          <w:lang w:val="en-GB"/>
        </w:rPr>
        <w:fldChar w:fldCharType="begin"/>
      </w:r>
      <w:r w:rsidR="003B1EC2">
        <w:rPr>
          <w:rFonts w:cstheme="minorHAnsi"/>
          <w:lang w:val="en-GB"/>
        </w:rPr>
        <w:instrText xml:space="preserve"> ADDIN ZOTERO_ITEM CSL_CITATION {"citationID":"hR0xr2NJ","properties":{"formattedCitation":"(Houet et al., 2012a; Sheeren et al., 2012)","plainCitation":"(Houet et al., 2012a; Sheeren et al., 2012)","noteIndex":0},"citationItems":[{"id":1329,"uris":["http://zotero.org/users/10290022/items/4QJ35T4M"],"itemData":{"id":1329,"type":"paper-conference","container-title":"AGILE","event-place":"Avignon","ISBN":"978-90-816960-0-5","page":"1","publisher-place":"Avignon","title":"Modelling past and future land cover changes . A multi-scale approach applied in the Pyrenees","author":[{"family":"Houet","given":"Thomas"},{"family":"Galop","given":"Didier"},{"family":"Mazier","given":"Florence"},{"family":"Sheeren","given":"David"},{"family":"Dejoux","given":"J. F."}],"issued":{"date-parts":[["2012"]]}}},{"id":2395,"uris":["http://zotero.org/users/10290022/items/9U6CYB7V"],"itemData":{"id":2395,"type":"article-journal","abstract":"Introduction As in many mountain areas in Europe, agro-pastoral landscapes in the valleys of the Pyrenees are subject to fast spontaneous reforestation [1,2]. The main driving forces and the consequences of these transformations have been widely studied during the last decades [3]. Encroachment is mainly related to the abandonment of farmland in combination with rural depopulation and agriculture modernization while impacts are both of environmental and social orders. But encroachment does not occur uniformly at the entire mountain range. Observed changes of land abandonment or land-use extensification can be similar at the regional scale but the local dynamics (magnitude of changes, rhythm) can vary [4]. In 2011, a new research project called MODE-RESPYR (Modelling Past and future land cover changes in the Pyrenees) started with the aim of studying landscape dynamic of the French Pyrenees by integrating different spatial and temporal scales (from regional to local spatial dynamics using both palaeo-environmental data for the older time period and remote sensing data for the most recent period). This work is a part of the project. Its purpose is to contribute to the understanding of the patterns of land-cover changes at the local scale. We present the methodological approach that has been followed to produce land cover maps since the 1940s and investigate landscape changes in three study sites. We hypothesised that local disparities exist because of specific conditions related to natural and anthropic factors. 2 Study sites The method was conducted on three case study sites along a West-East gradient of the French Pyrenees: the Davantaygue (48,2 km²), the Haut-Vicdessos (245 km²) and the Garrotxes (49 km²). The first site is located in the peripheral area of the Pyrenees National Park. The second site includes several municipalities of the department of Ariège, and the third site is situated in the Eastern Pyrenees. 3 Material and method 3.1 Data Land cover changes have been identified from a large set of digital aerial photographs (0.5-m resolution) covering the whole surface of the three study areas. Black and white historical photographs (from IGN) were used to cover the period from the 1940s to the 1980s in addition to true color photographs for the more recent period (1990-2000). The number, the dates and the scale of the photographs differ from one site to another but a land cover map was produced for each decade. Table 1 illustrates the data set related to the Haut-Vicdessos. Table1. Specifications of the photographs used to produce land cover maps for the Haut-Vicdessos. 3.2 Land cover mapping method The method developed to produce land cover maps at each date adopts the principles of the GEOgraphic Object-Based Image Analysis (GEOBIA) [5]. This approach has already proved its effectiveness for mapping shrub encroachment from panchromatic aerial and high-resolution satellite imagery [6]. Our method consists in several conventional steps: pre-processing, segmentation, classification, validation. During Abstract This paper presents the first results of the MODE-RESPYR project that aims at assessing past and present land cover changes in the French Pyrenees at various spatial and temporal scales. A semi-automatic GEOBIA approach is proposed to produce land cover maps since the 1940s in three local study sites. The major change observed resulted in forest encroachment by scrubs. However, the spatial distribution and the dynamics of changes differ from one site to another. Even if the main drivers of encroachment are the same, local disparities exist because of specific natural and anthropic factors. The results will be combined with the regional trend to provide knowledge for building prospective scenarios.","container-title":"Proceedings of the AGILE 2012 International Conference on Geographic Information Science","note":"ISBN: 9789081696005","page":"1940-1942","title":"Assessing land cover changes in the French Pyrenees since the 1940s : a semi - automatic GEOBIA approach using aerial photographs","author":[{"family":"Sheeren","given":"D"},{"family":"Ladet","given":"S."},{"family":"Ribiere","given":"O."},{"family":"Raynaud","given":"B."},{"family":"Paegelow","given":"M."},{"family":"Houet","given":"Thomas"}],"issued":{"date-parts":[["2012"]]}}}],"schema":"https://github.com/citation-style-language/schema/raw/master/csl-citation.json"} </w:instrText>
      </w:r>
      <w:r w:rsidRPr="00941F74">
        <w:rPr>
          <w:rFonts w:cstheme="minorHAnsi"/>
          <w:lang w:val="en-GB"/>
        </w:rPr>
        <w:fldChar w:fldCharType="separate"/>
      </w:r>
      <w:r w:rsidR="003B1EC2" w:rsidRPr="003B1EC2">
        <w:rPr>
          <w:rFonts w:ascii="Calibri" w:hAnsi="Calibri" w:cs="Calibri"/>
        </w:rPr>
        <w:t>(Houet et al., 2012a; Sheeren et al., 2012)</w:t>
      </w:r>
      <w:r w:rsidRPr="00941F74">
        <w:rPr>
          <w:rFonts w:cstheme="minorHAnsi"/>
          <w:lang w:val="en-GB"/>
        </w:rPr>
        <w:fldChar w:fldCharType="end"/>
      </w:r>
      <w:r w:rsidRPr="00941F74">
        <w:rPr>
          <w:rFonts w:cstheme="minorHAnsi"/>
          <w:lang w:val="en-GB"/>
        </w:rPr>
        <w:t xml:space="preserve">. </w:t>
      </w:r>
    </w:p>
    <w:p w14:paraId="5345D596" w14:textId="77777777" w:rsidR="00163919" w:rsidRPr="00941F74" w:rsidRDefault="00163919" w:rsidP="00163919">
      <w:pPr>
        <w:autoSpaceDE w:val="0"/>
        <w:autoSpaceDN w:val="0"/>
        <w:adjustRightInd w:val="0"/>
        <w:spacing w:after="0" w:line="480" w:lineRule="auto"/>
        <w:rPr>
          <w:rFonts w:cstheme="minorHAnsi"/>
          <w:lang w:val="en-GB"/>
        </w:rPr>
      </w:pPr>
      <w:r w:rsidRPr="00941F74">
        <w:rPr>
          <w:rFonts w:cstheme="minorHAnsi"/>
          <w:lang w:val="en-GB"/>
        </w:rPr>
        <w:lastRenderedPageBreak/>
        <w:t xml:space="preserve">These maps were resampled into 20m resolution </w:t>
      </w:r>
      <w:proofErr w:type="spellStart"/>
      <w:r w:rsidRPr="00941F74">
        <w:rPr>
          <w:rFonts w:cstheme="minorHAnsi"/>
          <w:lang w:val="en-GB"/>
        </w:rPr>
        <w:t>rasters</w:t>
      </w:r>
      <w:proofErr w:type="spellEnd"/>
      <w:r w:rsidRPr="00941F74">
        <w:rPr>
          <w:rFonts w:cstheme="minorHAnsi"/>
          <w:lang w:val="en-GB"/>
        </w:rPr>
        <w:t xml:space="preserve"> by averaging the DEM values and by assigning the dominant land-cover type with the largest cover area to each pixel (</w:t>
      </w:r>
      <w:r w:rsidRPr="00941F74">
        <w:rPr>
          <w:rFonts w:cstheme="minorHAnsi"/>
          <w:color w:val="FF0000"/>
          <w:lang w:val="en-GB"/>
        </w:rPr>
        <w:t>Fig.2</w:t>
      </w:r>
      <w:r w:rsidRPr="00941F74">
        <w:rPr>
          <w:rFonts w:cstheme="minorHAnsi"/>
          <w:lang w:val="en-GB"/>
        </w:rPr>
        <w:t xml:space="preserve">). Preliminary tests showed that a 20m resolution is a reasonable compromise between conserving all LCTs and reducing the computing time of the approach. Map nomenclature </w:t>
      </w:r>
      <w:r>
        <w:rPr>
          <w:rFonts w:cstheme="minorHAnsi"/>
          <w:lang w:val="en-GB"/>
        </w:rPr>
        <w:t>was</w:t>
      </w:r>
      <w:r w:rsidRPr="00941F74">
        <w:rPr>
          <w:rFonts w:cstheme="minorHAnsi"/>
          <w:lang w:val="en-GB"/>
        </w:rPr>
        <w:t xml:space="preserve"> simplified by removing non-pollen producing areas (mineral surfaces, roads, buildings and water surfaces), and their extent set on the contour of the 1km RSAPs of the sedimentary sites delimiting the study area. Peatbog areas (PB, </w:t>
      </w:r>
      <w:r w:rsidRPr="00941F74">
        <w:rPr>
          <w:rFonts w:cstheme="minorHAnsi"/>
          <w:color w:val="FF0000"/>
          <w:lang w:val="en-GB"/>
        </w:rPr>
        <w:t>Fig.2</w:t>
      </w:r>
      <w:r w:rsidRPr="00941F74">
        <w:rPr>
          <w:rFonts w:cstheme="minorHAnsi"/>
          <w:lang w:val="en-GB"/>
        </w:rPr>
        <w:t xml:space="preserve">) are assumed to be constant, </w:t>
      </w:r>
      <w:r>
        <w:rPr>
          <w:rFonts w:cstheme="minorHAnsi"/>
          <w:lang w:val="en-GB"/>
        </w:rPr>
        <w:t xml:space="preserve">and were </w:t>
      </w:r>
      <w:r w:rsidRPr="00941F74">
        <w:rPr>
          <w:rFonts w:cstheme="minorHAnsi"/>
          <w:lang w:val="en-GB"/>
        </w:rPr>
        <w:t xml:space="preserve">therefore excluded from the analyses. </w:t>
      </w:r>
    </w:p>
    <w:p w14:paraId="04116037" w14:textId="77777777" w:rsidR="00163919" w:rsidRDefault="00163919">
      <w:pPr>
        <w:autoSpaceDE w:val="0"/>
        <w:autoSpaceDN w:val="0"/>
        <w:adjustRightInd w:val="0"/>
        <w:spacing w:after="0" w:line="480" w:lineRule="auto"/>
        <w:rPr>
          <w:rFonts w:cstheme="minorHAnsi"/>
          <w:lang w:val="en-GB"/>
        </w:rPr>
      </w:pPr>
    </w:p>
    <w:p w14:paraId="3BB02B7A" w14:textId="31B7993C" w:rsidR="00EF09AF" w:rsidRDefault="00EF1F50">
      <w:pPr>
        <w:suppressLineNumbers/>
        <w:spacing w:line="480" w:lineRule="auto"/>
        <w:rPr>
          <w:rFonts w:cstheme="minorHAnsi"/>
          <w:color w:val="FF0000"/>
          <w:lang w:val="en-US"/>
        </w:rPr>
      </w:pPr>
      <w:r>
        <w:rPr>
          <w:rFonts w:cstheme="minorHAnsi"/>
          <w:color w:val="FF0000"/>
          <w:lang w:val="en-US"/>
        </w:rPr>
        <w:pict w14:anchorId="724D29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pt;height:187.8pt">
            <v:imagedata r:id="rId11" o:title="Fig2_CartesOSobs20081993"/>
          </v:shape>
        </w:pict>
      </w:r>
    </w:p>
    <w:p w14:paraId="7CEFB475" w14:textId="73FFE528" w:rsidR="00EF09AF" w:rsidRPr="00941F74" w:rsidRDefault="00EF09AF">
      <w:pPr>
        <w:suppressLineNumbers/>
        <w:spacing w:line="480" w:lineRule="auto"/>
        <w:rPr>
          <w:rFonts w:cstheme="minorHAnsi"/>
          <w:lang w:val="en-GB"/>
        </w:rPr>
      </w:pPr>
      <w:r w:rsidRPr="00941F74">
        <w:rPr>
          <w:rFonts w:cstheme="minorHAnsi"/>
          <w:b/>
          <w:lang w:val="en-GB"/>
        </w:rPr>
        <w:t>Figure 2:</w:t>
      </w:r>
      <w:r w:rsidRPr="00941F74">
        <w:rPr>
          <w:rFonts w:cstheme="minorHAnsi"/>
          <w:lang w:val="en-GB"/>
        </w:rPr>
        <w:t xml:space="preserve"> Land-cover maps used for </w:t>
      </w:r>
      <w:r w:rsidR="0050222B">
        <w:rPr>
          <w:rFonts w:cstheme="minorHAnsi"/>
          <w:lang w:val="en-GB"/>
        </w:rPr>
        <w:t>backward</w:t>
      </w:r>
      <w:r w:rsidRPr="00941F74">
        <w:rPr>
          <w:rFonts w:cstheme="minorHAnsi"/>
          <w:lang w:val="en-GB"/>
        </w:rPr>
        <w:t xml:space="preserve"> spatiotemporal autocorrelation of taxa distributions (2008) and for models learning (1993). Adapted from Houet et al., (2012). White areas: non-vegetated areas (water, mineral). PF: Pine Forest; BF: Broadleaved Forest; MF: Mixed forest; CH: Calluna heathland; MH: Mixed Heathland; RH: Rhododendron Heathland ; FG: Festuca Grassland; OG: Other Grasslands; PB: Peatbogs.</w:t>
      </w:r>
    </w:p>
    <w:p w14:paraId="1EA9F3E8" w14:textId="77777777" w:rsidR="00EF09AF" w:rsidRDefault="00EF09AF">
      <w:pPr>
        <w:suppressLineNumbers/>
        <w:autoSpaceDE w:val="0"/>
        <w:autoSpaceDN w:val="0"/>
        <w:adjustRightInd w:val="0"/>
        <w:spacing w:after="0" w:line="480" w:lineRule="auto"/>
        <w:rPr>
          <w:rFonts w:cstheme="minorHAnsi"/>
          <w:lang w:val="en-GB"/>
        </w:rPr>
      </w:pPr>
    </w:p>
    <w:p w14:paraId="7279D220" w14:textId="3977435B" w:rsidR="00EF09AF" w:rsidRPr="00941F74" w:rsidRDefault="00EF1F50">
      <w:pPr>
        <w:suppressLineNumbers/>
        <w:autoSpaceDE w:val="0"/>
        <w:autoSpaceDN w:val="0"/>
        <w:adjustRightInd w:val="0"/>
        <w:spacing w:after="0" w:line="480" w:lineRule="auto"/>
        <w:rPr>
          <w:rFonts w:cstheme="minorHAnsi"/>
          <w:lang w:val="en-GB"/>
        </w:rPr>
      </w:pPr>
      <w:r w:rsidRPr="00EF1F50">
        <w:lastRenderedPageBreak/>
        <w:drawing>
          <wp:inline distT="0" distB="0" distL="0" distR="0" wp14:anchorId="716CBE75" wp14:editId="18438F22">
            <wp:extent cx="5768340" cy="3002428"/>
            <wp:effectExtent l="0" t="0" r="3810" b="762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8340" cy="3002428"/>
                    </a:xfrm>
                    <a:prstGeom prst="rect">
                      <a:avLst/>
                    </a:prstGeom>
                    <a:noFill/>
                    <a:ln>
                      <a:noFill/>
                    </a:ln>
                  </pic:spPr>
                </pic:pic>
              </a:graphicData>
            </a:graphic>
          </wp:inline>
        </w:drawing>
      </w:r>
    </w:p>
    <w:p w14:paraId="5A048FEC" w14:textId="77777777" w:rsidR="00EF09AF" w:rsidRPr="00941F74" w:rsidRDefault="00EF09AF">
      <w:pPr>
        <w:suppressLineNumbers/>
        <w:spacing w:line="480" w:lineRule="auto"/>
        <w:rPr>
          <w:rFonts w:cstheme="minorHAnsi"/>
          <w:lang w:val="en-GB"/>
        </w:rPr>
      </w:pPr>
      <w:r w:rsidRPr="00941F74">
        <w:rPr>
          <w:rFonts w:cstheme="minorHAnsi"/>
          <w:b/>
          <w:lang w:val="en-GB"/>
        </w:rPr>
        <w:t>Table 3:</w:t>
      </w:r>
      <w:r w:rsidRPr="00941F74">
        <w:rPr>
          <w:rFonts w:cstheme="minorHAnsi"/>
          <w:lang w:val="en-GB"/>
        </w:rPr>
        <w:t xml:space="preserve"> Land-cover type botanical composition based on the 18 LOVE taxa (from botanical surveys </w:t>
      </w:r>
      <w:r>
        <w:rPr>
          <w:rFonts w:cstheme="minorHAnsi"/>
          <w:lang w:val="en-GB"/>
        </w:rPr>
        <w:t>by</w:t>
      </w:r>
      <w:r w:rsidRPr="00941F74">
        <w:rPr>
          <w:rFonts w:cstheme="minorHAnsi"/>
          <w:lang w:val="en-GB"/>
        </w:rPr>
        <w:t xml:space="preserve"> Mazier et al., 2022)</w:t>
      </w:r>
    </w:p>
    <w:p w14:paraId="7CE76E5A" w14:textId="4E3AEB9E" w:rsidR="004B7A95" w:rsidRPr="00941F74" w:rsidRDefault="00C312CE">
      <w:pPr>
        <w:autoSpaceDE w:val="0"/>
        <w:autoSpaceDN w:val="0"/>
        <w:adjustRightInd w:val="0"/>
        <w:spacing w:after="0" w:line="480" w:lineRule="auto"/>
        <w:rPr>
          <w:rFonts w:cstheme="minorHAnsi"/>
          <w:lang w:val="en-GB"/>
        </w:rPr>
      </w:pPr>
      <w:r w:rsidRPr="00941F74">
        <w:rPr>
          <w:rFonts w:cstheme="minorHAnsi"/>
          <w:lang w:val="en-GB"/>
        </w:rPr>
        <w:t xml:space="preserve">Eight </w:t>
      </w:r>
      <w:r w:rsidR="0011536D" w:rsidRPr="00941F74">
        <w:rPr>
          <w:rFonts w:cstheme="minorHAnsi"/>
          <w:lang w:val="en-GB"/>
        </w:rPr>
        <w:t>LCTs</w:t>
      </w:r>
      <w:r w:rsidRPr="00941F74">
        <w:rPr>
          <w:rFonts w:cstheme="minorHAnsi"/>
          <w:lang w:val="en-GB"/>
        </w:rPr>
        <w:t xml:space="preserve"> </w:t>
      </w:r>
      <w:r w:rsidR="0011536D" w:rsidRPr="00941F74">
        <w:rPr>
          <w:rFonts w:cstheme="minorHAnsi"/>
          <w:lang w:val="en-GB"/>
        </w:rPr>
        <w:t>were</w:t>
      </w:r>
      <w:r w:rsidR="00932DD5" w:rsidRPr="00941F74">
        <w:rPr>
          <w:rFonts w:cstheme="minorHAnsi"/>
          <w:lang w:val="en-GB"/>
        </w:rPr>
        <w:t xml:space="preserve"> </w:t>
      </w:r>
      <w:r w:rsidR="0011536D" w:rsidRPr="00941F74">
        <w:rPr>
          <w:rFonts w:cstheme="minorHAnsi"/>
          <w:lang w:val="en-GB"/>
        </w:rPr>
        <w:t>used for modelling</w:t>
      </w:r>
      <w:r w:rsidRPr="00941F74">
        <w:rPr>
          <w:rFonts w:cstheme="minorHAnsi"/>
          <w:lang w:val="en-GB"/>
        </w:rPr>
        <w:t xml:space="preserve"> including three tree-cover types (Pine Forest, PF; Broadleaved forest, BF; Mixed forest, MF), three heathland types (</w:t>
      </w:r>
      <w:r w:rsidRPr="00941F74">
        <w:rPr>
          <w:rFonts w:cstheme="minorHAnsi"/>
          <w:i/>
          <w:lang w:val="en-GB"/>
        </w:rPr>
        <w:t>Rhododendron</w:t>
      </w:r>
      <w:r w:rsidRPr="00941F74">
        <w:rPr>
          <w:rFonts w:cstheme="minorHAnsi"/>
          <w:lang w:val="en-GB"/>
        </w:rPr>
        <w:t xml:space="preserve"> heathland, RH; </w:t>
      </w:r>
      <w:r w:rsidRPr="00941F74">
        <w:rPr>
          <w:rFonts w:cstheme="minorHAnsi"/>
          <w:i/>
          <w:lang w:val="en-GB"/>
        </w:rPr>
        <w:t>Calluna</w:t>
      </w:r>
      <w:r w:rsidRPr="00941F74">
        <w:rPr>
          <w:rFonts w:cstheme="minorHAnsi"/>
          <w:lang w:val="en-GB"/>
        </w:rPr>
        <w:t xml:space="preserve"> heathland, CH; Mixed Heathland, MH), and two grassland types (</w:t>
      </w:r>
      <w:r w:rsidRPr="00941F74">
        <w:rPr>
          <w:rFonts w:cstheme="minorHAnsi"/>
          <w:i/>
          <w:lang w:val="en-GB"/>
        </w:rPr>
        <w:t>Festuca</w:t>
      </w:r>
      <w:r w:rsidRPr="00941F74">
        <w:rPr>
          <w:rFonts w:cstheme="minorHAnsi"/>
          <w:lang w:val="en-GB"/>
        </w:rPr>
        <w:t xml:space="preserve"> grassland, FG; Other grasslands, OG). The proportions of each </w:t>
      </w:r>
      <w:r w:rsidR="0011536D" w:rsidRPr="00941F74">
        <w:rPr>
          <w:rFonts w:cstheme="minorHAnsi"/>
          <w:lang w:val="en-GB"/>
        </w:rPr>
        <w:t>LCT</w:t>
      </w:r>
      <w:r w:rsidRPr="00941F74">
        <w:rPr>
          <w:rFonts w:cstheme="minorHAnsi"/>
          <w:lang w:val="en-GB"/>
        </w:rPr>
        <w:t xml:space="preserve"> </w:t>
      </w:r>
      <w:r w:rsidR="00D649D2" w:rsidRPr="00941F74">
        <w:rPr>
          <w:rFonts w:cstheme="minorHAnsi"/>
          <w:lang w:val="en-GB"/>
        </w:rPr>
        <w:t xml:space="preserve">vary </w:t>
      </w:r>
      <w:r w:rsidR="002E24E5" w:rsidRPr="00941F74">
        <w:rPr>
          <w:rFonts w:cstheme="minorHAnsi"/>
          <w:lang w:val="en-GB"/>
        </w:rPr>
        <w:t xml:space="preserve">slightly </w:t>
      </w:r>
      <w:r w:rsidRPr="00941F74">
        <w:rPr>
          <w:rFonts w:cstheme="minorHAnsi"/>
          <w:lang w:val="en-GB"/>
        </w:rPr>
        <w:t xml:space="preserve">between 1993 and 2008. RH (27.0-28.2% of the vegetated surfaces of the study area in 1993-2008), MH (15.7-15.6%) and CH (24.8-25.2%) are distributed respectively over the southern, central and northern parts of the study area, forming the main matrix of vegetation in which other land-cover types are immersed. </w:t>
      </w:r>
      <w:r w:rsidR="00D649D2" w:rsidRPr="00941F74">
        <w:rPr>
          <w:rFonts w:cstheme="minorHAnsi"/>
          <w:lang w:val="en-GB"/>
        </w:rPr>
        <w:t xml:space="preserve">Types </w:t>
      </w:r>
      <w:r w:rsidRPr="00941F74">
        <w:rPr>
          <w:rFonts w:cstheme="minorHAnsi"/>
          <w:lang w:val="en-GB"/>
        </w:rPr>
        <w:t xml:space="preserve">FG (4.1-3.5%) and OG (13.0-11.3%) are concentrated mainly on the slopes to the western part of the study area. PF (3.3-4.2%) </w:t>
      </w:r>
      <w:r w:rsidR="002E24E5">
        <w:rPr>
          <w:rFonts w:cstheme="minorHAnsi"/>
          <w:lang w:val="en-GB"/>
        </w:rPr>
        <w:t>forms</w:t>
      </w:r>
      <w:r w:rsidR="002E24E5" w:rsidRPr="00941F74">
        <w:rPr>
          <w:rFonts w:cstheme="minorHAnsi"/>
          <w:lang w:val="en-GB"/>
        </w:rPr>
        <w:t xml:space="preserve"> </w:t>
      </w:r>
      <w:r w:rsidRPr="00941F74">
        <w:rPr>
          <w:rFonts w:cstheme="minorHAnsi"/>
          <w:lang w:val="en-GB"/>
        </w:rPr>
        <w:t xml:space="preserve">small scattered stands on the steep northern slopes separating </w:t>
      </w:r>
      <w:r w:rsidR="0011536D" w:rsidRPr="00941F74">
        <w:rPr>
          <w:rFonts w:cstheme="minorHAnsi"/>
          <w:lang w:val="en-GB"/>
        </w:rPr>
        <w:t xml:space="preserve">SIG </w:t>
      </w:r>
      <w:r w:rsidRPr="00941F74">
        <w:rPr>
          <w:rFonts w:cstheme="minorHAnsi"/>
          <w:lang w:val="en-GB"/>
        </w:rPr>
        <w:t xml:space="preserve">from the other sites. </w:t>
      </w:r>
      <w:r w:rsidR="00D649D2" w:rsidRPr="00941F74">
        <w:rPr>
          <w:rFonts w:cstheme="minorHAnsi"/>
          <w:lang w:val="en-GB"/>
        </w:rPr>
        <w:t xml:space="preserve">The type </w:t>
      </w:r>
      <w:r w:rsidRPr="00941F74">
        <w:rPr>
          <w:rFonts w:cstheme="minorHAnsi"/>
          <w:lang w:val="en-GB"/>
        </w:rPr>
        <w:t xml:space="preserve">BF (9.5%) is essentially characterized by a homogeneous unit northwest of </w:t>
      </w:r>
      <w:r w:rsidR="0011536D" w:rsidRPr="00941F74">
        <w:rPr>
          <w:rFonts w:cstheme="minorHAnsi"/>
          <w:lang w:val="en-GB"/>
        </w:rPr>
        <w:t>LEG</w:t>
      </w:r>
      <w:r w:rsidRPr="00941F74">
        <w:rPr>
          <w:rFonts w:cstheme="minorHAnsi"/>
          <w:lang w:val="en-GB"/>
        </w:rPr>
        <w:t xml:space="preserve">, in the slope leading to the adjacent valley, while MF (0.30-0.34%) forms </w:t>
      </w:r>
      <w:r w:rsidR="006330DE">
        <w:rPr>
          <w:lang w:val="en-US"/>
        </w:rPr>
        <w:t>a few small pa</w:t>
      </w:r>
      <w:r w:rsidR="006330DE" w:rsidRPr="00921508">
        <w:rPr>
          <w:lang w:val="en-US"/>
        </w:rPr>
        <w:t>tches</w:t>
      </w:r>
      <w:r w:rsidR="006330DE" w:rsidRPr="00941F74" w:rsidDel="006330DE">
        <w:rPr>
          <w:rFonts w:cstheme="minorHAnsi"/>
          <w:lang w:val="en-GB"/>
        </w:rPr>
        <w:t xml:space="preserve"> </w:t>
      </w:r>
      <w:r w:rsidRPr="00941F74">
        <w:rPr>
          <w:rFonts w:cstheme="minorHAnsi"/>
          <w:lang w:val="en-GB"/>
        </w:rPr>
        <w:t>in the north-north east of the study area.</w:t>
      </w:r>
    </w:p>
    <w:p w14:paraId="1CAEE72D" w14:textId="0F4FC679" w:rsidR="004B7A95" w:rsidRPr="00941F74" w:rsidRDefault="00C312CE">
      <w:pPr>
        <w:autoSpaceDE w:val="0"/>
        <w:autoSpaceDN w:val="0"/>
        <w:adjustRightInd w:val="0"/>
        <w:spacing w:after="0" w:line="480" w:lineRule="auto"/>
        <w:rPr>
          <w:rFonts w:cstheme="minorHAnsi"/>
          <w:lang w:val="en-GB"/>
        </w:rPr>
      </w:pPr>
      <w:r w:rsidRPr="00941F74">
        <w:rPr>
          <w:rFonts w:cstheme="minorHAnsi"/>
          <w:lang w:val="en-GB"/>
        </w:rPr>
        <w:t>The vegetation composition of these land-cover types is based on botanical surveys</w:t>
      </w:r>
      <w:r w:rsidR="001D03E8" w:rsidRPr="00941F74">
        <w:rPr>
          <w:rFonts w:cstheme="minorHAnsi"/>
          <w:lang w:val="en-GB"/>
        </w:rPr>
        <w:t xml:space="preserve"> </w:t>
      </w:r>
      <w:r w:rsidR="001D03E8" w:rsidRPr="00941F74">
        <w:rPr>
          <w:rFonts w:cstheme="minorHAnsi"/>
          <w:lang w:val="en-GB"/>
        </w:rPr>
        <w:fldChar w:fldCharType="begin"/>
      </w:r>
      <w:r w:rsidR="003B1EC2">
        <w:rPr>
          <w:rFonts w:cstheme="minorHAnsi"/>
          <w:lang w:val="en-GB"/>
        </w:rPr>
        <w:instrText xml:space="preserve"> ADDIN ZOTERO_ITEM CSL_CITATION {"citationID":"wKzo1GAH","properties":{"formattedCitation":"(Mazier et al., 2022)","plainCitation":"(Mazier et al., 2022)","noteIndex":0},"citationItems":[{"id":3238,"uris":["http://zotero.org/users/10290022/items/5FFE5JSI"],"itemData":{"id":3238,"type":"webpage","container-title":"GBIF.org","genre":"Sampling event dataset","title":"Vegetation surveys in a mountainous area (Pyrenees, France)","URL":"https://doi.org/10.15468/4q47d3","author":[{"family":"Mazier","given":"Florence"},{"family":"Plancher","given":"Clara"},{"family":"Haunold","given":"Sébastien"},{"family":"Bonnet","given":"Colline"},{"family":"Belly","given":"Hugo"},{"family":"Houet","given":"Thomas"}],"issued":{"date-parts":[["2022"]]}}}],"schema":"https://github.com/citation-style-language/schema/raw/master/csl-citation.json"} </w:instrText>
      </w:r>
      <w:r w:rsidR="001D03E8" w:rsidRPr="00941F74">
        <w:rPr>
          <w:rFonts w:cstheme="minorHAnsi"/>
          <w:lang w:val="en-GB"/>
        </w:rPr>
        <w:fldChar w:fldCharType="separate"/>
      </w:r>
      <w:r w:rsidR="003B1EC2" w:rsidRPr="003B1EC2">
        <w:rPr>
          <w:rFonts w:ascii="Calibri" w:hAnsi="Calibri" w:cs="Calibri"/>
          <w:lang w:val="en-US"/>
        </w:rPr>
        <w:t>(Mazier et al., 2022)</w:t>
      </w:r>
      <w:r w:rsidR="001D03E8" w:rsidRPr="00941F74">
        <w:rPr>
          <w:rFonts w:cstheme="minorHAnsi"/>
          <w:lang w:val="en-GB"/>
        </w:rPr>
        <w:fldChar w:fldCharType="end"/>
      </w:r>
      <w:r w:rsidRPr="00941F74">
        <w:rPr>
          <w:rFonts w:cstheme="minorHAnsi"/>
          <w:lang w:val="en-GB"/>
        </w:rPr>
        <w:t xml:space="preserve"> converted into proportions of the 18 dominant taxa for which Plancher et al. (</w:t>
      </w:r>
      <w:r w:rsidR="00ED1C3C" w:rsidRPr="00941F74">
        <w:rPr>
          <w:rFonts w:cstheme="minorHAnsi"/>
          <w:lang w:val="en-GB"/>
        </w:rPr>
        <w:t>2022</w:t>
      </w:r>
      <w:r w:rsidRPr="00941F74">
        <w:rPr>
          <w:rFonts w:cstheme="minorHAnsi"/>
          <w:lang w:val="en-GB"/>
        </w:rPr>
        <w:t xml:space="preserve">) </w:t>
      </w:r>
      <w:r w:rsidR="00D649D2" w:rsidRPr="00941F74">
        <w:rPr>
          <w:rFonts w:cstheme="minorHAnsi"/>
          <w:lang w:val="en-GB"/>
        </w:rPr>
        <w:t xml:space="preserve">computed </w:t>
      </w:r>
      <w:r w:rsidRPr="00941F74">
        <w:rPr>
          <w:rFonts w:cstheme="minorHAnsi"/>
          <w:lang w:val="en-GB"/>
        </w:rPr>
        <w:lastRenderedPageBreak/>
        <w:t xml:space="preserve">past </w:t>
      </w:r>
      <w:r w:rsidR="00E01F45" w:rsidRPr="00941F74">
        <w:rPr>
          <w:rFonts w:cstheme="minorHAnsi"/>
          <w:lang w:val="en-GB"/>
        </w:rPr>
        <w:t xml:space="preserve">LOVE </w:t>
      </w:r>
      <w:r w:rsidRPr="00941F74">
        <w:rPr>
          <w:rFonts w:cstheme="minorHAnsi"/>
          <w:lang w:val="en-GB"/>
        </w:rPr>
        <w:t xml:space="preserve">estimates, then standardised to sum </w:t>
      </w:r>
      <w:r w:rsidR="00D649D2" w:rsidRPr="00941F74">
        <w:rPr>
          <w:rFonts w:cstheme="minorHAnsi"/>
          <w:lang w:val="en-GB"/>
        </w:rPr>
        <w:t xml:space="preserve">up </w:t>
      </w:r>
      <w:r w:rsidRPr="00941F74">
        <w:rPr>
          <w:rFonts w:cstheme="minorHAnsi"/>
          <w:lang w:val="en-GB"/>
        </w:rPr>
        <w:t>to 100% (</w:t>
      </w:r>
      <w:r w:rsidR="00950157" w:rsidRPr="00941F74">
        <w:rPr>
          <w:rFonts w:cstheme="minorHAnsi"/>
          <w:color w:val="4BACC6" w:themeColor="accent5"/>
          <w:lang w:val="en-GB"/>
        </w:rPr>
        <w:t>Table 3</w:t>
      </w:r>
      <w:r w:rsidRPr="00941F74">
        <w:rPr>
          <w:rFonts w:cstheme="minorHAnsi"/>
          <w:lang w:val="en-GB"/>
        </w:rPr>
        <w:t xml:space="preserve">). </w:t>
      </w:r>
      <w:r w:rsidR="0011536D" w:rsidRPr="00941F74">
        <w:rPr>
          <w:rFonts w:cstheme="minorHAnsi"/>
          <w:lang w:val="en-GB"/>
        </w:rPr>
        <w:t>LCTs</w:t>
      </w:r>
      <w:r w:rsidRPr="00941F74">
        <w:rPr>
          <w:rFonts w:cstheme="minorHAnsi"/>
          <w:lang w:val="en-GB"/>
        </w:rPr>
        <w:t xml:space="preserve"> are characterised by seven (FG and OG) to 15 (BF) of these 18 taxa. Grasslands and heathlands are </w:t>
      </w:r>
      <w:r w:rsidR="00E01F45" w:rsidRPr="00941F74">
        <w:rPr>
          <w:rFonts w:cstheme="minorHAnsi"/>
          <w:lang w:val="en-GB"/>
        </w:rPr>
        <w:t xml:space="preserve">mainly </w:t>
      </w:r>
      <w:r w:rsidRPr="00941F74">
        <w:rPr>
          <w:rFonts w:cstheme="minorHAnsi"/>
          <w:lang w:val="en-GB"/>
        </w:rPr>
        <w:t xml:space="preserve">composed of ubiquitous taxa, present in at least six </w:t>
      </w:r>
      <w:r w:rsidR="0011536D" w:rsidRPr="00941F74">
        <w:rPr>
          <w:rFonts w:cstheme="minorHAnsi"/>
          <w:lang w:val="en-GB"/>
        </w:rPr>
        <w:t>LCTs</w:t>
      </w:r>
      <w:r w:rsidRPr="00941F74">
        <w:rPr>
          <w:rFonts w:cstheme="minorHAnsi"/>
          <w:lang w:val="en-GB"/>
        </w:rPr>
        <w:t xml:space="preserve">. PF and heathlands are the only types containing </w:t>
      </w:r>
      <w:r w:rsidRPr="00941F74">
        <w:rPr>
          <w:rFonts w:cstheme="minorHAnsi"/>
          <w:i/>
          <w:lang w:val="en-GB"/>
        </w:rPr>
        <w:t>Pinus</w:t>
      </w:r>
      <w:r w:rsidRPr="00941F74">
        <w:rPr>
          <w:rFonts w:cstheme="minorHAnsi"/>
          <w:lang w:val="en-GB"/>
        </w:rPr>
        <w:t xml:space="preserve">, </w:t>
      </w:r>
      <w:r w:rsidR="00921508">
        <w:rPr>
          <w:rFonts w:cstheme="minorHAnsi"/>
          <w:lang w:val="en-GB"/>
        </w:rPr>
        <w:t>which represents</w:t>
      </w:r>
      <w:r w:rsidR="00921508" w:rsidRPr="00941F74">
        <w:rPr>
          <w:rFonts w:cstheme="minorHAnsi"/>
          <w:lang w:val="en-GB"/>
        </w:rPr>
        <w:t xml:space="preserve"> </w:t>
      </w:r>
      <w:r w:rsidRPr="00941F74">
        <w:rPr>
          <w:rFonts w:cstheme="minorHAnsi"/>
          <w:lang w:val="en-GB"/>
        </w:rPr>
        <w:t>less than 2% in heathlands against 32.4% in PF. BF and MF are the only types containing beech (</w:t>
      </w:r>
      <w:r w:rsidRPr="00941F74">
        <w:rPr>
          <w:rFonts w:cstheme="minorHAnsi"/>
          <w:i/>
          <w:lang w:val="en-GB"/>
        </w:rPr>
        <w:t>Fagus</w:t>
      </w:r>
      <w:r w:rsidRPr="00941F74">
        <w:rPr>
          <w:rFonts w:cstheme="minorHAnsi"/>
          <w:lang w:val="en-GB"/>
        </w:rPr>
        <w:t>), representing 49.5 and 55% of the vegetation cover</w:t>
      </w:r>
      <w:r w:rsidR="002E24E5">
        <w:rPr>
          <w:rFonts w:cstheme="minorHAnsi"/>
          <w:lang w:val="en-GB"/>
        </w:rPr>
        <w:t xml:space="preserve"> respectively</w:t>
      </w:r>
      <w:r w:rsidRPr="00941F74">
        <w:rPr>
          <w:rFonts w:cstheme="minorHAnsi"/>
          <w:lang w:val="en-GB"/>
        </w:rPr>
        <w:t>, while BF is composed of more than 20% of taxa present exclusively in this type (</w:t>
      </w:r>
      <w:r w:rsidRPr="00941F74">
        <w:rPr>
          <w:rFonts w:cstheme="minorHAnsi"/>
          <w:i/>
          <w:lang w:val="en-GB"/>
        </w:rPr>
        <w:t>Corylus</w:t>
      </w:r>
      <w:r w:rsidRPr="00941F74">
        <w:rPr>
          <w:rFonts w:cstheme="minorHAnsi"/>
          <w:lang w:val="en-GB"/>
        </w:rPr>
        <w:t xml:space="preserve">, </w:t>
      </w:r>
      <w:r w:rsidRPr="00941F74">
        <w:rPr>
          <w:rFonts w:cstheme="minorHAnsi"/>
          <w:i/>
          <w:lang w:val="en-GB"/>
        </w:rPr>
        <w:t>Fraxinus</w:t>
      </w:r>
      <w:r w:rsidRPr="00941F74">
        <w:rPr>
          <w:rFonts w:cstheme="minorHAnsi"/>
          <w:lang w:val="en-GB"/>
        </w:rPr>
        <w:t xml:space="preserve">, </w:t>
      </w:r>
      <w:r w:rsidRPr="00941F74">
        <w:rPr>
          <w:rFonts w:cstheme="minorHAnsi"/>
          <w:i/>
          <w:lang w:val="en-GB"/>
        </w:rPr>
        <w:t>Picea</w:t>
      </w:r>
      <w:r w:rsidRPr="00941F74">
        <w:rPr>
          <w:rFonts w:cstheme="minorHAnsi"/>
          <w:lang w:val="en-GB"/>
        </w:rPr>
        <w:t xml:space="preserve">, </w:t>
      </w:r>
      <w:r w:rsidRPr="00941F74">
        <w:rPr>
          <w:rFonts w:cstheme="minorHAnsi"/>
          <w:i/>
          <w:lang w:val="en-GB"/>
        </w:rPr>
        <w:t>Quercus</w:t>
      </w:r>
      <w:r w:rsidRPr="00941F74">
        <w:rPr>
          <w:rFonts w:cstheme="minorHAnsi"/>
          <w:lang w:val="en-GB"/>
        </w:rPr>
        <w:t xml:space="preserve"> and </w:t>
      </w:r>
      <w:r w:rsidRPr="00941F74">
        <w:rPr>
          <w:rFonts w:cstheme="minorHAnsi"/>
          <w:i/>
          <w:lang w:val="en-GB"/>
        </w:rPr>
        <w:t>Tilia</w:t>
      </w:r>
      <w:r w:rsidRPr="00941F74">
        <w:rPr>
          <w:rFonts w:cstheme="minorHAnsi"/>
          <w:lang w:val="en-GB"/>
        </w:rPr>
        <w:t xml:space="preserve">). Botanical compositions of the </w:t>
      </w:r>
      <w:r w:rsidR="0011536D" w:rsidRPr="00941F74">
        <w:rPr>
          <w:rFonts w:cstheme="minorHAnsi"/>
          <w:lang w:val="en-GB"/>
        </w:rPr>
        <w:t>LCTs</w:t>
      </w:r>
      <w:r w:rsidRPr="00941F74">
        <w:rPr>
          <w:rFonts w:cstheme="minorHAnsi"/>
          <w:lang w:val="en-GB"/>
        </w:rPr>
        <w:t xml:space="preserve"> are assumed to be constant over time.</w:t>
      </w:r>
    </w:p>
    <w:p w14:paraId="37CE5484" w14:textId="24015ACA" w:rsidR="00C312CE" w:rsidRPr="00941F74" w:rsidRDefault="00C312CE">
      <w:pPr>
        <w:pStyle w:val="Titre1"/>
        <w:spacing w:line="480" w:lineRule="auto"/>
        <w:rPr>
          <w:rFonts w:asciiTheme="minorHAnsi" w:hAnsiTheme="minorHAnsi" w:cstheme="minorHAnsi"/>
          <w:sz w:val="22"/>
          <w:szCs w:val="22"/>
          <w:lang w:val="en-US"/>
        </w:rPr>
      </w:pPr>
      <w:r w:rsidRPr="00941F74">
        <w:rPr>
          <w:rFonts w:asciiTheme="minorHAnsi" w:hAnsiTheme="minorHAnsi" w:cstheme="minorHAnsi"/>
          <w:sz w:val="22"/>
          <w:szCs w:val="22"/>
          <w:lang w:val="en-US"/>
        </w:rPr>
        <w:t>Methods</w:t>
      </w:r>
    </w:p>
    <w:p w14:paraId="5E0C3B77" w14:textId="684C99B4" w:rsidR="00FA72C9" w:rsidRDefault="00FA72C9">
      <w:pPr>
        <w:spacing w:line="480" w:lineRule="auto"/>
        <w:rPr>
          <w:rFonts w:cstheme="minorHAnsi"/>
          <w:lang w:val="en-US"/>
        </w:rPr>
      </w:pPr>
      <w:r w:rsidRPr="00941F74">
        <w:rPr>
          <w:rFonts w:cstheme="minorHAnsi"/>
          <w:lang w:val="en-US"/>
        </w:rPr>
        <w:t xml:space="preserve">The </w:t>
      </w:r>
      <w:r w:rsidR="00321744" w:rsidRPr="00941F74">
        <w:rPr>
          <w:rFonts w:cstheme="minorHAnsi"/>
          <w:lang w:val="en-US"/>
        </w:rPr>
        <w:t xml:space="preserve">BACKLAND method for backward modelling </w:t>
      </w:r>
      <w:r w:rsidRPr="00941F74">
        <w:rPr>
          <w:rFonts w:cstheme="minorHAnsi"/>
          <w:lang w:val="en-US"/>
        </w:rPr>
        <w:t>land</w:t>
      </w:r>
      <w:r w:rsidR="00321744" w:rsidRPr="00941F74">
        <w:rPr>
          <w:rFonts w:cstheme="minorHAnsi"/>
          <w:lang w:val="en-US"/>
        </w:rPr>
        <w:t>scape</w:t>
      </w:r>
      <w:r w:rsidR="00937848" w:rsidRPr="00941F74">
        <w:rPr>
          <w:rFonts w:cstheme="minorHAnsi"/>
          <w:lang w:val="en-US"/>
        </w:rPr>
        <w:t>s</w:t>
      </w:r>
      <w:r w:rsidRPr="00941F74">
        <w:rPr>
          <w:rFonts w:cstheme="minorHAnsi"/>
          <w:lang w:val="en-US"/>
        </w:rPr>
        <w:t xml:space="preserve"> require</w:t>
      </w:r>
      <w:r w:rsidR="009C7FC3">
        <w:rPr>
          <w:rFonts w:cstheme="minorHAnsi"/>
          <w:lang w:val="en-US"/>
        </w:rPr>
        <w:t>d</w:t>
      </w:r>
      <w:r w:rsidRPr="00941F74">
        <w:rPr>
          <w:rFonts w:cstheme="minorHAnsi"/>
          <w:lang w:val="en-US"/>
        </w:rPr>
        <w:t xml:space="preserve"> (1) a preliminary st</w:t>
      </w:r>
      <w:r w:rsidR="00F34B0C" w:rsidRPr="00941F74">
        <w:rPr>
          <w:rFonts w:cstheme="minorHAnsi"/>
          <w:lang w:val="en-US"/>
        </w:rPr>
        <w:t>age</w:t>
      </w:r>
      <w:r w:rsidRPr="00941F74">
        <w:rPr>
          <w:rFonts w:cstheme="minorHAnsi"/>
          <w:lang w:val="en-US"/>
        </w:rPr>
        <w:t xml:space="preserve"> </w:t>
      </w:r>
      <w:r w:rsidR="00060012" w:rsidRPr="00941F74">
        <w:rPr>
          <w:rFonts w:cstheme="minorHAnsi"/>
          <w:lang w:val="en-US"/>
        </w:rPr>
        <w:t>(</w:t>
      </w:r>
      <w:r w:rsidR="00060012" w:rsidRPr="00941F74">
        <w:rPr>
          <w:rFonts w:cstheme="minorHAnsi"/>
          <w:color w:val="FF0000"/>
          <w:lang w:val="en-US"/>
        </w:rPr>
        <w:t>Fig. 3a</w:t>
      </w:r>
      <w:r w:rsidR="00060012" w:rsidRPr="00941F74">
        <w:rPr>
          <w:rFonts w:cstheme="minorHAnsi"/>
          <w:lang w:val="en-US"/>
        </w:rPr>
        <w:t xml:space="preserve">) </w:t>
      </w:r>
      <w:r w:rsidRPr="00941F74">
        <w:rPr>
          <w:rFonts w:cstheme="minorHAnsi"/>
          <w:lang w:val="en-US"/>
        </w:rPr>
        <w:t>generating two intermediate results: taxon distributions based on the 2008 map (MIDs) and taxon distributions based on the LOVE estimates of TW1995 (</w:t>
      </w:r>
      <w:r w:rsidR="00EF4205" w:rsidRPr="00941F74">
        <w:rPr>
          <w:rFonts w:cstheme="minorHAnsi"/>
          <w:lang w:val="en-US"/>
        </w:rPr>
        <w:t>LI</w:t>
      </w:r>
      <w:r w:rsidRPr="00941F74">
        <w:rPr>
          <w:rFonts w:cstheme="minorHAnsi"/>
          <w:lang w:val="en-US"/>
        </w:rPr>
        <w:t xml:space="preserve">Ds). These distributions </w:t>
      </w:r>
      <w:r w:rsidR="009C7FC3">
        <w:rPr>
          <w:rFonts w:cstheme="minorHAnsi"/>
          <w:lang w:val="en-US"/>
        </w:rPr>
        <w:t>w</w:t>
      </w:r>
      <w:r w:rsidR="009C7FC3" w:rsidRPr="00941F74">
        <w:rPr>
          <w:rFonts w:cstheme="minorHAnsi"/>
          <w:lang w:val="en-US"/>
        </w:rPr>
        <w:t>e</w:t>
      </w:r>
      <w:r w:rsidR="009C7FC3">
        <w:rPr>
          <w:rFonts w:cstheme="minorHAnsi"/>
          <w:lang w:val="en-US"/>
        </w:rPr>
        <w:t>re</w:t>
      </w:r>
      <w:r w:rsidR="009C7FC3" w:rsidRPr="00941F74">
        <w:rPr>
          <w:rFonts w:cstheme="minorHAnsi"/>
          <w:lang w:val="en-US"/>
        </w:rPr>
        <w:t xml:space="preserve"> </w:t>
      </w:r>
      <w:r w:rsidRPr="00941F74">
        <w:rPr>
          <w:rFonts w:cstheme="minorHAnsi"/>
          <w:lang w:val="en-US"/>
        </w:rPr>
        <w:t>used to (2) integrate spatiotemporal autocorrelation into the taxon distribution estimated for TW1995</w:t>
      </w:r>
      <w:r w:rsidR="00EF4205" w:rsidRPr="00941F74">
        <w:rPr>
          <w:rFonts w:cstheme="minorHAnsi"/>
          <w:lang w:val="en-US"/>
        </w:rPr>
        <w:t xml:space="preserve"> (EDs)</w:t>
      </w:r>
      <w:r w:rsidRPr="00941F74">
        <w:rPr>
          <w:rFonts w:cstheme="minorHAnsi"/>
          <w:lang w:val="en-US"/>
        </w:rPr>
        <w:t xml:space="preserve">, constituting the explanatory variables of the TW1995 </w:t>
      </w:r>
      <w:r w:rsidR="00060012" w:rsidRPr="00941F74">
        <w:rPr>
          <w:rFonts w:cstheme="minorHAnsi"/>
          <w:lang w:val="en-US"/>
        </w:rPr>
        <w:t>LCT distribution</w:t>
      </w:r>
      <w:r w:rsidRPr="00941F74">
        <w:rPr>
          <w:rFonts w:cstheme="minorHAnsi"/>
          <w:lang w:val="en-US"/>
        </w:rPr>
        <w:t xml:space="preserve"> with a set of environmental variables (EVs</w:t>
      </w:r>
      <w:r w:rsidR="00060012" w:rsidRPr="00941F74">
        <w:rPr>
          <w:rFonts w:cstheme="minorHAnsi"/>
          <w:lang w:val="en-US"/>
        </w:rPr>
        <w:t xml:space="preserve">, </w:t>
      </w:r>
      <w:r w:rsidR="00060012" w:rsidRPr="00941F74">
        <w:rPr>
          <w:rFonts w:cstheme="minorHAnsi"/>
          <w:color w:val="FF0000"/>
          <w:lang w:val="en-US"/>
        </w:rPr>
        <w:t>Fig. 3b</w:t>
      </w:r>
      <w:r w:rsidRPr="00941F74">
        <w:rPr>
          <w:rFonts w:cstheme="minorHAnsi"/>
          <w:lang w:val="en-US"/>
        </w:rPr>
        <w:t xml:space="preserve">). Finally, (3) multiple linear models </w:t>
      </w:r>
      <w:r w:rsidR="009C7FC3">
        <w:rPr>
          <w:rFonts w:cstheme="minorHAnsi"/>
          <w:lang w:val="en-US"/>
        </w:rPr>
        <w:t>we</w:t>
      </w:r>
      <w:r w:rsidRPr="00941F74">
        <w:rPr>
          <w:rFonts w:cstheme="minorHAnsi"/>
          <w:lang w:val="en-US"/>
        </w:rPr>
        <w:t xml:space="preserve">re used to estimate a statistical link between the </w:t>
      </w:r>
      <w:r w:rsidR="00060012" w:rsidRPr="00941F74">
        <w:rPr>
          <w:rFonts w:cstheme="minorHAnsi"/>
          <w:lang w:val="en-US"/>
        </w:rPr>
        <w:t>LCT</w:t>
      </w:r>
      <w:r w:rsidRPr="00941F74">
        <w:rPr>
          <w:rFonts w:cstheme="minorHAnsi"/>
          <w:lang w:val="en-US"/>
        </w:rPr>
        <w:t xml:space="preserve"> distributions and this set of explanatory variables, ultimately leading to the backward prediction of a land-cover map at TW1995 (</w:t>
      </w:r>
      <w:r w:rsidRPr="00941F74">
        <w:rPr>
          <w:rFonts w:cstheme="minorHAnsi"/>
          <w:color w:val="FF0000"/>
          <w:lang w:val="en-US"/>
        </w:rPr>
        <w:t>Fig.3</w:t>
      </w:r>
      <w:r w:rsidR="00D73C9C" w:rsidRPr="00941F74">
        <w:rPr>
          <w:rFonts w:cstheme="minorHAnsi"/>
          <w:color w:val="FF0000"/>
          <w:lang w:val="en-US"/>
        </w:rPr>
        <w:t>c</w:t>
      </w:r>
      <w:r w:rsidRPr="00941F74">
        <w:rPr>
          <w:rFonts w:cstheme="minorHAnsi"/>
          <w:lang w:val="en-US"/>
        </w:rPr>
        <w:t>).</w:t>
      </w:r>
    </w:p>
    <w:p w14:paraId="7B4BF6FE" w14:textId="7ABCB2CB" w:rsidR="00E929BF" w:rsidRDefault="00EF1F50">
      <w:pPr>
        <w:suppressLineNumbers/>
        <w:spacing w:line="480" w:lineRule="auto"/>
        <w:rPr>
          <w:rFonts w:cstheme="minorHAnsi"/>
          <w:lang w:val="en-US"/>
        </w:rPr>
      </w:pPr>
      <w:r>
        <w:rPr>
          <w:rFonts w:cstheme="minorHAnsi"/>
          <w:lang w:val="en-US"/>
        </w:rPr>
        <w:lastRenderedPageBreak/>
        <w:pict w14:anchorId="6081042E">
          <v:shape id="_x0000_i1026" type="#_x0000_t75" style="width:453pt;height:279pt">
            <v:imagedata r:id="rId13" o:title="Fig3_Flowchart_VArial"/>
          </v:shape>
        </w:pict>
      </w:r>
    </w:p>
    <w:p w14:paraId="4ACC0F26" w14:textId="7A0BD898" w:rsidR="00E929BF" w:rsidRPr="00941F74" w:rsidRDefault="00E929BF">
      <w:pPr>
        <w:suppressLineNumbers/>
        <w:spacing w:line="480" w:lineRule="auto"/>
        <w:rPr>
          <w:rFonts w:cstheme="minorHAnsi"/>
          <w:lang w:val="en-GB"/>
        </w:rPr>
      </w:pPr>
      <w:r w:rsidRPr="00941F74">
        <w:rPr>
          <w:rFonts w:cstheme="minorHAnsi"/>
          <w:b/>
          <w:lang w:val="en-GB"/>
        </w:rPr>
        <w:t>Figure 3</w:t>
      </w:r>
      <w:r w:rsidRPr="00941F74">
        <w:rPr>
          <w:rFonts w:cstheme="minorHAnsi"/>
          <w:lang w:val="en-GB"/>
        </w:rPr>
        <w:t>: Backward landscape (BACKLAND) modelling flowchart. a) Preliminary stage (see section 3.1.); b) Variables used by the BACKLAND approach (see section 3.2.); c) BACKLAND modelling (see section 3.3.). LC</w:t>
      </w:r>
      <w:r w:rsidR="0050222B">
        <w:rPr>
          <w:rFonts w:cstheme="minorHAnsi"/>
          <w:lang w:val="en-GB"/>
        </w:rPr>
        <w:t>T</w:t>
      </w:r>
      <w:r w:rsidRPr="00941F74">
        <w:rPr>
          <w:rFonts w:cstheme="minorHAnsi"/>
          <w:lang w:val="en-GB"/>
        </w:rPr>
        <w:t>: Land-cover</w:t>
      </w:r>
      <w:r w:rsidR="0050222B">
        <w:rPr>
          <w:rFonts w:cstheme="minorHAnsi"/>
          <w:lang w:val="en-GB"/>
        </w:rPr>
        <w:t xml:space="preserve"> type</w:t>
      </w:r>
      <w:r w:rsidRPr="00941F74">
        <w:rPr>
          <w:rFonts w:cstheme="minorHAnsi"/>
          <w:lang w:val="en-GB"/>
        </w:rPr>
        <w:t xml:space="preserve">; Green: explained variables; Blue: explanatory variables; Red: final result; Dotted </w:t>
      </w:r>
      <w:r w:rsidR="009C7FC3">
        <w:rPr>
          <w:rFonts w:cstheme="minorHAnsi"/>
          <w:lang w:val="en-GB"/>
        </w:rPr>
        <w:t>arrow</w:t>
      </w:r>
      <w:r w:rsidRPr="00941F74">
        <w:rPr>
          <w:rFonts w:cstheme="minorHAnsi"/>
          <w:lang w:val="en-GB"/>
        </w:rPr>
        <w:t xml:space="preserve">s: learning and cross-validation steps, repeated for each sub-model; </w:t>
      </w:r>
      <w:r w:rsidR="009C7FC3">
        <w:rPr>
          <w:rFonts w:cstheme="minorHAnsi"/>
          <w:lang w:val="en-GB"/>
        </w:rPr>
        <w:t>Plain arrows</w:t>
      </w:r>
      <w:r w:rsidRPr="00941F74">
        <w:rPr>
          <w:rFonts w:cstheme="minorHAnsi"/>
          <w:lang w:val="en-GB"/>
        </w:rPr>
        <w:t>: step processed once for each LC</w:t>
      </w:r>
      <w:r w:rsidR="00C220CC">
        <w:rPr>
          <w:rFonts w:cstheme="minorHAnsi"/>
          <w:lang w:val="en-GB"/>
        </w:rPr>
        <w:t>T</w:t>
      </w:r>
      <w:r w:rsidRPr="00941F74">
        <w:rPr>
          <w:rFonts w:cstheme="minorHAnsi"/>
          <w:lang w:val="en-GB"/>
        </w:rPr>
        <w:t>.</w:t>
      </w:r>
    </w:p>
    <w:p w14:paraId="1BB0F3CC" w14:textId="47D78819" w:rsidR="00C312CE" w:rsidRPr="00941F74" w:rsidRDefault="00D62525">
      <w:pPr>
        <w:pStyle w:val="Titre2"/>
        <w:spacing w:line="480" w:lineRule="auto"/>
        <w:rPr>
          <w:rFonts w:asciiTheme="minorHAnsi" w:hAnsiTheme="minorHAnsi" w:cstheme="minorHAnsi"/>
          <w:sz w:val="22"/>
          <w:szCs w:val="22"/>
          <w:lang w:val="en-US"/>
        </w:rPr>
      </w:pPr>
      <w:r w:rsidRPr="00941F74">
        <w:rPr>
          <w:rFonts w:asciiTheme="minorHAnsi" w:hAnsiTheme="minorHAnsi" w:cstheme="minorHAnsi"/>
          <w:sz w:val="22"/>
          <w:szCs w:val="22"/>
          <w:lang w:val="en-US"/>
        </w:rPr>
        <w:t xml:space="preserve">3.1. </w:t>
      </w:r>
      <w:r w:rsidR="00042DE6" w:rsidRPr="00941F74">
        <w:rPr>
          <w:rFonts w:asciiTheme="minorHAnsi" w:hAnsiTheme="minorHAnsi" w:cstheme="minorHAnsi"/>
          <w:sz w:val="22"/>
          <w:szCs w:val="22"/>
          <w:lang w:val="en-US"/>
        </w:rPr>
        <w:t xml:space="preserve">Preliminary stage: </w:t>
      </w:r>
      <w:r w:rsidR="004201E7" w:rsidRPr="00941F74">
        <w:rPr>
          <w:rFonts w:asciiTheme="minorHAnsi" w:hAnsiTheme="minorHAnsi" w:cstheme="minorHAnsi"/>
          <w:sz w:val="22"/>
          <w:szCs w:val="22"/>
          <w:lang w:val="en-US"/>
        </w:rPr>
        <w:t xml:space="preserve">map-inferred taxon </w:t>
      </w:r>
      <w:r w:rsidR="00042DE6" w:rsidRPr="00941F74">
        <w:rPr>
          <w:rFonts w:asciiTheme="minorHAnsi" w:hAnsiTheme="minorHAnsi" w:cstheme="minorHAnsi"/>
          <w:sz w:val="22"/>
          <w:szCs w:val="22"/>
          <w:lang w:val="en-US"/>
        </w:rPr>
        <w:t>distribution</w:t>
      </w:r>
      <w:r w:rsidR="004201E7" w:rsidRPr="00941F74">
        <w:rPr>
          <w:rFonts w:asciiTheme="minorHAnsi" w:hAnsiTheme="minorHAnsi" w:cstheme="minorHAnsi"/>
          <w:sz w:val="22"/>
          <w:szCs w:val="22"/>
          <w:lang w:val="en-US"/>
        </w:rPr>
        <w:t>s</w:t>
      </w:r>
      <w:r w:rsidR="00042DE6" w:rsidRPr="00941F74">
        <w:rPr>
          <w:rFonts w:asciiTheme="minorHAnsi" w:hAnsiTheme="minorHAnsi" w:cstheme="minorHAnsi"/>
          <w:sz w:val="22"/>
          <w:szCs w:val="22"/>
          <w:lang w:val="en-US"/>
        </w:rPr>
        <w:t xml:space="preserve"> in 2008 (MIDs) and </w:t>
      </w:r>
      <w:r w:rsidR="004201E7" w:rsidRPr="00941F74">
        <w:rPr>
          <w:rFonts w:asciiTheme="minorHAnsi" w:hAnsiTheme="minorHAnsi" w:cstheme="minorHAnsi"/>
          <w:sz w:val="22"/>
          <w:szCs w:val="22"/>
          <w:lang w:val="en-US"/>
        </w:rPr>
        <w:t xml:space="preserve">LOVE-inferred taxon distributions </w:t>
      </w:r>
      <w:r w:rsidR="00042DE6" w:rsidRPr="00941F74">
        <w:rPr>
          <w:rFonts w:asciiTheme="minorHAnsi" w:hAnsiTheme="minorHAnsi" w:cstheme="minorHAnsi"/>
          <w:sz w:val="22"/>
          <w:szCs w:val="22"/>
          <w:lang w:val="en-US"/>
        </w:rPr>
        <w:t>at TW1995 (LIDs).</w:t>
      </w:r>
    </w:p>
    <w:p w14:paraId="14A01178" w14:textId="37CCB0D0" w:rsidR="00C312CE" w:rsidRPr="00941F74" w:rsidRDefault="00C312CE">
      <w:pPr>
        <w:spacing w:line="480" w:lineRule="auto"/>
        <w:rPr>
          <w:rFonts w:cstheme="minorHAnsi"/>
          <w:lang w:val="en-GB"/>
        </w:rPr>
      </w:pPr>
      <w:r w:rsidRPr="00941F74">
        <w:rPr>
          <w:rFonts w:cstheme="minorHAnsi"/>
          <w:lang w:val="en-GB"/>
        </w:rPr>
        <w:t xml:space="preserve">A general characteristic of ecological systems is that their geographical proximity is correlated with their similarity, i.e. they have a positive spatial autocorrelation </w:t>
      </w:r>
      <w:r w:rsidR="00C11CA1" w:rsidRPr="00941F74">
        <w:rPr>
          <w:rFonts w:cstheme="minorHAnsi"/>
          <w:lang w:val="en-GB"/>
        </w:rPr>
        <w:fldChar w:fldCharType="begin"/>
      </w:r>
      <w:r w:rsidR="003B1EC2">
        <w:rPr>
          <w:rFonts w:cstheme="minorHAnsi"/>
          <w:lang w:val="en-GB"/>
        </w:rPr>
        <w:instrText xml:space="preserve"> ADDIN ZOTERO_ITEM CSL_CITATION {"citationID":"OkkPe7BH","properties":{"formattedCitation":"(Gaucherel et al., 2016b; Legendre and Fortin, 1989; Tobler, 1970)","plainCitation":"(Gaucherel et al., 2016b; Legendre and Fortin, 1989; Tobler, 1970)","noteIndex":0},"citationItems":[{"id":2721,"uris":["http://zotero.org/users/10290022/items/L8YHML95"],"itemData":{"id":2721,"type":"article-journal","abstract":"A meaningful effort for the preservation of endemism would require a deep understanding of its related mechanisms and an accurate estimation of its spatial distribution. Here, we applied methods dedicated to species distribution modelling (SDM) to map an integrated index in India's Western Ghats biodiversity hotspot, the endemic tree richness, and to use it for recommendations of protected areas. We then rigorously compared SDM results with spatially explicit and multiscale comparison tools, among them the cutting-edge correlation map and profile (CMP) technique, to finally draw up an endemic richness map with improved accuracy. The endemic richness showed a sharply increasing southward gradient in the Western Ghats, mainly driven by the seasonality of the temperature and the precipitation's stability. This precise quantification of the tree endemism pattern in peninsular India helped in identifying vulnerable areas in terms of conservation of biodiversity as a whole. The Indian authorities recently used our recommendations to extend protected areas in the southern tip of the Indian peninsula to conserve this endemic richness. We believe that spatial analyses and multiscale comparison tools such as those presented here can help conservationists everywhere to better cope with the difficulties met in identifying zones for protected status.","container-title":"Journal for Nature Conservation","DOI":"10.1016/j.jnc.2016.09.002","ISSN":"16171381","issue":"1","note":"publisher: Elsevier GmbH.","page":"33-41","title":"Spatial analysis of endemism to redefine conservation areas in Western Ghats (India)","URL":"http://dx.doi.org/10.1016/j.jnc.2016.09.002","volume":"34","author":[{"family":"Gaucherel","given":"C."},{"family":"Vezy","given":"R."},{"family":"Gontrand","given":"Florence"},{"family":"Bouchet","given":"Diane"},{"family":"Ramesh","given":"B.R."}],"issued":{"date-parts":[["2016"]]}}},{"id":2194,"uris":["http://zotero.org/users/10290022/items/C2WGSLBX"],"itemData":{"id":2194,"type":"article-journal","container-title":"Vegetatio","DOI":"https://doi.org/10.1007/BF00048036","page":"107-138","title":"Spatial pattern and ecological analysis","volume":"80","author":[{"family":"Legendre","given":"Pierre"},{"family":"Fortin","given":"Marie Josée"}],"issued":{"date-parts":[["1989"]]}}},{"id":3166,"uris":["http://zotero.org/users/10290022/items/2M7U2EHS"],"itemData":{"id":3166,"type":"article-journal","abstract":"In one classification of models [16] the simulation to be described would be considered a demographic model whose primary objectives are instructional.' The model developed here may be used for forecasting, but was not constructed for this specific purpose, and it is a demographic model since it describes only population growth, with particular emphasis on the geographical distribution of this growth. As a premise, I make the assumption that everything is related to everything else. Superficially considered this would suggest a model of infinite complexity; a corollary inference often made is that social systems are difficult because they contain many variables; numerous people confuse the number of variables with the degree of complexity. Because of closure , however, models with infinite numbers of variables are in fact sometimes more tractable than models with a finite but large number of variables [27]. My point here is that the utmost effort must be exercised to avoid writing a complicated model. It is very difficult to write a simple model but this, after all, is one of the objectives. If one plots a graph with increasing complexity on the abscissa, and increasing effectiveness on the other axis, it is well known that science is only asymptotic to one hundred percent effectiveness. No scientist claims otherwise. But the rate at which this effectiveness is achieved is extremely important, ceterus paribus. In other words, the objective is high success with a simple model. Statistical procedures which order the eigenvalues are popular for just this reason. Because a process appears complicated is also no reason to assume that it is the result of com-For a review of urban models see Lee [21]. plicated rules, examples are: the game of chess, the motion of the planets before Copernicus; evolution before Darwin and the double helix, geology before Hutton, mechanics before Newton, geography before Christaller, and so on [5]. The plausibility of models also varies, but this is known to be an incomplete guide to the scientific usefulness of a model. The model I describe, for example , recognizes that people die, are born, and migrate. It does not explain why people die, are born, and migrate. Some would insist that I should incorporate more behavioral notions, but then it would be necessary to discuss the psychology of urban growth; to do this properly requires a treatise on the biochemistry of perception, which in turn requires discussion of the physics of ion interchange, and so on. My attitude, rather, is that since I have not explained birth, death, or migration, the model might apply to any phenomenon which has these characteristics, e.g., people, plants, animals, machines (which are built, moved, and destroyed), or ideas. The level of generality seems inversely related to the specificity of the model. A model of urban growth should apply to all 92,290 cities [9, p. 81] (not just to one city), now and in the future, and to other things that grow. These are rather ambitious aims. Conversely, the model attempts to relate population totals only on the basis of prior populations , and neglects employment opportunities , topography, transportation, and other distinctions between site qualities. Consequently the only difference between places in the model is their population density, and other demographic differences are ignored. Similarly, the population model attempts to relate","container-title":"Economic Geography","DOI":"10.2307/143141","page":"234-240","title":"A Computer Movie Simulating Urban Growth in the Detroit Region","volume":"46","author":[{"family":"Tobler","given":"W R"}],"accessed":{"date-parts":[["2022",7,26]]},"issued":{"date-parts":[["1970"]]}}}],"schema":"https://github.com/citation-style-language/schema/raw/master/csl-citation.json"} </w:instrText>
      </w:r>
      <w:r w:rsidR="00C11CA1" w:rsidRPr="00941F74">
        <w:rPr>
          <w:rFonts w:cstheme="minorHAnsi"/>
          <w:lang w:val="en-GB"/>
        </w:rPr>
        <w:fldChar w:fldCharType="separate"/>
      </w:r>
      <w:r w:rsidR="003B1EC2" w:rsidRPr="003B1EC2">
        <w:rPr>
          <w:rFonts w:ascii="Calibri" w:hAnsi="Calibri" w:cs="Calibri"/>
          <w:lang w:val="en-US"/>
        </w:rPr>
        <w:t>(Gaucherel et al., 2016b; Legendre and Fortin, 1989; Tobler, 1970)</w:t>
      </w:r>
      <w:r w:rsidR="00C11CA1" w:rsidRPr="00941F74">
        <w:rPr>
          <w:rFonts w:cstheme="minorHAnsi"/>
          <w:lang w:val="en-GB"/>
        </w:rPr>
        <w:fldChar w:fldCharType="end"/>
      </w:r>
      <w:r w:rsidR="00D73C9C" w:rsidRPr="00941F74">
        <w:rPr>
          <w:rFonts w:cstheme="minorHAnsi"/>
          <w:lang w:val="en-US"/>
        </w:rPr>
        <w:t>.</w:t>
      </w:r>
      <w:r w:rsidRPr="00941F74">
        <w:rPr>
          <w:rFonts w:cstheme="minorHAnsi"/>
          <w:lang w:val="en-US"/>
        </w:rPr>
        <w:t xml:space="preserve"> </w:t>
      </w:r>
      <w:r w:rsidRPr="00941F74">
        <w:rPr>
          <w:rFonts w:cstheme="minorHAnsi"/>
          <w:lang w:val="en-GB"/>
        </w:rPr>
        <w:t xml:space="preserve">Moreover, in the absence of a major disturbance, we also assume a temporal autocorrelation of the vegetation composition (proportions) and configuration (spatial arrangements) between two successive time windows. We will therefore refer to this phenomenon as spatiotemporal autocorrelation. The objective of this stage </w:t>
      </w:r>
      <w:r w:rsidR="009C7FC3">
        <w:rPr>
          <w:rFonts w:cstheme="minorHAnsi"/>
          <w:lang w:val="en-GB"/>
        </w:rPr>
        <w:t>wa</w:t>
      </w:r>
      <w:r w:rsidRPr="00941F74">
        <w:rPr>
          <w:rFonts w:cstheme="minorHAnsi"/>
          <w:lang w:val="en-GB"/>
        </w:rPr>
        <w:t>s to produce two</w:t>
      </w:r>
      <w:r w:rsidR="00C71C02" w:rsidRPr="00941F74">
        <w:rPr>
          <w:rFonts w:cstheme="minorHAnsi"/>
          <w:lang w:val="en-GB"/>
        </w:rPr>
        <w:t xml:space="preserve"> intermediate</w:t>
      </w:r>
      <w:r w:rsidRPr="00941F74">
        <w:rPr>
          <w:rFonts w:cstheme="minorHAnsi"/>
          <w:lang w:val="en-GB"/>
        </w:rPr>
        <w:t xml:space="preserve"> taxa distribution maps, </w:t>
      </w:r>
      <w:r w:rsidR="00042DE6" w:rsidRPr="00941F74">
        <w:rPr>
          <w:rFonts w:cstheme="minorHAnsi"/>
          <w:lang w:val="en-GB"/>
        </w:rPr>
        <w:t xml:space="preserve">later </w:t>
      </w:r>
      <w:r w:rsidRPr="00941F74">
        <w:rPr>
          <w:rFonts w:cstheme="minorHAnsi"/>
          <w:lang w:val="en-GB"/>
        </w:rPr>
        <w:t xml:space="preserve">used </w:t>
      </w:r>
      <w:r w:rsidR="00C71C02" w:rsidRPr="00941F74">
        <w:rPr>
          <w:rFonts w:cstheme="minorHAnsi"/>
          <w:lang w:val="en-GB"/>
        </w:rPr>
        <w:t>for backward integrating</w:t>
      </w:r>
      <w:r w:rsidRPr="00941F74">
        <w:rPr>
          <w:rFonts w:cstheme="minorHAnsi"/>
          <w:lang w:val="en-GB"/>
        </w:rPr>
        <w:t xml:space="preserve"> spatiotemporal autocorrelation into the </w:t>
      </w:r>
      <w:r w:rsidRPr="00941F74">
        <w:rPr>
          <w:rFonts w:cstheme="minorHAnsi"/>
          <w:lang w:val="en-GB"/>
        </w:rPr>
        <w:lastRenderedPageBreak/>
        <w:t xml:space="preserve">distribution of taxa at TW1995: their recent distribution map inferred from the 2008 land-cover map (MIDs) and their </w:t>
      </w:r>
      <w:r w:rsidR="00042DE6" w:rsidRPr="00941F74">
        <w:rPr>
          <w:rFonts w:cstheme="minorHAnsi"/>
          <w:lang w:val="en-GB"/>
        </w:rPr>
        <w:t>LOVE</w:t>
      </w:r>
      <w:r w:rsidRPr="00941F74">
        <w:rPr>
          <w:rFonts w:cstheme="minorHAnsi"/>
          <w:lang w:val="en-GB"/>
        </w:rPr>
        <w:t>-inferred distribution map at TW1995 (</w:t>
      </w:r>
      <w:r w:rsidR="00EF4205" w:rsidRPr="00941F74">
        <w:rPr>
          <w:rFonts w:cstheme="minorHAnsi"/>
          <w:lang w:val="en-GB"/>
        </w:rPr>
        <w:t>LID</w:t>
      </w:r>
      <w:r w:rsidRPr="00941F74">
        <w:rPr>
          <w:rFonts w:cstheme="minorHAnsi"/>
          <w:lang w:val="en-GB"/>
        </w:rPr>
        <w:t>s).</w:t>
      </w:r>
    </w:p>
    <w:p w14:paraId="5BCAF10C" w14:textId="5F610637" w:rsidR="00C312CE" w:rsidRPr="00941F74" w:rsidRDefault="00D62525">
      <w:pPr>
        <w:pStyle w:val="Titre3"/>
        <w:spacing w:line="480" w:lineRule="auto"/>
        <w:rPr>
          <w:rFonts w:asciiTheme="minorHAnsi" w:hAnsiTheme="minorHAnsi" w:cstheme="minorHAnsi"/>
          <w:b/>
          <w:sz w:val="22"/>
          <w:szCs w:val="22"/>
          <w:lang w:val="en-US"/>
        </w:rPr>
      </w:pPr>
      <w:r w:rsidRPr="00941F74">
        <w:rPr>
          <w:rFonts w:asciiTheme="minorHAnsi" w:hAnsiTheme="minorHAnsi" w:cstheme="minorHAnsi"/>
          <w:b/>
          <w:sz w:val="22"/>
          <w:szCs w:val="22"/>
          <w:lang w:val="en-US"/>
        </w:rPr>
        <w:t xml:space="preserve">3.1.1. </w:t>
      </w:r>
      <w:r w:rsidR="00C312CE" w:rsidRPr="00941F74">
        <w:rPr>
          <w:rFonts w:asciiTheme="minorHAnsi" w:hAnsiTheme="minorHAnsi" w:cstheme="minorHAnsi"/>
          <w:b/>
          <w:sz w:val="22"/>
          <w:szCs w:val="22"/>
          <w:lang w:val="en-US"/>
        </w:rPr>
        <w:t xml:space="preserve">Map-Inferred Taxa distributions (MIDs) </w:t>
      </w:r>
      <w:r w:rsidR="00042DE6" w:rsidRPr="00941F74">
        <w:rPr>
          <w:rFonts w:asciiTheme="minorHAnsi" w:hAnsiTheme="minorHAnsi" w:cstheme="minorHAnsi"/>
          <w:b/>
          <w:sz w:val="22"/>
          <w:szCs w:val="22"/>
          <w:lang w:val="en-US"/>
        </w:rPr>
        <w:t>in 2008</w:t>
      </w:r>
    </w:p>
    <w:p w14:paraId="4EAFD790" w14:textId="540865B4" w:rsidR="00D036FC" w:rsidRPr="00941F74" w:rsidRDefault="00042DE6">
      <w:pPr>
        <w:spacing w:line="480" w:lineRule="auto"/>
        <w:rPr>
          <w:rFonts w:cstheme="minorHAnsi"/>
          <w:lang w:val="en-GB"/>
        </w:rPr>
      </w:pPr>
      <w:r w:rsidRPr="00941F74">
        <w:rPr>
          <w:rFonts w:cstheme="minorHAnsi"/>
          <w:lang w:val="en-GB"/>
        </w:rPr>
        <w:t>Recent t</w:t>
      </w:r>
      <w:r w:rsidR="00C312CE" w:rsidRPr="00941F74">
        <w:rPr>
          <w:rFonts w:cstheme="minorHAnsi"/>
          <w:lang w:val="en-GB"/>
        </w:rPr>
        <w:t xml:space="preserve">axon distributions </w:t>
      </w:r>
      <w:r w:rsidR="00C53D93" w:rsidRPr="00941F74">
        <w:rPr>
          <w:rFonts w:cstheme="minorHAnsi"/>
          <w:lang w:val="en-GB"/>
        </w:rPr>
        <w:t xml:space="preserve">were </w:t>
      </w:r>
      <w:r w:rsidR="00C312CE" w:rsidRPr="00941F74">
        <w:rPr>
          <w:rFonts w:cstheme="minorHAnsi"/>
          <w:lang w:val="en-GB"/>
        </w:rPr>
        <w:t>obtained from the 2008 land-cover map and the 18 taxa-based botanical compositions of the land-cover types</w:t>
      </w:r>
      <w:r w:rsidR="0030165A" w:rsidRPr="00941F74">
        <w:rPr>
          <w:rFonts w:cstheme="minorHAnsi"/>
          <w:lang w:val="en-GB"/>
        </w:rPr>
        <w:t xml:space="preserve"> (</w:t>
      </w:r>
      <w:r w:rsidR="0030165A" w:rsidRPr="00941F74">
        <w:rPr>
          <w:rFonts w:cstheme="minorHAnsi"/>
          <w:color w:val="FF0000"/>
          <w:lang w:val="en-GB"/>
        </w:rPr>
        <w:t>Fig. 3a</w:t>
      </w:r>
      <w:r w:rsidR="0030165A" w:rsidRPr="00941F74">
        <w:rPr>
          <w:rFonts w:cstheme="minorHAnsi"/>
          <w:lang w:val="en-GB"/>
        </w:rPr>
        <w:t>)</w:t>
      </w:r>
      <w:r w:rsidR="00D036FC" w:rsidRPr="00941F74">
        <w:rPr>
          <w:rFonts w:cstheme="minorHAnsi"/>
          <w:lang w:val="en-GB"/>
        </w:rPr>
        <w:t xml:space="preserve">, based on </w:t>
      </w:r>
      <w:r w:rsidR="00EA291A">
        <w:rPr>
          <w:rFonts w:cstheme="minorHAnsi"/>
          <w:lang w:val="en-GB"/>
        </w:rPr>
        <w:t>the following</w:t>
      </w:r>
      <w:r w:rsidR="00EA291A" w:rsidRPr="00941F74">
        <w:rPr>
          <w:rFonts w:cstheme="minorHAnsi"/>
          <w:lang w:val="en-GB"/>
        </w:rPr>
        <w:t xml:space="preserve"> </w:t>
      </w:r>
      <w:r w:rsidR="000B3326" w:rsidRPr="00941F74">
        <w:rPr>
          <w:rFonts w:cstheme="minorHAnsi"/>
          <w:lang w:val="en-GB"/>
        </w:rPr>
        <w:t>formula:</w:t>
      </w:r>
    </w:p>
    <w:p w14:paraId="53CF740E" w14:textId="6476EEE4" w:rsidR="00023DD5" w:rsidRPr="00941F74" w:rsidRDefault="001242E5">
      <w:pPr>
        <w:spacing w:line="480" w:lineRule="auto"/>
        <w:rPr>
          <w:rFonts w:cstheme="minorHAnsi"/>
          <w:lang w:val="en-GB"/>
        </w:rPr>
      </w:pPr>
      <m:oMath>
        <m:sSub>
          <m:sSubPr>
            <m:ctrlPr>
              <w:rPr>
                <w:rFonts w:ascii="Cambria Math" w:hAnsi="Cambria Math" w:cstheme="minorHAnsi"/>
                <w:i/>
                <w:lang w:val="en-GB"/>
              </w:rPr>
            </m:ctrlPr>
          </m:sSubPr>
          <m:e>
            <m:r>
              <w:rPr>
                <w:rFonts w:ascii="Cambria Math" w:hAnsi="Cambria Math" w:cstheme="minorHAnsi"/>
                <w:lang w:val="en-GB"/>
              </w:rPr>
              <m:t>MID</m:t>
            </m:r>
          </m:e>
          <m:sub>
            <m:r>
              <w:rPr>
                <w:rFonts w:ascii="Cambria Math" w:hAnsi="Cambria Math" w:cstheme="minorHAnsi"/>
                <w:lang w:val="en-GB"/>
              </w:rPr>
              <m:t>i</m:t>
            </m:r>
          </m:sub>
        </m:sSub>
        <m:r>
          <w:rPr>
            <w:rFonts w:ascii="Cambria Math" w:hAnsi="Cambria Math" w:cstheme="minorHAnsi"/>
            <w:lang w:val="en-GB"/>
          </w:rPr>
          <m:t>=</m:t>
        </m:r>
        <m:f>
          <m:fPr>
            <m:type m:val="lin"/>
            <m:ctrlPr>
              <w:rPr>
                <w:rFonts w:ascii="Cambria Math" w:hAnsi="Cambria Math" w:cstheme="minorHAnsi"/>
                <w:i/>
                <w:lang w:val="en-GB"/>
              </w:rPr>
            </m:ctrlPr>
          </m:fPr>
          <m:num>
            <m:nary>
              <m:naryPr>
                <m:chr m:val="∑"/>
                <m:limLoc m:val="undOvr"/>
                <m:ctrlPr>
                  <w:rPr>
                    <w:rFonts w:ascii="Cambria Math" w:hAnsi="Cambria Math" w:cstheme="minorHAnsi"/>
                    <w:i/>
                    <w:lang w:val="en-GB"/>
                  </w:rPr>
                </m:ctrlPr>
              </m:naryPr>
              <m:sub>
                <m:r>
                  <w:rPr>
                    <w:rFonts w:ascii="Cambria Math" w:hAnsi="Cambria Math" w:cstheme="minorHAnsi"/>
                    <w:lang w:val="en-GB"/>
                  </w:rPr>
                  <m:t>LC=1</m:t>
                </m:r>
              </m:sub>
              <m:sup>
                <m:sSub>
                  <m:sSubPr>
                    <m:ctrlPr>
                      <w:rPr>
                        <w:rFonts w:ascii="Cambria Math" w:hAnsi="Cambria Math" w:cstheme="minorHAnsi"/>
                        <w:i/>
                        <w:lang w:val="en-GB"/>
                      </w:rPr>
                    </m:ctrlPr>
                  </m:sSubPr>
                  <m:e>
                    <m:r>
                      <w:rPr>
                        <w:rFonts w:ascii="Cambria Math" w:hAnsi="Cambria Math" w:cstheme="minorHAnsi"/>
                        <w:lang w:val="en-GB"/>
                      </w:rPr>
                      <m:t>N</m:t>
                    </m:r>
                  </m:e>
                  <m:sub>
                    <m:r>
                      <w:rPr>
                        <w:rFonts w:ascii="Cambria Math" w:hAnsi="Cambria Math" w:cstheme="minorHAnsi"/>
                        <w:lang w:val="en-GB"/>
                      </w:rPr>
                      <m:t>LC</m:t>
                    </m:r>
                  </m:sub>
                </m:sSub>
              </m:sup>
              <m:e>
                <m:sSub>
                  <m:sSubPr>
                    <m:ctrlPr>
                      <w:rPr>
                        <w:rFonts w:ascii="Cambria Math" w:hAnsi="Cambria Math" w:cstheme="minorHAnsi"/>
                        <w:i/>
                        <w:lang w:val="en-GB"/>
                      </w:rPr>
                    </m:ctrlPr>
                  </m:sSubPr>
                  <m:e>
                    <m:r>
                      <w:rPr>
                        <w:rFonts w:ascii="Cambria Math" w:hAnsi="Cambria Math" w:cstheme="minorHAnsi"/>
                        <w:lang w:val="en-GB"/>
                      </w:rPr>
                      <m:t>D</m:t>
                    </m:r>
                  </m:e>
                  <m:sub>
                    <m:r>
                      <w:rPr>
                        <w:rFonts w:ascii="Cambria Math" w:hAnsi="Cambria Math" w:cstheme="minorHAnsi"/>
                        <w:lang w:val="en-GB"/>
                      </w:rPr>
                      <m:t>LC</m:t>
                    </m:r>
                  </m:sub>
                </m:sSub>
                <m:r>
                  <w:rPr>
                    <w:rFonts w:ascii="Cambria Math" w:hAnsi="Cambria Math" w:cstheme="minorHAnsi"/>
                    <w:lang w:val="en-GB"/>
                  </w:rPr>
                  <m:t>*</m:t>
                </m:r>
                <m:sSub>
                  <m:sSubPr>
                    <m:ctrlPr>
                      <w:rPr>
                        <w:rFonts w:ascii="Cambria Math" w:hAnsi="Cambria Math" w:cstheme="minorHAnsi"/>
                        <w:i/>
                        <w:lang w:val="en-GB"/>
                      </w:rPr>
                    </m:ctrlPr>
                  </m:sSubPr>
                  <m:e>
                    <m:r>
                      <w:rPr>
                        <w:rFonts w:ascii="Cambria Math" w:hAnsi="Cambria Math" w:cstheme="minorHAnsi"/>
                        <w:lang w:val="en-GB"/>
                      </w:rPr>
                      <m:t>P</m:t>
                    </m:r>
                  </m:e>
                  <m:sub>
                    <m:r>
                      <w:rPr>
                        <w:rFonts w:ascii="Cambria Math" w:hAnsi="Cambria Math" w:cstheme="minorHAnsi"/>
                        <w:lang w:val="en-GB"/>
                      </w:rPr>
                      <m:t>i,LC</m:t>
                    </m:r>
                  </m:sub>
                </m:sSub>
              </m:e>
            </m:nary>
          </m:num>
          <m:den>
            <m:nary>
              <m:naryPr>
                <m:chr m:val="∑"/>
                <m:limLoc m:val="undOvr"/>
                <m:ctrlPr>
                  <w:rPr>
                    <w:rFonts w:ascii="Cambria Math" w:hAnsi="Cambria Math" w:cstheme="minorHAnsi"/>
                    <w:i/>
                    <w:lang w:val="en-GB"/>
                  </w:rPr>
                </m:ctrlPr>
              </m:naryPr>
              <m:sub>
                <m:r>
                  <w:rPr>
                    <w:rFonts w:ascii="Cambria Math" w:hAnsi="Cambria Math" w:cstheme="minorHAnsi"/>
                    <w:lang w:val="en-GB"/>
                  </w:rPr>
                  <m:t>i=1</m:t>
                </m:r>
              </m:sub>
              <m:sup>
                <m:r>
                  <w:rPr>
                    <w:rFonts w:ascii="Cambria Math" w:hAnsi="Cambria Math" w:cstheme="minorHAnsi"/>
                    <w:lang w:val="en-GB"/>
                  </w:rPr>
                  <m:t>I</m:t>
                </m:r>
              </m:sup>
              <m:e>
                <m:nary>
                  <m:naryPr>
                    <m:chr m:val="∑"/>
                    <m:limLoc m:val="undOvr"/>
                    <m:ctrlPr>
                      <w:rPr>
                        <w:rFonts w:ascii="Cambria Math" w:hAnsi="Cambria Math" w:cstheme="minorHAnsi"/>
                        <w:i/>
                        <w:lang w:val="en-GB"/>
                      </w:rPr>
                    </m:ctrlPr>
                  </m:naryPr>
                  <m:sub>
                    <m:r>
                      <w:rPr>
                        <w:rFonts w:ascii="Cambria Math" w:hAnsi="Cambria Math" w:cstheme="minorHAnsi"/>
                        <w:lang w:val="en-GB"/>
                      </w:rPr>
                      <m:t>LC=1</m:t>
                    </m:r>
                  </m:sub>
                  <m:sup>
                    <m:sSub>
                      <m:sSubPr>
                        <m:ctrlPr>
                          <w:rPr>
                            <w:rFonts w:ascii="Cambria Math" w:hAnsi="Cambria Math" w:cstheme="minorHAnsi"/>
                            <w:i/>
                            <w:lang w:val="en-GB"/>
                          </w:rPr>
                        </m:ctrlPr>
                      </m:sSubPr>
                      <m:e>
                        <m:r>
                          <w:rPr>
                            <w:rFonts w:ascii="Cambria Math" w:hAnsi="Cambria Math" w:cstheme="minorHAnsi"/>
                            <w:lang w:val="en-GB"/>
                          </w:rPr>
                          <m:t>N</m:t>
                        </m:r>
                      </m:e>
                      <m:sub>
                        <m:r>
                          <w:rPr>
                            <w:rFonts w:ascii="Cambria Math" w:hAnsi="Cambria Math" w:cstheme="minorHAnsi"/>
                            <w:lang w:val="en-GB"/>
                          </w:rPr>
                          <m:t>LC</m:t>
                        </m:r>
                      </m:sub>
                    </m:sSub>
                  </m:sup>
                  <m:e>
                    <m:sSub>
                      <m:sSubPr>
                        <m:ctrlPr>
                          <w:rPr>
                            <w:rFonts w:ascii="Cambria Math" w:hAnsi="Cambria Math" w:cstheme="minorHAnsi"/>
                            <w:i/>
                            <w:lang w:val="en-GB"/>
                          </w:rPr>
                        </m:ctrlPr>
                      </m:sSubPr>
                      <m:e>
                        <m:r>
                          <w:rPr>
                            <w:rFonts w:ascii="Cambria Math" w:hAnsi="Cambria Math" w:cstheme="minorHAnsi"/>
                            <w:lang w:val="en-GB"/>
                          </w:rPr>
                          <m:t>D</m:t>
                        </m:r>
                      </m:e>
                      <m:sub>
                        <m:r>
                          <w:rPr>
                            <w:rFonts w:ascii="Cambria Math" w:hAnsi="Cambria Math" w:cstheme="minorHAnsi"/>
                            <w:lang w:val="en-GB"/>
                          </w:rPr>
                          <m:t>LC</m:t>
                        </m:r>
                      </m:sub>
                    </m:sSub>
                    <m:r>
                      <w:rPr>
                        <w:rFonts w:ascii="Cambria Math" w:hAnsi="Cambria Math" w:cstheme="minorHAnsi"/>
                        <w:lang w:val="en-GB"/>
                      </w:rPr>
                      <m:t>*</m:t>
                    </m:r>
                    <m:sSub>
                      <m:sSubPr>
                        <m:ctrlPr>
                          <w:rPr>
                            <w:rFonts w:ascii="Cambria Math" w:hAnsi="Cambria Math" w:cstheme="minorHAnsi"/>
                            <w:i/>
                            <w:lang w:val="en-GB"/>
                          </w:rPr>
                        </m:ctrlPr>
                      </m:sSubPr>
                      <m:e>
                        <m:r>
                          <w:rPr>
                            <w:rFonts w:ascii="Cambria Math" w:hAnsi="Cambria Math" w:cstheme="minorHAnsi"/>
                            <w:lang w:val="en-GB"/>
                          </w:rPr>
                          <m:t>P</m:t>
                        </m:r>
                      </m:e>
                      <m:sub>
                        <m:r>
                          <w:rPr>
                            <w:rFonts w:ascii="Cambria Math" w:hAnsi="Cambria Math" w:cstheme="minorHAnsi"/>
                            <w:lang w:val="en-GB"/>
                          </w:rPr>
                          <m:t>i,LC</m:t>
                        </m:r>
                      </m:sub>
                    </m:sSub>
                  </m:e>
                </m:nary>
              </m:e>
            </m:nary>
          </m:den>
        </m:f>
      </m:oMath>
      <w:r w:rsidR="00D036FC" w:rsidRPr="00941F74">
        <w:rPr>
          <w:rFonts w:cstheme="minorHAnsi"/>
          <w:lang w:val="en-GB"/>
        </w:rPr>
        <w:tab/>
      </w:r>
      <w:r w:rsidR="00D036FC" w:rsidRPr="00941F74">
        <w:rPr>
          <w:rFonts w:cstheme="minorHAnsi"/>
          <w:lang w:val="en-GB"/>
        </w:rPr>
        <w:tab/>
        <w:t>(Equation 1)</w:t>
      </w:r>
    </w:p>
    <w:p w14:paraId="3549AC99" w14:textId="1EBA64DB" w:rsidR="00023DD5" w:rsidRPr="00941F74" w:rsidRDefault="00D036FC">
      <w:pPr>
        <w:spacing w:line="480" w:lineRule="auto"/>
        <w:rPr>
          <w:rFonts w:cstheme="minorHAnsi"/>
          <w:lang w:val="en-GB"/>
        </w:rPr>
      </w:pPr>
      <w:r w:rsidRPr="00941F74">
        <w:rPr>
          <w:rFonts w:cstheme="minorHAnsi"/>
          <w:lang w:val="en-GB"/>
        </w:rPr>
        <w:t xml:space="preserve">where </w:t>
      </w:r>
      <m:oMath>
        <m:sSub>
          <m:sSubPr>
            <m:ctrlPr>
              <w:rPr>
                <w:rFonts w:ascii="Cambria Math" w:hAnsi="Cambria Math" w:cstheme="minorHAnsi"/>
                <w:i/>
                <w:lang w:val="en-GB"/>
              </w:rPr>
            </m:ctrlPr>
          </m:sSubPr>
          <m:e>
            <m:r>
              <w:rPr>
                <w:rFonts w:ascii="Cambria Math" w:hAnsi="Cambria Math" w:cstheme="minorHAnsi"/>
                <w:lang w:val="en-GB"/>
              </w:rPr>
              <m:t>MID</m:t>
            </m:r>
          </m:e>
          <m:sub>
            <m:r>
              <w:rPr>
                <w:rFonts w:ascii="Cambria Math" w:hAnsi="Cambria Math" w:cstheme="minorHAnsi"/>
                <w:lang w:val="en-GB"/>
              </w:rPr>
              <m:t>i</m:t>
            </m:r>
          </m:sub>
        </m:sSub>
      </m:oMath>
      <w:r w:rsidRPr="00941F74">
        <w:rPr>
          <w:rFonts w:cstheme="minorHAnsi"/>
          <w:lang w:val="en-GB"/>
        </w:rPr>
        <w:t xml:space="preserve"> represents the Map Inferred taxa Distribution of a taxon </w:t>
      </w:r>
      <m:oMath>
        <m:r>
          <w:rPr>
            <w:rFonts w:ascii="Cambria Math" w:hAnsi="Cambria Math" w:cstheme="minorHAnsi"/>
            <w:lang w:val="en-GB"/>
          </w:rPr>
          <m:t>i</m:t>
        </m:r>
      </m:oMath>
      <w:r w:rsidRPr="00941F74">
        <w:rPr>
          <w:rFonts w:cstheme="minorHAnsi"/>
          <w:lang w:val="en-GB"/>
        </w:rPr>
        <w:t xml:space="preserve"> expressed as a proportion of the total vegetation, </w:t>
      </w:r>
      <m:oMath>
        <m:sSub>
          <m:sSubPr>
            <m:ctrlPr>
              <w:rPr>
                <w:rFonts w:ascii="Cambria Math" w:hAnsi="Cambria Math" w:cstheme="minorHAnsi"/>
                <w:i/>
                <w:lang w:val="en-GB"/>
              </w:rPr>
            </m:ctrlPr>
          </m:sSubPr>
          <m:e>
            <m:r>
              <w:rPr>
                <w:rFonts w:ascii="Cambria Math" w:hAnsi="Cambria Math" w:cstheme="minorHAnsi"/>
                <w:lang w:val="en-GB"/>
              </w:rPr>
              <m:t>N</m:t>
            </m:r>
          </m:e>
          <m:sub>
            <m:r>
              <w:rPr>
                <w:rFonts w:ascii="Cambria Math" w:hAnsi="Cambria Math" w:cstheme="minorHAnsi"/>
                <w:lang w:val="en-GB"/>
              </w:rPr>
              <m:t>LC</m:t>
            </m:r>
          </m:sub>
        </m:sSub>
      </m:oMath>
      <w:r w:rsidRPr="00941F74">
        <w:rPr>
          <w:rFonts w:cstheme="minorHAnsi"/>
          <w:lang w:val="en-GB"/>
        </w:rPr>
        <w:t xml:space="preserve"> is the number of land-cover types (eight),</w:t>
      </w:r>
      <m:oMath>
        <m:r>
          <w:rPr>
            <w:rFonts w:ascii="Cambria Math" w:hAnsi="Cambria Math" w:cstheme="minorHAnsi"/>
            <w:lang w:val="en-GB"/>
          </w:rPr>
          <m:t xml:space="preserve"> </m:t>
        </m:r>
        <m:sSub>
          <m:sSubPr>
            <m:ctrlPr>
              <w:rPr>
                <w:rFonts w:ascii="Cambria Math" w:hAnsi="Cambria Math" w:cstheme="minorHAnsi"/>
                <w:i/>
                <w:lang w:val="en-GB"/>
              </w:rPr>
            </m:ctrlPr>
          </m:sSubPr>
          <m:e>
            <m:r>
              <w:rPr>
                <w:rFonts w:ascii="Cambria Math" w:hAnsi="Cambria Math" w:cstheme="minorHAnsi"/>
                <w:lang w:val="en-GB"/>
              </w:rPr>
              <m:t>P</m:t>
            </m:r>
          </m:e>
          <m:sub>
            <m:r>
              <w:rPr>
                <w:rFonts w:ascii="Cambria Math" w:hAnsi="Cambria Math" w:cstheme="minorHAnsi"/>
                <w:lang w:val="en-GB"/>
              </w:rPr>
              <m:t>i,LC</m:t>
            </m:r>
          </m:sub>
        </m:sSub>
      </m:oMath>
      <w:r w:rsidRPr="00941F74">
        <w:rPr>
          <w:rFonts w:cstheme="minorHAnsi"/>
          <w:lang w:val="en-GB"/>
        </w:rPr>
        <w:t xml:space="preserve"> the botanical proportion of the taxon </w:t>
      </w:r>
      <m:oMath>
        <m:r>
          <w:rPr>
            <w:rFonts w:ascii="Cambria Math" w:hAnsi="Cambria Math" w:cstheme="minorHAnsi"/>
            <w:lang w:val="en-GB"/>
          </w:rPr>
          <m:t>i</m:t>
        </m:r>
      </m:oMath>
      <w:r w:rsidRPr="00941F74">
        <w:rPr>
          <w:rFonts w:cstheme="minorHAnsi"/>
          <w:lang w:val="en-GB"/>
        </w:rPr>
        <w:t xml:space="preserve"> in the land-cover type, </w:t>
      </w:r>
      <m:oMath>
        <m:r>
          <w:rPr>
            <w:rFonts w:ascii="Cambria Math" w:hAnsi="Cambria Math" w:cstheme="minorHAnsi"/>
            <w:lang w:val="en-GB"/>
          </w:rPr>
          <m:t>I</m:t>
        </m:r>
      </m:oMath>
      <w:r w:rsidRPr="00941F74">
        <w:rPr>
          <w:rFonts w:cstheme="minorHAnsi"/>
          <w:lang w:val="en-GB"/>
        </w:rPr>
        <w:t xml:space="preserve"> the total number of taxa (18), and </w:t>
      </w:r>
      <m:oMath>
        <m:sSub>
          <m:sSubPr>
            <m:ctrlPr>
              <w:rPr>
                <w:rFonts w:ascii="Cambria Math" w:hAnsi="Cambria Math" w:cstheme="minorHAnsi"/>
                <w:i/>
                <w:lang w:val="en-GB"/>
              </w:rPr>
            </m:ctrlPr>
          </m:sSubPr>
          <m:e>
            <m:r>
              <w:rPr>
                <w:rFonts w:ascii="Cambria Math" w:hAnsi="Cambria Math" w:cstheme="minorHAnsi"/>
                <w:lang w:val="en-GB"/>
              </w:rPr>
              <m:t>D</m:t>
            </m:r>
          </m:e>
          <m:sub>
            <m:r>
              <w:rPr>
                <w:rFonts w:ascii="Cambria Math" w:hAnsi="Cambria Math" w:cstheme="minorHAnsi"/>
                <w:lang w:val="en-GB"/>
              </w:rPr>
              <m:t>LC</m:t>
            </m:r>
          </m:sub>
        </m:sSub>
      </m:oMath>
      <w:r w:rsidRPr="00941F74">
        <w:rPr>
          <w:rFonts w:cstheme="minorHAnsi"/>
          <w:lang w:val="en-GB"/>
        </w:rPr>
        <w:t xml:space="preserve"> their multi-scale density. Preliminary analyses </w:t>
      </w:r>
      <w:r w:rsidR="00961FB9" w:rsidRPr="00941F74">
        <w:rPr>
          <w:rFonts w:cstheme="minorHAnsi"/>
          <w:lang w:val="en-GB"/>
        </w:rPr>
        <w:t>showed</w:t>
      </w:r>
      <w:r w:rsidRPr="00941F74">
        <w:rPr>
          <w:rFonts w:cstheme="minorHAnsi"/>
          <w:lang w:val="en-GB"/>
        </w:rPr>
        <w:t xml:space="preserve"> that the use of quantitative and continuous densities is preferable to</w:t>
      </w:r>
      <w:r w:rsidR="00A13EA1" w:rsidRPr="00941F74">
        <w:rPr>
          <w:rFonts w:cstheme="minorHAnsi"/>
          <w:lang w:val="en-GB"/>
        </w:rPr>
        <w:t xml:space="preserve"> the presence/absence of land-cover</w:t>
      </w:r>
      <w:r w:rsidRPr="00941F74">
        <w:rPr>
          <w:rFonts w:cstheme="minorHAnsi"/>
          <w:lang w:val="en-GB"/>
        </w:rPr>
        <w:t xml:space="preserve"> types for several steps in the processing chain. In this step, the use of multiscale densities </w:t>
      </w:r>
      <w:r w:rsidR="00961FB9" w:rsidRPr="00941F74">
        <w:rPr>
          <w:rFonts w:cstheme="minorHAnsi"/>
          <w:lang w:val="en-GB"/>
        </w:rPr>
        <w:t xml:space="preserve">was </w:t>
      </w:r>
      <w:r w:rsidRPr="00941F74">
        <w:rPr>
          <w:rFonts w:cstheme="minorHAnsi"/>
          <w:lang w:val="en-GB"/>
        </w:rPr>
        <w:t xml:space="preserve">motivated by the need to take into account both the heterogeneity of </w:t>
      </w:r>
      <w:r w:rsidR="00961FB9" w:rsidRPr="00941F74">
        <w:rPr>
          <w:rFonts w:cstheme="minorHAnsi"/>
          <w:lang w:val="en-GB"/>
        </w:rPr>
        <w:t>LCTs</w:t>
      </w:r>
      <w:r w:rsidRPr="00941F74">
        <w:rPr>
          <w:rFonts w:cstheme="minorHAnsi"/>
          <w:lang w:val="en-GB"/>
        </w:rPr>
        <w:t xml:space="preserve"> and the fuzziness of their boundaries - due to their permeability to dispersal and colonisation by ubiquitous taxa - in the MIDs.</w:t>
      </w:r>
      <w:r w:rsidR="00C312CE" w:rsidRPr="00941F74">
        <w:rPr>
          <w:rFonts w:cstheme="minorHAnsi"/>
          <w:lang w:val="en-GB"/>
        </w:rPr>
        <w:t xml:space="preserve"> We used the Multiscale Heterogeneity Map software</w:t>
      </w:r>
      <w:r w:rsidR="00C11CA1" w:rsidRPr="00941F74">
        <w:rPr>
          <w:rFonts w:cstheme="minorHAnsi"/>
          <w:lang w:val="en-GB"/>
        </w:rPr>
        <w:t xml:space="preserve"> </w:t>
      </w:r>
      <w:r w:rsidR="00C11CA1" w:rsidRPr="00941F74">
        <w:rPr>
          <w:rFonts w:cstheme="minorHAnsi"/>
          <w:lang w:val="en-GB"/>
        </w:rPr>
        <w:fldChar w:fldCharType="begin"/>
      </w:r>
      <w:r w:rsidR="003B1EC2">
        <w:rPr>
          <w:rFonts w:cstheme="minorHAnsi"/>
          <w:lang w:val="en-GB"/>
        </w:rPr>
        <w:instrText xml:space="preserve"> ADDIN ZOTERO_ITEM CSL_CITATION {"citationID":"IuSTU4Kr","properties":{"formattedCitation":"(Gaucherel, 2007; Pavageau et al., 2017)","plainCitation":"(Gaucherel, 2007; Pavageau et al., 2017)","noteIndex":0},"citationItems":[{"id":2714,"uris":["http://www.mendeley.com/documents/?uuid=7073ad5e-449d-484d-89d2-d6c338a15884","http://zotero.org/users/10290022/items/PXRY69SU"],"itemData":{"id":2714,"type":"article-journal","abstract":"Spatial heterogeneity, in the wide sense of pattern complexity and variability, appears to be one of the dominant influences of ecological functions and processes. The most widely used quantification of heterogeneity in environmental studies is based on derived Shannon information theory indices. Yet, such heterogeneity index is not able to quantify the surface patterns of a landscape with a fully explicit scheme at each place and scale of the landscape. The objective of this work is to propose a methodology to bypass this disadvantage and to capture the local and scaling variations of the landscape. The method developed here combines a multiscale heterogeneity map (MHM) with a heterogeneity profile (HP) averaging at each place (respectively, at each scale) the spatial information contained in the landscape. Confidence levels have been estimated on the basis of a simple neutral landscape model to detect significant non-random heterogeneity fluctuations. This methodology is illustrated on both categorical (patchy) and continuous (pixelised) real landscapes: a heterogeneous agricultural landscape in Brittany and a spring phytoplankton bloom in north Atlantic. Heterogeneity analyses of both image types can simultaneously reveal subtle quantitative and qualitative features (gradients, boundaries, random or patchy patterns at successive scales) linked to ecological processes. © 2007 Elsevier B.V. All rights reserved.","container-title":"Landscape and Urban Planning","DOI":"10.1016/j.landurbplan.2007.01.022","ISSN":"01692046","issue":"3","page":"95-102","title":"Multiscale heterogeneity map and associated scaling profile for landscape analysis","volume":"82","author":[{"family":"Gaucherel","given":"C."}],"issued":{"date-parts":[["2007"]]}}},{"id":3244,"uris":["http://zotero.org/users/10290022/items/TYAA4ZA6"],"itemData":{"id":3244,"type":"article-journal","container-title":"Journal of Applied Ecology","DOI":"https://doi.org/10.1111/1365-2664.13069","issue":"3","page":"1230-1240","title":"Nesting sites of giant honeybees modulated by landscape patterns","volume":"55","author":[{"family":"Pavageau","given":"Charlotte"},{"family":"Gaucherel","given":"C."},{"family":"Garcia","given":"Claude"},{"family":"Ghazoul","given":"Jaboury"}],"issued":{"date-parts":[["2017"]]}}}],"schema":"https://github.com/citation-style-language/schema/raw/master/csl-citation.json"} </w:instrText>
      </w:r>
      <w:r w:rsidR="00C11CA1" w:rsidRPr="00941F74">
        <w:rPr>
          <w:rFonts w:cstheme="minorHAnsi"/>
          <w:lang w:val="en-GB"/>
        </w:rPr>
        <w:fldChar w:fldCharType="separate"/>
      </w:r>
      <w:r w:rsidR="003B1EC2" w:rsidRPr="003B1EC2">
        <w:rPr>
          <w:rFonts w:ascii="Calibri" w:hAnsi="Calibri" w:cs="Calibri"/>
          <w:lang w:val="en-US"/>
        </w:rPr>
        <w:t>(Gaucherel, 2007; Pavageau et al., 2017)</w:t>
      </w:r>
      <w:r w:rsidR="00C11CA1" w:rsidRPr="00941F74">
        <w:rPr>
          <w:rFonts w:cstheme="minorHAnsi"/>
          <w:lang w:val="en-GB"/>
        </w:rPr>
        <w:fldChar w:fldCharType="end"/>
      </w:r>
      <w:r w:rsidR="00C312CE" w:rsidRPr="00941F74">
        <w:rPr>
          <w:rFonts w:cstheme="minorHAnsi"/>
          <w:lang w:val="en-US"/>
        </w:rPr>
        <w:t xml:space="preserve"> to produce a multi-scale density map for each</w:t>
      </w:r>
      <w:r w:rsidR="00961FB9" w:rsidRPr="00941F74">
        <w:rPr>
          <w:rFonts w:cstheme="minorHAnsi"/>
          <w:lang w:val="en-US"/>
        </w:rPr>
        <w:t xml:space="preserve"> LCT</w:t>
      </w:r>
      <w:r w:rsidR="00C312CE" w:rsidRPr="00941F74">
        <w:rPr>
          <w:rFonts w:cstheme="minorHAnsi"/>
          <w:lang w:val="en-US"/>
        </w:rPr>
        <w:t xml:space="preserve">. </w:t>
      </w:r>
      <w:r w:rsidR="00C312CE" w:rsidRPr="00941F74">
        <w:rPr>
          <w:rFonts w:cstheme="minorHAnsi"/>
          <w:lang w:val="en-GB"/>
        </w:rPr>
        <w:t xml:space="preserve">These maps represent the average proportion of each </w:t>
      </w:r>
      <w:r w:rsidR="00DF48E6" w:rsidRPr="00941F74">
        <w:rPr>
          <w:rFonts w:cstheme="minorHAnsi"/>
          <w:lang w:val="en-GB"/>
        </w:rPr>
        <w:t>LCT</w:t>
      </w:r>
      <w:r w:rsidR="00C312CE" w:rsidRPr="00941F74">
        <w:rPr>
          <w:rFonts w:cstheme="minorHAnsi"/>
          <w:lang w:val="en-GB"/>
        </w:rPr>
        <w:t xml:space="preserve"> in their neighbourhood, on observation scales ranging from 40m to 280m, every 40m, in order to reduce and homogenise possible biases due to scale choices. </w:t>
      </w:r>
    </w:p>
    <w:p w14:paraId="2AA8C6B7" w14:textId="666F3781" w:rsidR="00C312CE" w:rsidRPr="00941F74" w:rsidRDefault="003762E6">
      <w:pPr>
        <w:pStyle w:val="Titre3"/>
        <w:numPr>
          <w:ilvl w:val="2"/>
          <w:numId w:val="23"/>
        </w:numPr>
        <w:spacing w:line="480" w:lineRule="auto"/>
        <w:rPr>
          <w:rFonts w:asciiTheme="minorHAnsi" w:hAnsiTheme="minorHAnsi" w:cstheme="minorHAnsi"/>
          <w:b/>
          <w:sz w:val="22"/>
          <w:szCs w:val="22"/>
          <w:lang w:val="en-US"/>
        </w:rPr>
      </w:pPr>
      <w:r w:rsidRPr="00941F74">
        <w:rPr>
          <w:rFonts w:asciiTheme="minorHAnsi" w:hAnsiTheme="minorHAnsi" w:cstheme="minorHAnsi"/>
          <w:b/>
          <w:sz w:val="22"/>
          <w:szCs w:val="22"/>
          <w:lang w:val="en-US"/>
        </w:rPr>
        <w:t>LOVE</w:t>
      </w:r>
      <w:r w:rsidR="00C312CE" w:rsidRPr="00941F74">
        <w:rPr>
          <w:rFonts w:asciiTheme="minorHAnsi" w:hAnsiTheme="minorHAnsi" w:cstheme="minorHAnsi"/>
          <w:b/>
          <w:sz w:val="22"/>
          <w:szCs w:val="22"/>
          <w:lang w:val="en-US"/>
        </w:rPr>
        <w:t>-Inferred Taxa distributions (</w:t>
      </w:r>
      <w:r w:rsidR="00EF4205" w:rsidRPr="00941F74">
        <w:rPr>
          <w:rFonts w:asciiTheme="minorHAnsi" w:hAnsiTheme="minorHAnsi" w:cstheme="minorHAnsi"/>
          <w:b/>
          <w:sz w:val="22"/>
          <w:szCs w:val="22"/>
          <w:lang w:val="en-US"/>
        </w:rPr>
        <w:t>LID</w:t>
      </w:r>
      <w:r w:rsidR="00C312CE" w:rsidRPr="00941F74">
        <w:rPr>
          <w:rFonts w:asciiTheme="minorHAnsi" w:hAnsiTheme="minorHAnsi" w:cstheme="minorHAnsi"/>
          <w:b/>
          <w:sz w:val="22"/>
          <w:szCs w:val="22"/>
          <w:lang w:val="en-US"/>
        </w:rPr>
        <w:t>s) at TW-1995</w:t>
      </w:r>
    </w:p>
    <w:p w14:paraId="27DC178D" w14:textId="62A6245D" w:rsidR="00C312CE" w:rsidRPr="00941F74" w:rsidRDefault="00C312CE">
      <w:pPr>
        <w:spacing w:after="0" w:line="480" w:lineRule="auto"/>
        <w:rPr>
          <w:rFonts w:cstheme="minorHAnsi"/>
          <w:lang w:val="en-GB"/>
        </w:rPr>
      </w:pPr>
      <w:r w:rsidRPr="00941F74">
        <w:rPr>
          <w:rFonts w:cstheme="minorHAnsi"/>
          <w:lang w:val="en-GB"/>
        </w:rPr>
        <w:t xml:space="preserve">This step corresponds to the translation of point </w:t>
      </w:r>
      <w:r w:rsidR="00F67DFE" w:rsidRPr="00941F74">
        <w:rPr>
          <w:rFonts w:cstheme="minorHAnsi"/>
          <w:lang w:val="en-GB"/>
        </w:rPr>
        <w:t xml:space="preserve">LOVE </w:t>
      </w:r>
      <w:r w:rsidRPr="00941F74">
        <w:rPr>
          <w:rFonts w:cstheme="minorHAnsi"/>
          <w:lang w:val="en-GB"/>
        </w:rPr>
        <w:t xml:space="preserve">estimates into </w:t>
      </w:r>
      <w:r w:rsidR="00F67DFE" w:rsidRPr="00941F74">
        <w:rPr>
          <w:rFonts w:cstheme="minorHAnsi"/>
          <w:lang w:val="en-GB"/>
        </w:rPr>
        <w:t>LOVE</w:t>
      </w:r>
      <w:r w:rsidRPr="00941F74">
        <w:rPr>
          <w:rFonts w:cstheme="minorHAnsi"/>
          <w:lang w:val="en-GB"/>
        </w:rPr>
        <w:t>-inferred taxa distribution maps (</w:t>
      </w:r>
      <w:r w:rsidR="00EF4205" w:rsidRPr="00941F74">
        <w:rPr>
          <w:rFonts w:cstheme="minorHAnsi"/>
          <w:lang w:val="en-GB"/>
        </w:rPr>
        <w:t>LID</w:t>
      </w:r>
      <w:r w:rsidR="00BC544F" w:rsidRPr="00941F74">
        <w:rPr>
          <w:rFonts w:cstheme="minorHAnsi"/>
          <w:lang w:val="en-GB"/>
        </w:rPr>
        <w:t xml:space="preserve">s, </w:t>
      </w:r>
      <w:r w:rsidRPr="00941F74">
        <w:rPr>
          <w:rFonts w:cstheme="minorHAnsi"/>
          <w:color w:val="FF0000"/>
          <w:lang w:val="en-GB"/>
        </w:rPr>
        <w:t>Fig.3</w:t>
      </w:r>
      <w:r w:rsidR="0030165A" w:rsidRPr="00941F74">
        <w:rPr>
          <w:rFonts w:cstheme="minorHAnsi"/>
          <w:color w:val="FF0000"/>
          <w:lang w:val="en-GB"/>
        </w:rPr>
        <w:t>a</w:t>
      </w:r>
      <w:r w:rsidRPr="00941F74">
        <w:rPr>
          <w:rFonts w:cstheme="minorHAnsi"/>
          <w:lang w:val="en-GB"/>
        </w:rPr>
        <w:t>). First, we assume</w:t>
      </w:r>
      <w:r w:rsidR="000803A1" w:rsidRPr="00941F74">
        <w:rPr>
          <w:rFonts w:cstheme="minorHAnsi"/>
          <w:lang w:val="en-GB"/>
        </w:rPr>
        <w:t>d</w:t>
      </w:r>
      <w:r w:rsidRPr="00941F74">
        <w:rPr>
          <w:rFonts w:cstheme="minorHAnsi"/>
          <w:lang w:val="en-GB"/>
        </w:rPr>
        <w:t xml:space="preserve"> </w:t>
      </w:r>
      <w:r w:rsidR="00EA291A">
        <w:rPr>
          <w:rFonts w:cstheme="minorHAnsi"/>
          <w:lang w:val="en-GB"/>
        </w:rPr>
        <w:t xml:space="preserve">that </w:t>
      </w:r>
      <w:r w:rsidRPr="00941F74">
        <w:rPr>
          <w:rFonts w:cstheme="minorHAnsi"/>
          <w:lang w:val="en-GB"/>
        </w:rPr>
        <w:t xml:space="preserve">the probability of </w:t>
      </w:r>
      <w:r w:rsidR="00EA291A">
        <w:rPr>
          <w:rFonts w:cstheme="minorHAnsi"/>
          <w:lang w:val="en-GB"/>
        </w:rPr>
        <w:t xml:space="preserve">the </w:t>
      </w:r>
      <w:r w:rsidRPr="00941F74">
        <w:rPr>
          <w:rFonts w:cstheme="minorHAnsi"/>
          <w:lang w:val="en-GB"/>
        </w:rPr>
        <w:t xml:space="preserve">presence of a taxon </w:t>
      </w:r>
      <m:oMath>
        <m:r>
          <w:rPr>
            <w:rFonts w:ascii="Cambria Math" w:hAnsi="Cambria Math" w:cstheme="minorHAnsi"/>
            <w:lang w:val="en-GB"/>
          </w:rPr>
          <m:t>i</m:t>
        </m:r>
      </m:oMath>
      <w:r w:rsidRPr="00941F74">
        <w:rPr>
          <w:rFonts w:cstheme="minorHAnsi"/>
          <w:lang w:val="en-GB"/>
        </w:rPr>
        <w:t xml:space="preserve"> around each pollen site </w:t>
      </w:r>
      <m:oMath>
        <m:sSub>
          <m:sSubPr>
            <m:ctrlPr>
              <w:rPr>
                <w:rFonts w:ascii="Cambria Math" w:hAnsi="Cambria Math" w:cstheme="minorHAnsi"/>
                <w:i/>
                <w:lang w:val="en-GB"/>
              </w:rPr>
            </m:ctrlPr>
          </m:sSubPr>
          <m:e>
            <m:r>
              <w:rPr>
                <w:rFonts w:ascii="Cambria Math" w:hAnsi="Cambria Math" w:cstheme="minorHAnsi"/>
                <w:lang w:val="en-GB"/>
              </w:rPr>
              <m:t>(P</m:t>
            </m:r>
          </m:e>
          <m:sub>
            <m:sSub>
              <m:sSubPr>
                <m:ctrlPr>
                  <w:rPr>
                    <w:rFonts w:ascii="Cambria Math" w:hAnsi="Cambria Math" w:cstheme="minorHAnsi"/>
                    <w:i/>
                    <w:lang w:val="en-GB"/>
                  </w:rPr>
                </m:ctrlPr>
              </m:sSubPr>
              <m:e>
                <m:r>
                  <w:rPr>
                    <w:rFonts w:ascii="Cambria Math" w:hAnsi="Cambria Math" w:cstheme="minorHAnsi"/>
                    <w:lang w:val="en-GB"/>
                  </w:rPr>
                  <m:t>presence</m:t>
                </m:r>
              </m:e>
              <m:sub>
                <m:r>
                  <w:rPr>
                    <w:rFonts w:ascii="Cambria Math" w:hAnsi="Cambria Math" w:cstheme="minorHAnsi"/>
                    <w:lang w:val="en-GB"/>
                  </w:rPr>
                  <m:t>i</m:t>
                </m:r>
              </m:sub>
            </m:sSub>
          </m:sub>
        </m:sSub>
        <m:r>
          <w:rPr>
            <w:rFonts w:ascii="Cambria Math" w:hAnsi="Cambria Math" w:cstheme="minorHAnsi"/>
            <w:lang w:val="en-GB"/>
          </w:rPr>
          <m:t>)</m:t>
        </m:r>
      </m:oMath>
      <w:r w:rsidRPr="00941F74">
        <w:rPr>
          <w:rFonts w:cstheme="minorHAnsi"/>
          <w:lang w:val="en-GB"/>
        </w:rPr>
        <w:t xml:space="preserve"> </w:t>
      </w:r>
      <w:r w:rsidR="00EA291A">
        <w:rPr>
          <w:rFonts w:cstheme="minorHAnsi"/>
          <w:lang w:val="en-GB"/>
        </w:rPr>
        <w:t>follow</w:t>
      </w:r>
      <w:r w:rsidR="00991646">
        <w:rPr>
          <w:rFonts w:cstheme="minorHAnsi"/>
          <w:lang w:val="en-GB"/>
        </w:rPr>
        <w:t>s</w:t>
      </w:r>
      <w:r w:rsidRPr="00941F74">
        <w:rPr>
          <w:rFonts w:cstheme="minorHAnsi"/>
          <w:lang w:val="en-GB"/>
        </w:rPr>
        <w:t xml:space="preserve"> a bivariate normal Probability Density Function (PDF, </w:t>
      </w:r>
      <w:r w:rsidR="00B80421" w:rsidRPr="00941F74">
        <w:rPr>
          <w:rFonts w:cstheme="minorHAnsi"/>
          <w:lang w:val="en-GB"/>
        </w:rPr>
        <w:fldChar w:fldCharType="begin"/>
      </w:r>
      <w:r w:rsidR="000E0FBE">
        <w:rPr>
          <w:rFonts w:cstheme="minorHAnsi"/>
          <w:lang w:val="en-GB"/>
        </w:rPr>
        <w:instrText xml:space="preserve"> ADDIN ZOTERO_ITEM CSL_CITATION {"citationID":"UvJ7Dfkh","properties":{"formattedCitation":"(K\\uc0\\u252{}hl et al., 2002)","plainCitation":"(Kühl et al., 2002)","dontUpdate":true,"noteIndex":0},"citationItems":[{"id":2602,"uris":["http://zotero.org/users/10290022/items/NVYRW4FA"],"itemData":{"id":2602,"type":"article-journal","abstract":"We present a new procedure, the pdf method ( pdf =probability density function), for reconstructing Quaternary climate utilizing botanical data. The procedure includes the advantages of the indicator species method by considering the fossil and modern presence and absence of taxa rather than their frequencies, thus avoiding the need for modern analog plant communities. Overcoming the problematic use of absolute limits to describe climate response ranges is the main progress of the pdf method in comparison to the indicator species method. This advantage results from estimating probability density functions ( pdf s) for monthly mean January and July temperature conditional on the present day occurrence of single taxa. Gaussian distributions sufficiently approximate pdf s of many, although not all, studied taxa. On the assumption of statistical independence, the procedure calculates a joint pdf as the product of the pdf s of the individual taxa. This algorithm weights each taxon according to the extent of its climate response range expressed by its covariance structure. We interpret the maximum of the resulting pdf as the most likely climate and its confidence interval as the uncertainty range. To avoid an artificial reduction of uncertainty arising from the use of numerous similar pdf s, a preselection method is proposed based on the Mahalanobis distance between pdf s. The pdf method was applied to the Carpinus phase of a profile from Gröbern, Germany, that spans the last interglaciation (Eemian). The reconstructed most probable January and July temperatures of about 0.0°C and 18.4°C barely differ from the modern values of −0.5°C and 18.3°C.","container-title":"Quaternary Research","DOI":"10.1006/qres.2002.2380","ISSN":"0033-5894","issue":"03","note":"ISBN: 0033-5894","page":"381-392","title":"Probability Density Functions as Botanical-Climatological Transfer Functions for Climate Reconstruction","URL":"https://www.cambridge.org/core/product/identifier/S0033589400011534/type/journal_article","volume":"58","author":[{"family":"Kühl","given":"Norbert"},{"family":"Gebhardt","given":"Christoph"},{"family":"Litt","given":"Thomas"},{"family":"Hense","given":"Andreas"}],"issued":{"date-parts":[["2002"]]}}}],"schema":"https://github.com/citation-style-language/schema/raw/master/csl-citation.json"} </w:instrText>
      </w:r>
      <w:r w:rsidR="00B80421" w:rsidRPr="00941F74">
        <w:rPr>
          <w:rFonts w:cstheme="minorHAnsi"/>
          <w:lang w:val="en-GB"/>
        </w:rPr>
        <w:fldChar w:fldCharType="separate"/>
      </w:r>
      <w:r w:rsidR="00B80421" w:rsidRPr="00941F74">
        <w:rPr>
          <w:rFonts w:ascii="Calibri" w:hAnsi="Calibri" w:cs="Calibri"/>
          <w:szCs w:val="24"/>
          <w:lang w:val="en-US"/>
        </w:rPr>
        <w:t>Kühl et al., 2002)</w:t>
      </w:r>
      <w:r w:rsidR="00B80421" w:rsidRPr="00941F74">
        <w:rPr>
          <w:rFonts w:cstheme="minorHAnsi"/>
          <w:lang w:val="en-GB"/>
        </w:rPr>
        <w:fldChar w:fldCharType="end"/>
      </w:r>
      <w:r w:rsidRPr="00941F74">
        <w:rPr>
          <w:rFonts w:cstheme="minorHAnsi"/>
          <w:lang w:val="en-GB"/>
        </w:rPr>
        <w:t xml:space="preserve">. This choice </w:t>
      </w:r>
      <w:r w:rsidR="000803A1" w:rsidRPr="00941F74">
        <w:rPr>
          <w:rFonts w:cstheme="minorHAnsi"/>
          <w:lang w:val="en-GB"/>
        </w:rPr>
        <w:t xml:space="preserve">was </w:t>
      </w:r>
      <w:r w:rsidRPr="00941F74">
        <w:rPr>
          <w:rFonts w:cstheme="minorHAnsi"/>
          <w:lang w:val="en-GB"/>
        </w:rPr>
        <w:t xml:space="preserve">consistent with the working hypotheses of the LRA algorithms, considering that the atmospheric dispersion of pollen follows a Gaussian distribution </w:t>
      </w:r>
      <w:r w:rsidRPr="00941F74">
        <w:rPr>
          <w:rFonts w:cstheme="minorHAnsi"/>
          <w:lang w:val="en-GB"/>
        </w:rPr>
        <w:fldChar w:fldCharType="begin" w:fldLock="1"/>
      </w:r>
      <w:r w:rsidR="003B1EC2">
        <w:rPr>
          <w:rFonts w:cstheme="minorHAnsi"/>
          <w:lang w:val="en-GB"/>
        </w:rPr>
        <w:instrText xml:space="preserve"> ADDIN ZOTERO_ITEM CSL_CITATION {"citationID":"uvFoJ0uM","properties":{"formattedCitation":"(Prentice, 1985; Sugita, 2007b, 1994, 1993)","plainCitation":"(Prentice, 1985; Sugita, 2007b, 1994, 1993)","noteIndex":0},"citationItems":[{"id":81,"uris":["http://www.mendeley.com/documents/?uuid=74df980b-d0f7-4e74-a7c4-826b39363b1a","http://zotero.org/users/10290022/items/BD7HZZA9"],"itemData":{"id":81,"type":"article-journal","abstract":"The concepts of pollen source area and of production and dispersal biases in pollen representation are quantified by means of a simple theoretical model. Source areas and relative pollen representation are shown to depend on basin size according to functions that describe the amount of pollen remaining airborne at increasing distances from single pollen sources. The form of these functions is determined by physical processes. Standard formulas for elevated sources do not apply, but the integrated form of Sutton's equation for particle dispersal from a ground-level source gives useful approximations applicable to pollen transport over a forest canopy. Simulations using this equation yielded source areas that increased realistically with basin size, showed substantial differences between source areas for pollen grains with different deposition velocities, and predicted that lighter pollen grains should become better represented with increasing basin size. All of these predictions are qualitatively consistent with present knowledge of the characteristics of pollen assemblages in different depositional environments. The model further allows parameters that can be estimated by statistical calibration methods to be predicted from underlying physical quantities. This extension suggests procedures for testing the theory with quantitative data on surface pollen and forest composition. Preliminary results showed reasonable agreement between estimated and predicted values of dispersal indices for the most abundant taxa in pollen spectra from the northern midwestern United States. ?? 1985.","container-title":"Quaternary Research","DOI":"10.1016/0033-5894(85)90073-0","ISSN":"10960287","issue":"1","note":"ISBN: 0033-5894","page":"76-86","title":"Pollen representation, source area, and basin size: Toward a unified theory of pollen analysis","volume":"23","author":[{"family":"Prentice","given":"I Colin"}],"issued":{"date-parts":[["1985"]]}}},{"id":85,"uris":["http://www.mendeley.com/documents/?uuid=8b596148-1b89-4a3c-8f4d-e9372e69ee03","http://zotero.org/users/10290022/items/VI6NF8ZC"],"itemData":{"id":85,"type":"article-journal","abstract":"A model of pollen deposition on the surface of an entire basin is developed to estimate pollen source area, and results are compared with those for a point at the center of a basin (I. C. Prentice, 1985, Quaternary Research 23, 76-86; 1988, \"Vegetation History,\" (pp. 17-42, Kluwer Academic). This model is more appropriate for approximating the source area of pollen in lake sediment, since mixing in lake water and focusing of sediment redistribute pollen originally deposited over the entire surface. In general, the pollen source radius for the entire basin surface is 10-30% smaller than the source radius for a point at the center; the difference in the source radius is more profound for heavier pollen types such as spruce and sugar maple than for lighter types such as oak and ragweed. The average pollen input to the entire surface is more strongly influenced by nearby pollen sources than pollen deposition at the center. The pollen record from a lake may therefore provide different spatial resolution than the record from a bog of similar radius.","container-title":"Quaternary Research","DOI":"10.1016/0034-6667(94)90034-5","ISSN":"00346667","note":"ISBN: 0033-5894","page":"239-244","title":"A model of pollen source area for an entire basin","volume":"39","author":[{"family":"Sugita","given":"Shinya"}],"issued":{"date-parts":[["1993"]]}}},{"id":2588,"uris":["http://www.mendeley.com/documents/?uuid=8ada31f7-fed3-44c6-85ff-c082fcf249c4","http://zotero.org/users/10290022/items/B2PFFB4K"],"itemData":{"id":2588,"type":"article-journal","container-title":"Journal of Ecology","DOI":"10.2307/2261452","ISSN":"00220477","issue":"4","page":"881-897","title":"Pollen representation of vegetation in quaternary sediments: Theory and method in patchy vegetation","URL":"http://www.jstor.org/stable/2261452?origin=crossref","volume":"82","author":[{"family":"Sugita","given":"Shinya"}],"accessed":{"date-parts":[["2018",2,2]]},"issued":{"date-parts":[["1994",12]]}}},{"id":2449,"uris":["http://www.mendeley.com/documents/?uuid=7639867d-dd42-4f40-a31d-23169d3bfea6","http://zotero.org/users/10290022/items/PIKT3FP4"],"itemData":{"id":2449,"type":"article-journal","abstract":"This paper describes the LOVE (LOcal Vegetation Estimates) model for estimating local vegetation composition within the relevant source area of pollen. This model quantifies and then subtracts background pollen tie, pollen coming from beyond the relevant source area) in order to arrive at a quantitative reconstruction of local vegetation. Parameters required for LOVE applications are pollen counts from target sites, the relevant source area of pollen of these sites, pollen productivity estimates and regional vegetation composition within 10(4)-10(5) km(2). Regional vegetation composition is obtained using fossil pollen from large sites (&gt;= 10(2) ha) with the REVEALS (Regional Estimates of VEgetation Abundance from Large Sites) model, the first step of the Landscape Reconstruction Algorithm (LRA) specifically designed for LOVE applications. POLLSCAPE simulations demonstrate that (1) regional vegetation composition can be used to predict background pollen at and beyond the relevant source area of pollen for given-sized basins, (2) LOVE with the LRA framework provides a robust and accurate estimate of local vegetation composition much better than vegetation reconstruction using pollen percentages alone and (3) although the relevant source area of pollen is difficult to estimate particularly in past landscapes, a proposed method using backward modelling of LOVE is effective to estimate the relevant source area in landscapes of unknown vegetation patchiness and heterogeneity. Thus, the LRA will also be useful to estimate indirectly changes in spatial structure of past vegetation and landscape caused by natural and anthropogenic forcing.","container-title":"Holocene","DOI":"10.1177/0959683607075838","ISSN":"09596836","issue":"2","note":"ISBN: 0959-6836","page":"243-257","title":"Theory of quantitative reconstruction of vegetation II: All you need is LOVE","URL":"http://journals.sagepub.com/doi/10.1177/0959683607075838","volume":"17","author":[{"family":"Sugita","given":"Shinya"}],"issued":{"date-parts":[["2007"]]}}}],"schema":"https://github.com/citation-style-language/schema/raw/master/csl-citation.json"} </w:instrText>
      </w:r>
      <w:r w:rsidRPr="00941F74">
        <w:rPr>
          <w:rFonts w:cstheme="minorHAnsi"/>
          <w:lang w:val="en-GB"/>
        </w:rPr>
        <w:fldChar w:fldCharType="separate"/>
      </w:r>
      <w:r w:rsidR="003B1EC2" w:rsidRPr="003B1EC2">
        <w:rPr>
          <w:rFonts w:ascii="Calibri" w:hAnsi="Calibri" w:cs="Calibri"/>
          <w:lang w:val="en-US"/>
        </w:rPr>
        <w:t>(Prentice, 1985; Sugita, 2007b, 1994, 1993)</w:t>
      </w:r>
      <w:r w:rsidRPr="00941F74">
        <w:rPr>
          <w:rFonts w:cstheme="minorHAnsi"/>
          <w:lang w:val="en-GB"/>
        </w:rPr>
        <w:fldChar w:fldCharType="end"/>
      </w:r>
      <w:r w:rsidRPr="00941F74">
        <w:rPr>
          <w:rFonts w:cstheme="minorHAnsi"/>
          <w:lang w:val="en-GB"/>
        </w:rPr>
        <w:t xml:space="preserve">. Moreover, it </w:t>
      </w:r>
      <w:r w:rsidR="000803A1" w:rsidRPr="00941F74">
        <w:rPr>
          <w:rFonts w:cstheme="minorHAnsi"/>
          <w:lang w:val="en-GB"/>
        </w:rPr>
        <w:t xml:space="preserve">had </w:t>
      </w:r>
      <w:r w:rsidRPr="00941F74">
        <w:rPr>
          <w:rFonts w:cstheme="minorHAnsi"/>
          <w:lang w:val="en-GB"/>
        </w:rPr>
        <w:t>the advantage of requiring few parameters to be estimated, allowing a simple estimation of probability densities:</w:t>
      </w:r>
    </w:p>
    <w:p w14:paraId="4180311F" w14:textId="066DA3E5" w:rsidR="00C312CE" w:rsidRPr="00941F74" w:rsidRDefault="001242E5">
      <w:pPr>
        <w:spacing w:after="0" w:line="480" w:lineRule="auto"/>
        <w:rPr>
          <w:rFonts w:cstheme="minorHAnsi"/>
          <w:lang w:val="en-GB"/>
        </w:rPr>
      </w:pPr>
      <m:oMath>
        <m:sSub>
          <m:sSubPr>
            <m:ctrlPr>
              <w:rPr>
                <w:rFonts w:ascii="Cambria Math" w:hAnsi="Cambria Math" w:cstheme="minorHAnsi"/>
                <w:i/>
                <w:lang w:val="en-GB"/>
              </w:rPr>
            </m:ctrlPr>
          </m:sSubPr>
          <m:e>
            <m:sSub>
              <m:sSubPr>
                <m:ctrlPr>
                  <w:rPr>
                    <w:rFonts w:ascii="Cambria Math" w:hAnsi="Cambria Math" w:cstheme="minorHAnsi"/>
                    <w:i/>
                    <w:lang w:val="en-GB"/>
                  </w:rPr>
                </m:ctrlPr>
              </m:sSubPr>
              <m:e>
                <m:r>
                  <w:rPr>
                    <w:rFonts w:ascii="Cambria Math" w:hAnsi="Cambria Math" w:cstheme="minorHAnsi"/>
                    <w:lang w:val="en-GB"/>
                  </w:rPr>
                  <m:t>P</m:t>
                </m:r>
              </m:e>
              <m:sub>
                <m:r>
                  <w:rPr>
                    <w:rFonts w:ascii="Cambria Math" w:hAnsi="Cambria Math" w:cstheme="minorHAnsi"/>
                    <w:lang w:val="en-GB"/>
                  </w:rPr>
                  <m:t>presence</m:t>
                </m:r>
              </m:sub>
            </m:sSub>
          </m:e>
          <m:sub>
            <m:r>
              <w:rPr>
                <w:rFonts w:ascii="Cambria Math" w:hAnsi="Cambria Math" w:cstheme="minorHAnsi"/>
                <w:lang w:val="en-GB"/>
              </w:rPr>
              <m:t>i</m:t>
            </m:r>
          </m:sub>
        </m:sSub>
        <m:r>
          <w:rPr>
            <w:rFonts w:ascii="Cambria Math" w:hAnsi="Cambria Math" w:cstheme="minorHAnsi"/>
            <w:lang w:val="en-GB"/>
          </w:rPr>
          <m:t>~ PDF</m:t>
        </m:r>
      </m:oMath>
      <w:r w:rsidR="0007689E" w:rsidRPr="00941F74">
        <w:rPr>
          <w:rFonts w:cstheme="minorHAnsi"/>
          <w:lang w:val="en-GB"/>
        </w:rPr>
        <w:t xml:space="preserve">, with </w:t>
      </w:r>
      <m:oMath>
        <m:r>
          <w:rPr>
            <w:rFonts w:ascii="Cambria Math" w:hAnsi="Cambria Math" w:cstheme="minorHAnsi"/>
            <w:lang w:val="en-GB"/>
          </w:rPr>
          <m:t>PDF= N(μ,∑)</m:t>
        </m:r>
      </m:oMath>
      <w:r w:rsidR="0007689E" w:rsidRPr="00941F74">
        <w:rPr>
          <w:rFonts w:cstheme="minorHAnsi"/>
          <w:lang w:val="en-GB"/>
        </w:rPr>
        <w:t xml:space="preserve"> </w:t>
      </w:r>
      <w:r w:rsidR="00C312CE" w:rsidRPr="00941F74">
        <w:rPr>
          <w:rFonts w:cstheme="minorHAnsi"/>
          <w:lang w:val="en-GB"/>
        </w:rPr>
        <w:t>(Equation 2)</w:t>
      </w:r>
    </w:p>
    <w:p w14:paraId="6DE9553D" w14:textId="00037D47" w:rsidR="00C312CE" w:rsidRPr="00941F74" w:rsidRDefault="00C312CE">
      <w:pPr>
        <w:spacing w:after="0" w:line="480" w:lineRule="auto"/>
        <w:rPr>
          <w:rFonts w:cstheme="minorHAnsi"/>
          <w:lang w:val="en-GB"/>
        </w:rPr>
      </w:pPr>
      <w:r w:rsidRPr="00941F74">
        <w:rPr>
          <w:rFonts w:cstheme="minorHAnsi"/>
          <w:lang w:val="en-GB"/>
        </w:rPr>
        <w:t xml:space="preserve">where </w:t>
      </w:r>
      <m:oMath>
        <m:r>
          <w:rPr>
            <w:rFonts w:ascii="Cambria Math" w:hAnsi="Cambria Math" w:cstheme="minorHAnsi"/>
            <w:lang w:val="en-GB"/>
          </w:rPr>
          <m:t>μ=</m:t>
        </m:r>
        <m:d>
          <m:dPr>
            <m:begChr m:val="["/>
            <m:endChr m:val="]"/>
            <m:ctrlPr>
              <w:rPr>
                <w:rFonts w:ascii="Cambria Math" w:hAnsi="Cambria Math" w:cstheme="minorHAnsi"/>
                <w:i/>
                <w:lang w:val="en-GB"/>
              </w:rPr>
            </m:ctrlPr>
          </m:dPr>
          <m:e>
            <m:sSub>
              <m:sSubPr>
                <m:ctrlPr>
                  <w:rPr>
                    <w:rFonts w:ascii="Cambria Math" w:hAnsi="Cambria Math" w:cstheme="minorHAnsi"/>
                    <w:i/>
                    <w:lang w:val="en-GB"/>
                  </w:rPr>
                </m:ctrlPr>
              </m:sSubPr>
              <m:e>
                <m:r>
                  <w:rPr>
                    <w:rFonts w:ascii="Cambria Math" w:hAnsi="Cambria Math" w:cstheme="minorHAnsi"/>
                    <w:lang w:val="en-GB"/>
                  </w:rPr>
                  <m:t>μ</m:t>
                </m:r>
              </m:e>
              <m:sub>
                <m:r>
                  <w:rPr>
                    <w:rFonts w:ascii="Cambria Math" w:hAnsi="Cambria Math" w:cstheme="minorHAnsi"/>
                    <w:lang w:val="en-GB"/>
                  </w:rPr>
                  <m:t>x</m:t>
                </m:r>
              </m:sub>
            </m:sSub>
            <m:r>
              <w:rPr>
                <w:rFonts w:ascii="Cambria Math" w:hAnsi="Cambria Math" w:cstheme="minorHAnsi"/>
                <w:lang w:val="en-GB"/>
              </w:rPr>
              <m:t>,</m:t>
            </m:r>
            <m:sSub>
              <m:sSubPr>
                <m:ctrlPr>
                  <w:rPr>
                    <w:rFonts w:ascii="Cambria Math" w:hAnsi="Cambria Math" w:cstheme="minorHAnsi"/>
                    <w:i/>
                    <w:lang w:val="en-GB"/>
                  </w:rPr>
                </m:ctrlPr>
              </m:sSubPr>
              <m:e>
                <m:r>
                  <w:rPr>
                    <w:rFonts w:ascii="Cambria Math" w:hAnsi="Cambria Math" w:cstheme="minorHAnsi"/>
                    <w:lang w:val="en-GB"/>
                  </w:rPr>
                  <m:t>μ</m:t>
                </m:r>
              </m:e>
              <m:sub>
                <m:r>
                  <w:rPr>
                    <w:rFonts w:ascii="Cambria Math" w:hAnsi="Cambria Math" w:cstheme="minorHAnsi"/>
                    <w:lang w:val="en-GB"/>
                  </w:rPr>
                  <m:t>y</m:t>
                </m:r>
              </m:sub>
            </m:sSub>
          </m:e>
        </m:d>
      </m:oMath>
      <w:r w:rsidRPr="00941F74">
        <w:rPr>
          <w:rFonts w:cstheme="minorHAnsi"/>
          <w:lang w:val="en-GB"/>
        </w:rPr>
        <w:t xml:space="preserve"> and </w:t>
      </w:r>
      <m:oMath>
        <m:sSub>
          <m:sSubPr>
            <m:ctrlPr>
              <w:rPr>
                <w:rFonts w:ascii="Cambria Math" w:hAnsi="Cambria Math" w:cstheme="minorHAnsi"/>
                <w:i/>
                <w:lang w:val="en-GB"/>
              </w:rPr>
            </m:ctrlPr>
          </m:sSubPr>
          <m:e>
            <m:r>
              <w:rPr>
                <w:rFonts w:ascii="Cambria Math" w:hAnsi="Cambria Math" w:cstheme="minorHAnsi"/>
                <w:lang w:val="en-GB"/>
              </w:rPr>
              <m:t>μ</m:t>
            </m:r>
          </m:e>
          <m:sub>
            <m:r>
              <w:rPr>
                <w:rFonts w:ascii="Cambria Math" w:hAnsi="Cambria Math" w:cstheme="minorHAnsi"/>
                <w:lang w:val="en-GB"/>
              </w:rPr>
              <m:t>x</m:t>
            </m:r>
          </m:sub>
        </m:sSub>
      </m:oMath>
      <w:r w:rsidRPr="00941F74">
        <w:rPr>
          <w:rFonts w:cstheme="minorHAnsi"/>
          <w:lang w:val="en-GB"/>
        </w:rPr>
        <w:t xml:space="preserve"> and </w:t>
      </w:r>
      <m:oMath>
        <m:sSub>
          <m:sSubPr>
            <m:ctrlPr>
              <w:rPr>
                <w:rFonts w:ascii="Cambria Math" w:hAnsi="Cambria Math" w:cstheme="minorHAnsi"/>
                <w:i/>
                <w:lang w:val="en-GB"/>
              </w:rPr>
            </m:ctrlPr>
          </m:sSubPr>
          <m:e>
            <m:r>
              <w:rPr>
                <w:rFonts w:ascii="Cambria Math" w:hAnsi="Cambria Math" w:cstheme="minorHAnsi"/>
                <w:lang w:val="en-GB"/>
              </w:rPr>
              <m:t>μ</m:t>
            </m:r>
          </m:e>
          <m:sub>
            <m:r>
              <w:rPr>
                <w:rFonts w:ascii="Cambria Math" w:hAnsi="Cambria Math" w:cstheme="minorHAnsi"/>
                <w:lang w:val="en-GB"/>
              </w:rPr>
              <m:t>y</m:t>
            </m:r>
          </m:sub>
        </m:sSub>
      </m:oMath>
      <w:r w:rsidRPr="00941F74">
        <w:rPr>
          <w:rFonts w:cstheme="minorHAnsi"/>
          <w:lang w:val="en-GB"/>
        </w:rPr>
        <w:t xml:space="preserve"> correspond to the longitude and latitude of the site respectively, and where </w:t>
      </w:r>
      <m:oMath>
        <m:nary>
          <m:naryPr>
            <m:chr m:val="∑"/>
            <m:subHide m:val="1"/>
            <m:supHide m:val="1"/>
            <m:ctrlPr>
              <w:rPr>
                <w:rFonts w:ascii="Cambria Math" w:hAnsi="Cambria Math" w:cstheme="minorHAnsi"/>
                <w:i/>
                <w:lang w:val="en-GB"/>
              </w:rPr>
            </m:ctrlPr>
          </m:naryPr>
          <m:sub/>
          <m:sup/>
          <m:e>
            <m:r>
              <w:rPr>
                <w:rFonts w:ascii="Cambria Math" w:hAnsi="Cambria Math" w:cstheme="minorHAnsi"/>
                <w:lang w:val="en-GB"/>
              </w:rPr>
              <m:t>=</m:t>
            </m:r>
          </m:e>
        </m:nary>
        <m:d>
          <m:dPr>
            <m:ctrlPr>
              <w:rPr>
                <w:rFonts w:ascii="Cambria Math" w:hAnsi="Cambria Math" w:cstheme="minorHAnsi"/>
                <w:i/>
                <w:lang w:val="en-GB"/>
              </w:rPr>
            </m:ctrlPr>
          </m:dPr>
          <m:e>
            <m:m>
              <m:mPr>
                <m:mcs>
                  <m:mc>
                    <m:mcPr>
                      <m:count m:val="2"/>
                      <m:mcJc m:val="center"/>
                    </m:mcPr>
                  </m:mc>
                </m:mcs>
                <m:ctrlPr>
                  <w:rPr>
                    <w:rFonts w:ascii="Cambria Math" w:hAnsi="Cambria Math" w:cstheme="minorHAnsi"/>
                    <w:i/>
                    <w:lang w:val="en-GB"/>
                  </w:rPr>
                </m:ctrlPr>
              </m:mPr>
              <m:mr>
                <m:e>
                  <m:sSub>
                    <m:sSubPr>
                      <m:ctrlPr>
                        <w:rPr>
                          <w:rFonts w:ascii="Cambria Math" w:hAnsi="Cambria Math" w:cstheme="minorHAnsi"/>
                          <w:i/>
                          <w:lang w:val="en-GB"/>
                        </w:rPr>
                      </m:ctrlPr>
                    </m:sSubPr>
                    <m:e>
                      <m:r>
                        <w:rPr>
                          <w:rFonts w:ascii="Cambria Math" w:hAnsi="Cambria Math" w:cstheme="minorHAnsi"/>
                          <w:lang w:val="en-GB"/>
                        </w:rPr>
                        <m:t>σ</m:t>
                      </m:r>
                    </m:e>
                    <m:sub>
                      <m:r>
                        <w:rPr>
                          <w:rFonts w:ascii="Cambria Math" w:hAnsi="Cambria Math" w:cstheme="minorHAnsi"/>
                          <w:lang w:val="en-GB"/>
                        </w:rPr>
                        <m:t>x</m:t>
                      </m:r>
                    </m:sub>
                  </m:sSub>
                </m:e>
                <m:e>
                  <m:sSub>
                    <m:sSubPr>
                      <m:ctrlPr>
                        <w:rPr>
                          <w:rFonts w:ascii="Cambria Math" w:hAnsi="Cambria Math" w:cstheme="minorHAnsi"/>
                          <w:i/>
                          <w:lang w:val="en-GB"/>
                        </w:rPr>
                      </m:ctrlPr>
                    </m:sSubPr>
                    <m:e>
                      <m:r>
                        <w:rPr>
                          <w:rFonts w:ascii="Cambria Math" w:hAnsi="Cambria Math" w:cstheme="minorHAnsi"/>
                          <w:lang w:val="en-GB"/>
                        </w:rPr>
                        <m:t>ρ</m:t>
                      </m:r>
                    </m:e>
                    <m:sub>
                      <m:r>
                        <w:rPr>
                          <w:rFonts w:ascii="Cambria Math" w:hAnsi="Cambria Math" w:cstheme="minorHAnsi"/>
                          <w:lang w:val="en-GB"/>
                        </w:rPr>
                        <m:t>xy</m:t>
                      </m:r>
                    </m:sub>
                  </m:sSub>
                </m:e>
              </m:mr>
              <m:mr>
                <m:e>
                  <m:sSub>
                    <m:sSubPr>
                      <m:ctrlPr>
                        <w:rPr>
                          <w:rFonts w:ascii="Cambria Math" w:hAnsi="Cambria Math" w:cstheme="minorHAnsi"/>
                          <w:i/>
                          <w:lang w:val="en-GB"/>
                        </w:rPr>
                      </m:ctrlPr>
                    </m:sSubPr>
                    <m:e>
                      <m:r>
                        <w:rPr>
                          <w:rFonts w:ascii="Cambria Math" w:hAnsi="Cambria Math" w:cstheme="minorHAnsi"/>
                          <w:lang w:val="en-GB"/>
                        </w:rPr>
                        <m:t>ρ</m:t>
                      </m:r>
                    </m:e>
                    <m:sub>
                      <m:r>
                        <w:rPr>
                          <w:rFonts w:ascii="Cambria Math" w:hAnsi="Cambria Math" w:cstheme="minorHAnsi"/>
                          <w:lang w:val="en-GB"/>
                        </w:rPr>
                        <m:t>yx</m:t>
                      </m:r>
                    </m:sub>
                  </m:sSub>
                </m:e>
                <m:e>
                  <m:sSub>
                    <m:sSubPr>
                      <m:ctrlPr>
                        <w:rPr>
                          <w:rFonts w:ascii="Cambria Math" w:hAnsi="Cambria Math" w:cstheme="minorHAnsi"/>
                          <w:i/>
                          <w:lang w:val="en-GB"/>
                        </w:rPr>
                      </m:ctrlPr>
                    </m:sSubPr>
                    <m:e>
                      <m:r>
                        <w:rPr>
                          <w:rFonts w:ascii="Cambria Math" w:hAnsi="Cambria Math" w:cstheme="minorHAnsi"/>
                          <w:lang w:val="en-GB"/>
                        </w:rPr>
                        <m:t>σ</m:t>
                      </m:r>
                    </m:e>
                    <m:sub>
                      <m:r>
                        <w:rPr>
                          <w:rFonts w:ascii="Cambria Math" w:hAnsi="Cambria Math" w:cstheme="minorHAnsi"/>
                          <w:lang w:val="en-GB"/>
                        </w:rPr>
                        <m:t>y</m:t>
                      </m:r>
                    </m:sub>
                  </m:sSub>
                </m:e>
              </m:mr>
            </m:m>
          </m:e>
        </m:d>
        <m:r>
          <w:rPr>
            <w:rFonts w:ascii="Cambria Math" w:hAnsi="Cambria Math" w:cstheme="minorHAnsi"/>
            <w:lang w:val="en-GB"/>
          </w:rPr>
          <m:t>=</m:t>
        </m:r>
        <m:d>
          <m:dPr>
            <m:ctrlPr>
              <w:rPr>
                <w:rFonts w:ascii="Cambria Math" w:hAnsi="Cambria Math" w:cstheme="minorHAnsi"/>
                <w:i/>
                <w:lang w:val="en-GB"/>
              </w:rPr>
            </m:ctrlPr>
          </m:dPr>
          <m:e>
            <m:m>
              <m:mPr>
                <m:mcs>
                  <m:mc>
                    <m:mcPr>
                      <m:count m:val="2"/>
                      <m:mcJc m:val="center"/>
                    </m:mcPr>
                  </m:mc>
                </m:mcs>
                <m:ctrlPr>
                  <w:rPr>
                    <w:rFonts w:ascii="Cambria Math" w:hAnsi="Cambria Math" w:cstheme="minorHAnsi"/>
                    <w:i/>
                    <w:lang w:val="en-GB"/>
                  </w:rPr>
                </m:ctrlPr>
              </m:mPr>
              <m:mr>
                <m:e>
                  <m:r>
                    <w:rPr>
                      <w:rFonts w:ascii="Cambria Math" w:hAnsi="Cambria Math" w:cstheme="minorHAnsi"/>
                      <w:lang w:val="en-GB"/>
                    </w:rPr>
                    <m:t>σ</m:t>
                  </m:r>
                </m:e>
                <m:e>
                  <m:r>
                    <w:rPr>
                      <w:rFonts w:ascii="Cambria Math" w:hAnsi="Cambria Math" w:cstheme="minorHAnsi"/>
                      <w:lang w:val="en-GB"/>
                    </w:rPr>
                    <m:t>0</m:t>
                  </m:r>
                </m:e>
              </m:mr>
              <m:mr>
                <m:e>
                  <m:r>
                    <w:rPr>
                      <w:rFonts w:ascii="Cambria Math" w:hAnsi="Cambria Math" w:cstheme="minorHAnsi"/>
                      <w:lang w:val="en-GB"/>
                    </w:rPr>
                    <m:t>0</m:t>
                  </m:r>
                </m:e>
                <m:e>
                  <m:r>
                    <w:rPr>
                      <w:rFonts w:ascii="Cambria Math" w:hAnsi="Cambria Math" w:cstheme="minorHAnsi"/>
                      <w:lang w:val="en-GB"/>
                    </w:rPr>
                    <m:t>σ</m:t>
                  </m:r>
                </m:e>
              </m:mr>
            </m:m>
          </m:e>
        </m:d>
      </m:oMath>
      <w:r w:rsidR="000E3F34" w:rsidRPr="00941F74">
        <w:rPr>
          <w:rFonts w:cstheme="minorHAnsi"/>
          <w:lang w:val="en-GB"/>
        </w:rPr>
        <w:t xml:space="preserve"> </w:t>
      </w:r>
      <w:r w:rsidRPr="00941F74">
        <w:rPr>
          <w:rFonts w:cstheme="minorHAnsi"/>
          <w:lang w:val="en-GB"/>
        </w:rPr>
        <w:t>the variance-covariance</w:t>
      </w:r>
      <w:r w:rsidR="0007689E" w:rsidRPr="00941F74">
        <w:rPr>
          <w:rFonts w:cstheme="minorHAnsi"/>
          <w:lang w:val="en-GB"/>
        </w:rPr>
        <w:t xml:space="preserve"> </w:t>
      </w:r>
      <w:r w:rsidRPr="00941F74">
        <w:rPr>
          <w:rFonts w:cstheme="minorHAnsi"/>
          <w:lang w:val="en-GB"/>
        </w:rPr>
        <w:t>matrix</w:t>
      </w:r>
      <w:r w:rsidR="0007689E" w:rsidRPr="00941F74">
        <w:rPr>
          <w:rFonts w:cstheme="minorHAnsi"/>
          <w:lang w:val="en-GB"/>
        </w:rPr>
        <w:t>, assuming directional independence</w:t>
      </w:r>
      <w:r w:rsidR="000E3F34" w:rsidRPr="00941F74">
        <w:rPr>
          <w:rFonts w:cstheme="minorHAnsi"/>
          <w:lang w:val="en-GB"/>
        </w:rPr>
        <w:t xml:space="preserve"> </w:t>
      </w:r>
      <w:r w:rsidR="0007689E" w:rsidRPr="00941F74">
        <w:rPr>
          <w:rFonts w:cstheme="minorHAnsi"/>
          <w:lang w:val="en-GB"/>
        </w:rPr>
        <w:t>and considering a reasonable isotropic bivariate normal distribution</w:t>
      </w:r>
      <w:r w:rsidR="000E3F34" w:rsidRPr="00941F74">
        <w:rPr>
          <w:rFonts w:cstheme="minorHAnsi"/>
          <w:lang w:val="en-GB"/>
        </w:rPr>
        <w:t xml:space="preserve">. The standard deviation </w:t>
      </w:r>
      <m:oMath>
        <m:r>
          <w:rPr>
            <w:rFonts w:ascii="Cambria Math" w:hAnsi="Cambria Math" w:cstheme="minorHAnsi"/>
            <w:lang w:val="en-GB"/>
          </w:rPr>
          <m:t>σ</m:t>
        </m:r>
      </m:oMath>
      <w:r w:rsidR="000E3F34" w:rsidRPr="00941F74">
        <w:rPr>
          <w:rFonts w:cstheme="minorHAnsi"/>
          <w:lang w:val="en-GB"/>
        </w:rPr>
        <w:t xml:space="preserve">  of the PDF around </w:t>
      </w:r>
      <m:oMath>
        <m:sSub>
          <m:sSubPr>
            <m:ctrlPr>
              <w:rPr>
                <w:rFonts w:ascii="Cambria Math" w:hAnsi="Cambria Math" w:cstheme="minorHAnsi"/>
                <w:i/>
                <w:lang w:val="en-GB"/>
              </w:rPr>
            </m:ctrlPr>
          </m:sSubPr>
          <m:e>
            <m:r>
              <w:rPr>
                <w:rFonts w:ascii="Cambria Math" w:hAnsi="Cambria Math" w:cstheme="minorHAnsi"/>
                <w:lang w:val="en-GB"/>
              </w:rPr>
              <m:t>μ</m:t>
            </m:r>
          </m:e>
          <m:sub>
            <m:r>
              <w:rPr>
                <w:rFonts w:ascii="Cambria Math" w:hAnsi="Cambria Math" w:cstheme="minorHAnsi"/>
                <w:lang w:val="en-GB"/>
              </w:rPr>
              <m:t>x</m:t>
            </m:r>
          </m:sub>
        </m:sSub>
      </m:oMath>
      <w:r w:rsidR="000E3F34" w:rsidRPr="00941F74">
        <w:rPr>
          <w:rFonts w:cstheme="minorHAnsi"/>
          <w:lang w:val="en-GB"/>
        </w:rPr>
        <w:t xml:space="preserve"> and </w:t>
      </w:r>
      <m:oMath>
        <m:sSub>
          <m:sSubPr>
            <m:ctrlPr>
              <w:rPr>
                <w:rFonts w:ascii="Cambria Math" w:hAnsi="Cambria Math" w:cstheme="minorHAnsi"/>
                <w:i/>
                <w:lang w:val="en-GB"/>
              </w:rPr>
            </m:ctrlPr>
          </m:sSubPr>
          <m:e>
            <m:r>
              <w:rPr>
                <w:rFonts w:ascii="Cambria Math" w:hAnsi="Cambria Math" w:cstheme="minorHAnsi"/>
                <w:lang w:val="en-GB"/>
              </w:rPr>
              <m:t>μ</m:t>
            </m:r>
          </m:e>
          <m:sub>
            <m:r>
              <w:rPr>
                <w:rFonts w:ascii="Cambria Math" w:hAnsi="Cambria Math" w:cstheme="minorHAnsi"/>
                <w:lang w:val="en-GB"/>
              </w:rPr>
              <m:t>y</m:t>
            </m:r>
          </m:sub>
        </m:sSub>
      </m:oMath>
      <w:r w:rsidRPr="00941F74">
        <w:rPr>
          <w:rFonts w:cstheme="minorHAnsi"/>
          <w:lang w:val="en-GB"/>
        </w:rPr>
        <w:t xml:space="preserve"> is </w:t>
      </w:r>
      <w:r w:rsidR="00122811" w:rsidRPr="00941F74">
        <w:rPr>
          <w:rFonts w:cstheme="minorHAnsi"/>
          <w:lang w:val="en-GB"/>
        </w:rPr>
        <w:t>linked</w:t>
      </w:r>
      <w:r w:rsidRPr="00941F74">
        <w:rPr>
          <w:rFonts w:cstheme="minorHAnsi"/>
          <w:lang w:val="en-GB"/>
        </w:rPr>
        <w:t xml:space="preserve"> with the 1km radius of the Relevant Source Area of Pollen (RSAP; </w:t>
      </w:r>
      <w:r w:rsidR="00FD5277" w:rsidRPr="00941F74">
        <w:rPr>
          <w:rFonts w:cstheme="minorHAnsi"/>
          <w:lang w:val="en-GB"/>
        </w:rPr>
        <w:fldChar w:fldCharType="begin"/>
      </w:r>
      <w:r w:rsidR="000E0FBE">
        <w:rPr>
          <w:rFonts w:cstheme="minorHAnsi"/>
          <w:lang w:val="en-GB"/>
        </w:rPr>
        <w:instrText xml:space="preserve"> ADDIN ZOTERO_ITEM CSL_CITATION {"citationID":"AvlSlZit","properties":{"formattedCitation":"(Sugita, 1994)","plainCitation":"(Sugita, 1994)","dontUpdate":true,"noteIndex":0},"citationItems":[{"id":2588,"uris":["http://www.mendeley.com/documents/?uuid=8ada31f7-fed3-44c6-85ff-c082fcf249c4","http://zotero.org/users/10290022/items/B2PFFB4K"],"itemData":{"id":2588,"type":"article-journal","container-title":"Journal of Ecology","DOI":"10.2307/2261452","ISSN":"00220477","issue":"4","page":"881-897","title":"Pollen representation of vegetation in quaternary sediments: Theory and method in patchy vegetation","URL":"http://www.jstor.org/stable/2261452?origin=crossref","volume":"82","author":[{"family":"Sugita","given":"Shinya"}],"accessed":{"date-parts":[["2018",2,2]]},"issued":{"date-parts":[["1994",12]]}}}],"schema":"https://github.com/citation-style-language/schema/raw/master/csl-citation.json"} </w:instrText>
      </w:r>
      <w:r w:rsidR="00FD5277" w:rsidRPr="00941F74">
        <w:rPr>
          <w:rFonts w:cstheme="minorHAnsi"/>
          <w:lang w:val="en-GB"/>
        </w:rPr>
        <w:fldChar w:fldCharType="separate"/>
      </w:r>
      <w:r w:rsidR="00FD5277" w:rsidRPr="00941F74">
        <w:rPr>
          <w:rFonts w:ascii="Calibri" w:hAnsi="Calibri" w:cs="Calibri"/>
          <w:lang w:val="en-US"/>
        </w:rPr>
        <w:t>Sugita, 1994)</w:t>
      </w:r>
      <w:r w:rsidR="00FD5277" w:rsidRPr="00941F74">
        <w:rPr>
          <w:rFonts w:cstheme="minorHAnsi"/>
          <w:lang w:val="en-GB"/>
        </w:rPr>
        <w:fldChar w:fldCharType="end"/>
      </w:r>
      <w:r w:rsidRPr="00941F74">
        <w:rPr>
          <w:rFonts w:cstheme="minorHAnsi"/>
          <w:lang w:val="en-GB"/>
        </w:rPr>
        <w:t xml:space="preserve">, assumed to be constant over time </w:t>
      </w:r>
      <w:r w:rsidR="00FD5277" w:rsidRPr="00941F74">
        <w:rPr>
          <w:rFonts w:cstheme="minorHAnsi"/>
          <w:lang w:val="en-GB"/>
        </w:rPr>
        <w:fldChar w:fldCharType="begin"/>
      </w:r>
      <w:r w:rsidR="003B1EC2">
        <w:rPr>
          <w:rFonts w:cstheme="minorHAnsi"/>
          <w:lang w:val="en-GB"/>
        </w:rPr>
        <w:instrText xml:space="preserve"> ADDIN ZOTERO_ITEM CSL_CITATION {"citationID":"3D0h7z2m","properties":{"formattedCitation":"(Plancher et al., 2022)","plainCitation":"(Plancher et al., 2022)","noteIndex":0},"citationItems":[{"id":3227,"uris":["http://zotero.org/users/10290022/items/T4Q5CY5M"],"itemData":{"id":3227,"type":"article-journal","container-title":"Quaternary Science Reviews","DOI":"https://doi.org/10.1016/j.quascirev.2022.107753","page":"107753","title":"Spatial and temporal patterns of upland vegetation over the last 200 years in the northern pyrenees: Example from the Bassiès valley, Ariège, France","volume":"294","author":[{"family":"Plancher","given":"Clara"},{"family":"Galop","given":"Didier"},{"family":"Houet","given":"Thomas"},{"family":"Lerigoleur","given":"Emile"},{"family":"Marquer","given":"Laurent"},{"family":"Sugita","given":"Shinya"},{"family":"Mazier","given":"Florence"}],"issued":{"date-parts":[["2022"]]}}}],"schema":"https://github.com/citation-style-language/schema/raw/master/csl-citation.json"} </w:instrText>
      </w:r>
      <w:r w:rsidR="00FD5277" w:rsidRPr="00941F74">
        <w:rPr>
          <w:rFonts w:cstheme="minorHAnsi"/>
          <w:lang w:val="en-GB"/>
        </w:rPr>
        <w:fldChar w:fldCharType="separate"/>
      </w:r>
      <w:r w:rsidR="003B1EC2" w:rsidRPr="003B1EC2">
        <w:rPr>
          <w:rFonts w:ascii="Calibri" w:hAnsi="Calibri" w:cs="Calibri"/>
          <w:lang w:val="en-US"/>
        </w:rPr>
        <w:t>(Plancher et al., 2022)</w:t>
      </w:r>
      <w:r w:rsidR="00FD5277" w:rsidRPr="00941F74">
        <w:rPr>
          <w:rFonts w:cstheme="minorHAnsi"/>
          <w:lang w:val="en-GB"/>
        </w:rPr>
        <w:fldChar w:fldCharType="end"/>
      </w:r>
      <w:r w:rsidRPr="00941F74">
        <w:rPr>
          <w:rFonts w:cstheme="minorHAnsi"/>
          <w:lang w:val="en-GB"/>
        </w:rPr>
        <w:t xml:space="preserve">. As the LRA algorithm does not provide a measure of uncertainty for RSAP </w:t>
      </w:r>
      <w:r w:rsidRPr="00941F74">
        <w:rPr>
          <w:rFonts w:cstheme="minorHAnsi"/>
          <w:lang w:val="en-GB"/>
        </w:rPr>
        <w:fldChar w:fldCharType="begin" w:fldLock="1"/>
      </w:r>
      <w:r w:rsidR="003B1EC2">
        <w:rPr>
          <w:rFonts w:cstheme="minorHAnsi"/>
          <w:lang w:val="en-GB"/>
        </w:rPr>
        <w:instrText xml:space="preserve"> ADDIN ZOTERO_ITEM CSL_CITATION {"citationID":"DITavm01","properties":{"formattedCitation":"(Sugita, 2007b)","plainCitation":"(Sugita, 2007b)","noteIndex":0},"citationItems":[{"id":2449,"uris":["http://www.mendeley.com/documents/?uuid=7639867d-dd42-4f40-a31d-23169d3bfea6","http://zotero.org/users/10290022/items/PIKT3FP4"],"itemData":{"id":2449,"type":"article-journal","abstract":"This paper describes the LOVE (LOcal Vegetation Estimates) model for estimating local vegetation composition within the relevant source area of pollen. This model quantifies and then subtracts background pollen tie, pollen coming from beyond the relevant source area) in order to arrive at a quantitative reconstruction of local vegetation. Parameters required for LOVE applications are pollen counts from target sites, the relevant source area of pollen of these sites, pollen productivity estimates and regional vegetation composition within 10(4)-10(5) km(2). Regional vegetation composition is obtained using fossil pollen from large sites (&gt;= 10(2) ha) with the REVEALS (Regional Estimates of VEgetation Abundance from Large Sites) model, the first step of the Landscape Reconstruction Algorithm (LRA) specifically designed for LOVE applications. POLLSCAPE simulations demonstrate that (1) regional vegetation composition can be used to predict background pollen at and beyond the relevant source area of pollen for given-sized basins, (2) LOVE with the LRA framework provides a robust and accurate estimate of local vegetation composition much better than vegetation reconstruction using pollen percentages alone and (3) although the relevant source area of pollen is difficult to estimate particularly in past landscapes, a proposed method using backward modelling of LOVE is effective to estimate the relevant source area in landscapes of unknown vegetation patchiness and heterogeneity. Thus, the LRA will also be useful to estimate indirectly changes in spatial structure of past vegetation and landscape caused by natural and anthropogenic forcing.","container-title":"Holocene","DOI":"10.1177/0959683607075838","ISSN":"09596836","issue":"2","note":"ISBN: 0959-6836","page":"243-257","title":"Theory of quantitative reconstruction of vegetation II: All you need is LOVE","URL":"http://journals.sagepub.com/doi/10.1177/0959683607075838","volume":"17","author":[{"family":"Sugita","given":"Shinya"}],"issued":{"date-parts":[["2007"]]}}}],"schema":"https://github.com/citation-style-language/schema/raw/master/csl-citation.json"} </w:instrText>
      </w:r>
      <w:r w:rsidRPr="00941F74">
        <w:rPr>
          <w:rFonts w:cstheme="minorHAnsi"/>
          <w:lang w:val="en-GB"/>
        </w:rPr>
        <w:fldChar w:fldCharType="separate"/>
      </w:r>
      <w:r w:rsidR="003B1EC2" w:rsidRPr="003B1EC2">
        <w:rPr>
          <w:rFonts w:ascii="Calibri" w:hAnsi="Calibri" w:cs="Calibri"/>
          <w:lang w:val="en-US"/>
        </w:rPr>
        <w:t>(Sugita, 2007b)</w:t>
      </w:r>
      <w:r w:rsidRPr="00941F74">
        <w:rPr>
          <w:rFonts w:cstheme="minorHAnsi"/>
          <w:lang w:val="en-GB"/>
        </w:rPr>
        <w:fldChar w:fldCharType="end"/>
      </w:r>
      <w:r w:rsidRPr="00941F74">
        <w:rPr>
          <w:rFonts w:cstheme="minorHAnsi"/>
          <w:lang w:val="en-GB"/>
        </w:rPr>
        <w:t>, it was assumed that each taxon is present within RSAP with a 99.9% probability. Then,</w:t>
      </w:r>
    </w:p>
    <w:p w14:paraId="2B780357" w14:textId="3DF6DA45" w:rsidR="00C312CE" w:rsidRPr="00941F74" w:rsidRDefault="00C312CE">
      <w:pPr>
        <w:spacing w:after="0" w:line="480" w:lineRule="auto"/>
        <w:rPr>
          <w:rFonts w:cstheme="minorHAnsi"/>
          <w:lang w:val="en-GB"/>
        </w:rPr>
      </w:pPr>
      <m:oMath>
        <m:r>
          <w:rPr>
            <w:rFonts w:ascii="Cambria Math" w:hAnsi="Cambria Math" w:cstheme="minorHAnsi"/>
            <w:lang w:val="en-GB"/>
          </w:rPr>
          <m:t>P</m:t>
        </m:r>
        <m:d>
          <m:dPr>
            <m:ctrlPr>
              <w:rPr>
                <w:rFonts w:ascii="Cambria Math" w:hAnsi="Cambria Math" w:cstheme="minorHAnsi"/>
                <w:i/>
                <w:lang w:val="en-GB"/>
              </w:rPr>
            </m:ctrlPr>
          </m:dPr>
          <m:e>
            <m:sSub>
              <m:sSubPr>
                <m:ctrlPr>
                  <w:rPr>
                    <w:rFonts w:ascii="Cambria Math" w:hAnsi="Cambria Math" w:cstheme="minorHAnsi"/>
                    <w:i/>
                    <w:lang w:val="en-GB"/>
                  </w:rPr>
                </m:ctrlPr>
              </m:sSubPr>
              <m:e>
                <m:r>
                  <w:rPr>
                    <w:rFonts w:ascii="Cambria Math" w:hAnsi="Cambria Math" w:cstheme="minorHAnsi"/>
                    <w:lang w:val="en-GB"/>
                  </w:rPr>
                  <m:t>μ</m:t>
                </m:r>
              </m:e>
              <m:sub>
                <m:r>
                  <w:rPr>
                    <w:rFonts w:ascii="Cambria Math" w:hAnsi="Cambria Math" w:cstheme="minorHAnsi"/>
                    <w:lang w:val="en-GB"/>
                  </w:rPr>
                  <m:t>*</m:t>
                </m:r>
              </m:sub>
            </m:sSub>
            <m:r>
              <w:rPr>
                <w:rFonts w:ascii="Cambria Math" w:hAnsi="Cambria Math" w:cstheme="minorHAnsi"/>
                <w:lang w:val="en-GB"/>
              </w:rPr>
              <m:t>-RSAP&lt;</m:t>
            </m:r>
            <m:sSub>
              <m:sSubPr>
                <m:ctrlPr>
                  <w:rPr>
                    <w:rFonts w:ascii="Cambria Math" w:hAnsi="Cambria Math" w:cstheme="minorHAnsi"/>
                    <w:i/>
                    <w:lang w:val="en-GB"/>
                  </w:rPr>
                </m:ctrlPr>
              </m:sSubPr>
              <m:e>
                <m:r>
                  <w:rPr>
                    <w:rFonts w:ascii="Cambria Math" w:hAnsi="Cambria Math" w:cstheme="minorHAnsi"/>
                    <w:lang w:val="en-GB"/>
                  </w:rPr>
                  <m:t>Presence</m:t>
                </m:r>
              </m:e>
              <m:sub>
                <m:r>
                  <w:rPr>
                    <w:rFonts w:ascii="Cambria Math" w:hAnsi="Cambria Math" w:cstheme="minorHAnsi"/>
                    <w:lang w:val="en-GB"/>
                  </w:rPr>
                  <m:t>i</m:t>
                </m:r>
              </m:sub>
            </m:sSub>
            <m:r>
              <w:rPr>
                <w:rFonts w:ascii="Cambria Math" w:hAnsi="Cambria Math" w:cstheme="minorHAnsi"/>
                <w:lang w:val="en-GB"/>
              </w:rPr>
              <m:t>&lt;</m:t>
            </m:r>
            <m:sSub>
              <m:sSubPr>
                <m:ctrlPr>
                  <w:rPr>
                    <w:rFonts w:ascii="Cambria Math" w:hAnsi="Cambria Math" w:cstheme="minorHAnsi"/>
                    <w:i/>
                    <w:lang w:val="en-GB"/>
                  </w:rPr>
                </m:ctrlPr>
              </m:sSubPr>
              <m:e>
                <m:r>
                  <w:rPr>
                    <w:rFonts w:ascii="Cambria Math" w:hAnsi="Cambria Math" w:cstheme="minorHAnsi"/>
                    <w:lang w:val="en-GB"/>
                  </w:rPr>
                  <m:t>μ</m:t>
                </m:r>
              </m:e>
              <m:sub>
                <m:r>
                  <w:rPr>
                    <w:rFonts w:ascii="Cambria Math" w:hAnsi="Cambria Math" w:cstheme="minorHAnsi"/>
                    <w:lang w:val="en-GB"/>
                  </w:rPr>
                  <m:t>*</m:t>
                </m:r>
              </m:sub>
            </m:sSub>
            <m:r>
              <w:rPr>
                <w:rFonts w:ascii="Cambria Math" w:hAnsi="Cambria Math" w:cstheme="minorHAnsi"/>
                <w:lang w:val="en-GB"/>
              </w:rPr>
              <m:t>+RSAP</m:t>
            </m:r>
          </m:e>
        </m:d>
        <m:r>
          <w:rPr>
            <w:rFonts w:ascii="Cambria Math" w:hAnsi="Cambria Math" w:cstheme="minorHAnsi"/>
            <w:lang w:val="en-GB"/>
          </w:rPr>
          <m:t>=0.999</m:t>
        </m:r>
      </m:oMath>
      <w:r w:rsidRPr="00941F74">
        <w:rPr>
          <w:rFonts w:cstheme="minorHAnsi"/>
          <w:lang w:val="en-GB"/>
        </w:rPr>
        <w:tab/>
        <w:t>(Equation 3)</w:t>
      </w:r>
    </w:p>
    <w:p w14:paraId="3624F5F3" w14:textId="702FCB75" w:rsidR="00C312CE" w:rsidRPr="00941F74" w:rsidRDefault="00C312CE">
      <w:pPr>
        <w:spacing w:after="0" w:line="480" w:lineRule="auto"/>
        <w:rPr>
          <w:rFonts w:cstheme="minorHAnsi"/>
          <w:lang w:val="en-GB"/>
        </w:rPr>
      </w:pPr>
      <w:r w:rsidRPr="00941F74">
        <w:rPr>
          <w:rFonts w:cstheme="minorHAnsi"/>
          <w:lang w:val="en-GB"/>
        </w:rPr>
        <w:t xml:space="preserve">where </w:t>
      </w:r>
      <m:oMath>
        <m:sSub>
          <m:sSubPr>
            <m:ctrlPr>
              <w:rPr>
                <w:rFonts w:ascii="Cambria Math" w:hAnsi="Cambria Math" w:cstheme="minorHAnsi"/>
                <w:i/>
                <w:lang w:val="en-GB"/>
              </w:rPr>
            </m:ctrlPr>
          </m:sSubPr>
          <m:e>
            <m:r>
              <w:rPr>
                <w:rFonts w:ascii="Cambria Math" w:hAnsi="Cambria Math" w:cstheme="minorHAnsi"/>
                <w:lang w:val="en-GB"/>
              </w:rPr>
              <m:t>Presence</m:t>
            </m:r>
          </m:e>
          <m:sub>
            <m:r>
              <w:rPr>
                <w:rFonts w:ascii="Cambria Math" w:hAnsi="Cambria Math" w:cstheme="minorHAnsi"/>
                <w:lang w:val="en-GB"/>
              </w:rPr>
              <m:t>i</m:t>
            </m:r>
          </m:sub>
        </m:sSub>
      </m:oMath>
      <w:r w:rsidRPr="00941F74">
        <w:rPr>
          <w:rFonts w:cstheme="minorHAnsi"/>
          <w:lang w:val="en-GB"/>
        </w:rPr>
        <w:t xml:space="preserve"> is the geographic coordinate of a pixel where taxon </w:t>
      </w:r>
      <m:oMath>
        <m:r>
          <w:rPr>
            <w:rFonts w:ascii="Cambria Math" w:hAnsi="Cambria Math" w:cstheme="minorHAnsi"/>
            <w:lang w:val="en-GB"/>
          </w:rPr>
          <m:t>i</m:t>
        </m:r>
      </m:oMath>
      <w:r w:rsidRPr="00941F74">
        <w:rPr>
          <w:rFonts w:cstheme="minorHAnsi"/>
          <w:lang w:val="en-GB"/>
        </w:rPr>
        <w:t xml:space="preserve"> presence probability is estimated. Here, </w:t>
      </w:r>
      <m:oMath>
        <m:sSub>
          <m:sSubPr>
            <m:ctrlPr>
              <w:rPr>
                <w:rFonts w:ascii="Cambria Math" w:hAnsi="Cambria Math" w:cstheme="minorHAnsi"/>
                <w:i/>
                <w:lang w:val="en-GB"/>
              </w:rPr>
            </m:ctrlPr>
          </m:sSubPr>
          <m:e>
            <m:r>
              <w:rPr>
                <w:rFonts w:ascii="Cambria Math" w:hAnsi="Cambria Math" w:cstheme="minorHAnsi"/>
                <w:lang w:val="en-GB"/>
              </w:rPr>
              <m:t>μ</m:t>
            </m:r>
          </m:e>
          <m:sub>
            <m:r>
              <w:rPr>
                <w:rFonts w:ascii="Cambria Math" w:hAnsi="Cambria Math" w:cstheme="minorHAnsi"/>
                <w:lang w:val="en-GB"/>
              </w:rPr>
              <m:t>*</m:t>
            </m:r>
          </m:sub>
        </m:sSub>
      </m:oMath>
      <w:r w:rsidRPr="00941F74">
        <w:rPr>
          <w:rFonts w:cstheme="minorHAnsi"/>
          <w:lang w:val="en-GB"/>
        </w:rPr>
        <w:t xml:space="preserve"> represents </w:t>
      </w:r>
      <m:oMath>
        <m:sSub>
          <m:sSubPr>
            <m:ctrlPr>
              <w:rPr>
                <w:rFonts w:ascii="Cambria Math" w:hAnsi="Cambria Math" w:cstheme="minorHAnsi"/>
                <w:i/>
                <w:lang w:val="en-GB"/>
              </w:rPr>
            </m:ctrlPr>
          </m:sSubPr>
          <m:e>
            <m:r>
              <w:rPr>
                <w:rFonts w:ascii="Cambria Math" w:hAnsi="Cambria Math" w:cstheme="minorHAnsi"/>
                <w:lang w:val="en-GB"/>
              </w:rPr>
              <m:t>μ</m:t>
            </m:r>
          </m:e>
          <m:sub>
            <m:r>
              <w:rPr>
                <w:rFonts w:ascii="Cambria Math" w:hAnsi="Cambria Math" w:cstheme="minorHAnsi"/>
                <w:lang w:val="en-GB"/>
              </w:rPr>
              <m:t>x</m:t>
            </m:r>
          </m:sub>
        </m:sSub>
      </m:oMath>
      <w:r w:rsidRPr="00941F74">
        <w:rPr>
          <w:rFonts w:cstheme="minorHAnsi"/>
          <w:lang w:val="en-GB"/>
        </w:rPr>
        <w:t xml:space="preserve"> or </w:t>
      </w:r>
      <m:oMath>
        <m:sSub>
          <m:sSubPr>
            <m:ctrlPr>
              <w:rPr>
                <w:rFonts w:ascii="Cambria Math" w:hAnsi="Cambria Math" w:cstheme="minorHAnsi"/>
                <w:i/>
                <w:lang w:val="en-GB"/>
              </w:rPr>
            </m:ctrlPr>
          </m:sSubPr>
          <m:e>
            <m:r>
              <w:rPr>
                <w:rFonts w:ascii="Cambria Math" w:hAnsi="Cambria Math" w:cstheme="minorHAnsi"/>
                <w:lang w:val="en-GB"/>
              </w:rPr>
              <m:t>μ</m:t>
            </m:r>
          </m:e>
          <m:sub>
            <m:r>
              <w:rPr>
                <w:rFonts w:ascii="Cambria Math" w:hAnsi="Cambria Math" w:cstheme="minorHAnsi"/>
                <w:lang w:val="en-GB"/>
              </w:rPr>
              <m:t>y</m:t>
            </m:r>
          </m:sub>
        </m:sSub>
      </m:oMath>
      <w:r w:rsidRPr="00941F74">
        <w:rPr>
          <w:rFonts w:cstheme="minorHAnsi"/>
          <w:lang w:val="en-GB"/>
        </w:rPr>
        <w:t xml:space="preserve">, as equation </w:t>
      </w:r>
      <w:r w:rsidR="00C01777" w:rsidRPr="00941F74">
        <w:rPr>
          <w:rFonts w:cstheme="minorHAnsi"/>
          <w:lang w:val="en-GB"/>
        </w:rPr>
        <w:t>3</w:t>
      </w:r>
      <w:r w:rsidRPr="00941F74">
        <w:rPr>
          <w:rFonts w:cstheme="minorHAnsi"/>
          <w:lang w:val="en-GB"/>
        </w:rPr>
        <w:t xml:space="preserve"> is valid in both directions of space. According to the tables of quantiles of the normal distribution,</w:t>
      </w:r>
    </w:p>
    <w:p w14:paraId="42FC40D8" w14:textId="7688B502" w:rsidR="00C312CE" w:rsidRPr="00941F74" w:rsidRDefault="00C312CE">
      <w:pPr>
        <w:spacing w:after="0" w:line="480" w:lineRule="auto"/>
        <w:rPr>
          <w:rFonts w:cstheme="minorHAnsi"/>
          <w:lang w:val="en-GB"/>
        </w:rPr>
      </w:pPr>
      <m:oMath>
        <m:r>
          <w:rPr>
            <w:rFonts w:ascii="Cambria Math" w:hAnsi="Cambria Math" w:cstheme="minorHAnsi"/>
            <w:lang w:val="en-GB"/>
          </w:rPr>
          <m:t>P</m:t>
        </m:r>
        <m:d>
          <m:dPr>
            <m:ctrlPr>
              <w:rPr>
                <w:rFonts w:ascii="Cambria Math" w:hAnsi="Cambria Math" w:cstheme="minorHAnsi"/>
                <w:i/>
                <w:lang w:val="en-GB"/>
              </w:rPr>
            </m:ctrlPr>
          </m:dPr>
          <m:e>
            <m:sSub>
              <m:sSubPr>
                <m:ctrlPr>
                  <w:rPr>
                    <w:rFonts w:ascii="Cambria Math" w:hAnsi="Cambria Math" w:cstheme="minorHAnsi"/>
                    <w:i/>
                    <w:lang w:val="en-GB"/>
                  </w:rPr>
                </m:ctrlPr>
              </m:sSubPr>
              <m:e>
                <m:r>
                  <w:rPr>
                    <w:rFonts w:ascii="Cambria Math" w:hAnsi="Cambria Math" w:cstheme="minorHAnsi"/>
                    <w:lang w:val="en-GB"/>
                  </w:rPr>
                  <m:t>μ</m:t>
                </m:r>
              </m:e>
              <m:sub>
                <m:r>
                  <w:rPr>
                    <w:rFonts w:ascii="Cambria Math" w:hAnsi="Cambria Math" w:cstheme="minorHAnsi"/>
                    <w:lang w:val="en-GB"/>
                  </w:rPr>
                  <m:t>*</m:t>
                </m:r>
              </m:sub>
            </m:sSub>
            <m:r>
              <w:rPr>
                <w:rFonts w:ascii="Cambria Math" w:hAnsi="Cambria Math" w:cstheme="minorHAnsi"/>
                <w:lang w:val="en-GB"/>
              </w:rPr>
              <m:t>-3.09*σ&lt;</m:t>
            </m:r>
            <m:sSub>
              <m:sSubPr>
                <m:ctrlPr>
                  <w:rPr>
                    <w:rFonts w:ascii="Cambria Math" w:hAnsi="Cambria Math" w:cstheme="minorHAnsi"/>
                    <w:i/>
                    <w:lang w:val="en-GB"/>
                  </w:rPr>
                </m:ctrlPr>
              </m:sSubPr>
              <m:e>
                <m:r>
                  <w:rPr>
                    <w:rFonts w:ascii="Cambria Math" w:hAnsi="Cambria Math" w:cstheme="minorHAnsi"/>
                    <w:lang w:val="en-GB"/>
                  </w:rPr>
                  <m:t>Presence</m:t>
                </m:r>
              </m:e>
              <m:sub>
                <m:r>
                  <w:rPr>
                    <w:rFonts w:ascii="Cambria Math" w:hAnsi="Cambria Math" w:cstheme="minorHAnsi"/>
                    <w:lang w:val="en-GB"/>
                  </w:rPr>
                  <m:t>i</m:t>
                </m:r>
              </m:sub>
            </m:sSub>
            <m:r>
              <w:rPr>
                <w:rFonts w:ascii="Cambria Math" w:hAnsi="Cambria Math" w:cstheme="minorHAnsi"/>
                <w:lang w:val="en-GB"/>
              </w:rPr>
              <m:t>&lt;</m:t>
            </m:r>
            <m:sSub>
              <m:sSubPr>
                <m:ctrlPr>
                  <w:rPr>
                    <w:rFonts w:ascii="Cambria Math" w:hAnsi="Cambria Math" w:cstheme="minorHAnsi"/>
                    <w:i/>
                    <w:lang w:val="en-GB"/>
                  </w:rPr>
                </m:ctrlPr>
              </m:sSubPr>
              <m:e>
                <m:r>
                  <w:rPr>
                    <w:rFonts w:ascii="Cambria Math" w:hAnsi="Cambria Math" w:cstheme="minorHAnsi"/>
                    <w:lang w:val="en-GB"/>
                  </w:rPr>
                  <m:t>μ</m:t>
                </m:r>
              </m:e>
              <m:sub>
                <m:r>
                  <w:rPr>
                    <w:rFonts w:ascii="Cambria Math" w:hAnsi="Cambria Math" w:cstheme="minorHAnsi"/>
                    <w:lang w:val="en-GB"/>
                  </w:rPr>
                  <m:t>*</m:t>
                </m:r>
              </m:sub>
            </m:sSub>
            <m:r>
              <w:rPr>
                <w:rFonts w:ascii="Cambria Math" w:hAnsi="Cambria Math" w:cstheme="minorHAnsi"/>
                <w:lang w:val="en-GB"/>
              </w:rPr>
              <m:t>+3.09*σ</m:t>
            </m:r>
          </m:e>
        </m:d>
        <m:r>
          <w:rPr>
            <w:rFonts w:ascii="Cambria Math" w:hAnsi="Cambria Math" w:cstheme="minorHAnsi"/>
            <w:lang w:val="en-GB"/>
          </w:rPr>
          <m:t>=0.999</m:t>
        </m:r>
      </m:oMath>
      <w:r w:rsidRPr="00941F74">
        <w:rPr>
          <w:rFonts w:cstheme="minorHAnsi"/>
          <w:lang w:val="en-GB"/>
        </w:rPr>
        <w:t xml:space="preserve"> , and then</w:t>
      </w:r>
      <m:oMath>
        <m:r>
          <w:rPr>
            <w:rFonts w:ascii="Cambria Math" w:hAnsi="Cambria Math" w:cstheme="minorHAnsi"/>
            <w:lang w:val="en-GB"/>
          </w:rPr>
          <m:t xml:space="preserve"> σ=</m:t>
        </m:r>
        <m:f>
          <m:fPr>
            <m:type m:val="lin"/>
            <m:ctrlPr>
              <w:rPr>
                <w:rFonts w:ascii="Cambria Math" w:hAnsi="Cambria Math" w:cstheme="minorHAnsi"/>
                <w:i/>
                <w:lang w:val="en-GB"/>
              </w:rPr>
            </m:ctrlPr>
          </m:fPr>
          <m:num>
            <m:r>
              <w:rPr>
                <w:rFonts w:ascii="Cambria Math" w:hAnsi="Cambria Math" w:cstheme="minorHAnsi"/>
                <w:lang w:val="en-GB"/>
              </w:rPr>
              <m:t>RSAP</m:t>
            </m:r>
          </m:num>
          <m:den>
            <m:r>
              <w:rPr>
                <w:rFonts w:ascii="Cambria Math" w:hAnsi="Cambria Math" w:cstheme="minorHAnsi"/>
                <w:lang w:val="en-GB"/>
              </w:rPr>
              <m:t>3.09</m:t>
            </m:r>
          </m:den>
        </m:f>
      </m:oMath>
      <w:r w:rsidRPr="00941F74">
        <w:rPr>
          <w:rFonts w:cstheme="minorHAnsi"/>
          <w:lang w:val="en-GB"/>
        </w:rPr>
        <w:tab/>
        <w:t>(Equation 4)</w:t>
      </w:r>
    </w:p>
    <w:p w14:paraId="625088F1" w14:textId="32CD8618" w:rsidR="00C312CE" w:rsidRPr="00941F74" w:rsidRDefault="00C312CE">
      <w:pPr>
        <w:spacing w:after="0" w:line="480" w:lineRule="auto"/>
        <w:rPr>
          <w:rFonts w:cstheme="minorHAnsi"/>
          <w:lang w:val="en-GB"/>
        </w:rPr>
      </w:pPr>
      <w:r w:rsidRPr="00941F74">
        <w:rPr>
          <w:rFonts w:cstheme="minorHAnsi"/>
          <w:lang w:val="en-GB"/>
        </w:rPr>
        <w:t xml:space="preserve">For each taxon, the PDF around each site </w:t>
      </w:r>
      <w:r w:rsidR="000803A1" w:rsidRPr="00941F74">
        <w:rPr>
          <w:rFonts w:cstheme="minorHAnsi"/>
          <w:lang w:val="en-GB"/>
        </w:rPr>
        <w:t>was</w:t>
      </w:r>
      <w:r w:rsidR="00F34B0C" w:rsidRPr="00941F74">
        <w:rPr>
          <w:rFonts w:cstheme="minorHAnsi"/>
          <w:lang w:val="en-GB"/>
        </w:rPr>
        <w:t xml:space="preserve"> </w:t>
      </w:r>
      <w:r w:rsidRPr="00941F74">
        <w:rPr>
          <w:rFonts w:cstheme="minorHAnsi"/>
          <w:lang w:val="en-GB"/>
        </w:rPr>
        <w:t xml:space="preserve">weighted by </w:t>
      </w:r>
      <w:r w:rsidR="00F34B0C" w:rsidRPr="00941F74">
        <w:rPr>
          <w:rFonts w:cstheme="minorHAnsi"/>
          <w:lang w:val="en-GB"/>
        </w:rPr>
        <w:t>its</w:t>
      </w:r>
      <w:r w:rsidR="007828EB" w:rsidRPr="00941F74">
        <w:rPr>
          <w:rFonts w:cstheme="minorHAnsi"/>
          <w:lang w:val="en-GB"/>
        </w:rPr>
        <w:t xml:space="preserve"> </w:t>
      </w:r>
      <w:r w:rsidRPr="00941F74">
        <w:rPr>
          <w:rFonts w:cstheme="minorHAnsi"/>
          <w:lang w:val="en-GB"/>
        </w:rPr>
        <w:t xml:space="preserve">corresponding </w:t>
      </w:r>
      <w:r w:rsidR="0049695F" w:rsidRPr="00941F74">
        <w:rPr>
          <w:rFonts w:cstheme="minorHAnsi"/>
          <w:lang w:val="en-GB"/>
        </w:rPr>
        <w:t xml:space="preserve">LOVE </w:t>
      </w:r>
      <w:r w:rsidRPr="00941F74">
        <w:rPr>
          <w:rFonts w:cstheme="minorHAnsi"/>
          <w:lang w:val="en-GB"/>
        </w:rPr>
        <w:t xml:space="preserve">estimate, and as the PDFs are continuous and therefore overlapping, a taxon </w:t>
      </w:r>
      <w:r w:rsidR="00EF4205" w:rsidRPr="00941F74">
        <w:rPr>
          <w:rFonts w:cstheme="minorHAnsi"/>
          <w:lang w:val="en-GB"/>
        </w:rPr>
        <w:t>L</w:t>
      </w:r>
      <w:r w:rsidR="0049695F" w:rsidRPr="00941F74">
        <w:rPr>
          <w:rFonts w:cstheme="minorHAnsi"/>
          <w:lang w:val="en-GB"/>
        </w:rPr>
        <w:t>OVE-</w:t>
      </w:r>
      <w:r w:rsidR="00EF4205" w:rsidRPr="00941F74">
        <w:rPr>
          <w:rFonts w:cstheme="minorHAnsi"/>
          <w:lang w:val="en-GB"/>
        </w:rPr>
        <w:t>I</w:t>
      </w:r>
      <w:r w:rsidR="0049695F" w:rsidRPr="00941F74">
        <w:rPr>
          <w:rFonts w:cstheme="minorHAnsi"/>
          <w:lang w:val="en-GB"/>
        </w:rPr>
        <w:t xml:space="preserve">nferred </w:t>
      </w:r>
      <w:r w:rsidR="00EF4205" w:rsidRPr="00941F74">
        <w:rPr>
          <w:rFonts w:cstheme="minorHAnsi"/>
          <w:lang w:val="en-GB"/>
        </w:rPr>
        <w:t>D</w:t>
      </w:r>
      <w:r w:rsidR="0049695F" w:rsidRPr="00941F74">
        <w:rPr>
          <w:rFonts w:cstheme="minorHAnsi"/>
          <w:lang w:val="en-GB"/>
        </w:rPr>
        <w:t>istribution</w:t>
      </w:r>
      <w:r w:rsidR="00F34B0C" w:rsidRPr="00941F74">
        <w:rPr>
          <w:rFonts w:cstheme="minorHAnsi"/>
          <w:lang w:val="en-GB"/>
        </w:rPr>
        <w:t xml:space="preserve"> (LID)</w:t>
      </w:r>
      <w:r w:rsidRPr="00941F74">
        <w:rPr>
          <w:rFonts w:cstheme="minorHAnsi"/>
          <w:lang w:val="en-GB"/>
        </w:rPr>
        <w:t xml:space="preserve"> is the weighted sum of the seven PDFs of each site, obtained as follows:</w:t>
      </w:r>
    </w:p>
    <w:p w14:paraId="46A263A9" w14:textId="4563CEDE" w:rsidR="00C312CE" w:rsidRPr="00941F74" w:rsidRDefault="001242E5">
      <w:pPr>
        <w:spacing w:after="0" w:line="480" w:lineRule="auto"/>
        <w:rPr>
          <w:rFonts w:cstheme="minorHAnsi"/>
          <w:lang w:val="en-GB"/>
        </w:rPr>
      </w:pPr>
      <m:oMath>
        <m:sSub>
          <m:sSubPr>
            <m:ctrlPr>
              <w:rPr>
                <w:rFonts w:ascii="Cambria Math" w:hAnsi="Cambria Math" w:cstheme="minorHAnsi"/>
                <w:i/>
                <w:lang w:val="en-GB"/>
              </w:rPr>
            </m:ctrlPr>
          </m:sSubPr>
          <m:e>
            <m:r>
              <w:rPr>
                <w:rFonts w:ascii="Cambria Math" w:hAnsi="Cambria Math" w:cstheme="minorHAnsi"/>
                <w:lang w:val="en-GB"/>
              </w:rPr>
              <m:t>LID</m:t>
            </m:r>
          </m:e>
          <m:sub>
            <m:r>
              <w:rPr>
                <w:rFonts w:ascii="Cambria Math" w:hAnsi="Cambria Math" w:cstheme="minorHAnsi"/>
                <w:lang w:val="en-GB"/>
              </w:rPr>
              <m:t>i</m:t>
            </m:r>
          </m:sub>
        </m:sSub>
        <m:r>
          <w:rPr>
            <w:rFonts w:ascii="Cambria Math" w:hAnsi="Cambria Math" w:cstheme="minorHAnsi"/>
            <w:lang w:val="en-GB"/>
          </w:rPr>
          <m:t>=</m:t>
        </m:r>
        <m:f>
          <m:fPr>
            <m:type m:val="lin"/>
            <m:ctrlPr>
              <w:rPr>
                <w:rFonts w:ascii="Cambria Math" w:hAnsi="Cambria Math" w:cstheme="minorHAnsi"/>
                <w:i/>
                <w:lang w:val="en-GB"/>
              </w:rPr>
            </m:ctrlPr>
          </m:fPr>
          <m:num>
            <m:nary>
              <m:naryPr>
                <m:chr m:val="∑"/>
                <m:limLoc m:val="undOvr"/>
                <m:ctrlPr>
                  <w:rPr>
                    <w:rFonts w:ascii="Cambria Math" w:hAnsi="Cambria Math" w:cstheme="minorHAnsi"/>
                    <w:i/>
                    <w:lang w:val="en-GB"/>
                  </w:rPr>
                </m:ctrlPr>
              </m:naryPr>
              <m:sub>
                <m:r>
                  <w:rPr>
                    <w:rFonts w:ascii="Cambria Math" w:hAnsi="Cambria Math" w:cstheme="minorHAnsi"/>
                    <w:lang w:val="en-GB"/>
                  </w:rPr>
                  <m:t>k=1</m:t>
                </m:r>
              </m:sub>
              <m:sup>
                <m:r>
                  <w:rPr>
                    <w:rFonts w:ascii="Cambria Math" w:hAnsi="Cambria Math" w:cstheme="minorHAnsi"/>
                    <w:lang w:val="en-GB"/>
                  </w:rPr>
                  <m:t>K</m:t>
                </m:r>
              </m:sup>
              <m:e>
                <m:sSub>
                  <m:sSubPr>
                    <m:ctrlPr>
                      <w:rPr>
                        <w:rFonts w:ascii="Cambria Math" w:hAnsi="Cambria Math" w:cstheme="minorHAnsi"/>
                        <w:i/>
                        <w:lang w:val="en-GB"/>
                      </w:rPr>
                    </m:ctrlPr>
                  </m:sSubPr>
                  <m:e>
                    <m:r>
                      <w:rPr>
                        <w:rFonts w:ascii="Cambria Math" w:hAnsi="Cambria Math" w:cstheme="minorHAnsi"/>
                        <w:lang w:val="en-GB"/>
                      </w:rPr>
                      <m:t>PDF</m:t>
                    </m:r>
                  </m:e>
                  <m:sub>
                    <m:r>
                      <w:rPr>
                        <w:rFonts w:ascii="Cambria Math" w:hAnsi="Cambria Math" w:cstheme="minorHAnsi"/>
                        <w:lang w:val="en-GB"/>
                      </w:rPr>
                      <m:t>k</m:t>
                    </m:r>
                  </m:sub>
                </m:sSub>
                <m:r>
                  <w:rPr>
                    <w:rFonts w:ascii="Cambria Math" w:hAnsi="Cambria Math" w:cstheme="minorHAnsi"/>
                    <w:lang w:val="en-GB"/>
                  </w:rPr>
                  <m:t>×</m:t>
                </m:r>
                <m:sSub>
                  <m:sSubPr>
                    <m:ctrlPr>
                      <w:rPr>
                        <w:rFonts w:ascii="Cambria Math" w:hAnsi="Cambria Math" w:cstheme="minorHAnsi"/>
                        <w:i/>
                        <w:lang w:val="en-GB"/>
                      </w:rPr>
                    </m:ctrlPr>
                  </m:sSubPr>
                  <m:e>
                    <m:r>
                      <w:rPr>
                        <w:rFonts w:ascii="Cambria Math" w:hAnsi="Cambria Math" w:cstheme="minorHAnsi"/>
                        <w:lang w:val="en-GB"/>
                      </w:rPr>
                      <m:t>LOVE</m:t>
                    </m:r>
                  </m:e>
                  <m:sub>
                    <m:r>
                      <w:rPr>
                        <w:rFonts w:ascii="Cambria Math" w:hAnsi="Cambria Math" w:cstheme="minorHAnsi"/>
                        <w:lang w:val="en-GB"/>
                      </w:rPr>
                      <m:t>i,k</m:t>
                    </m:r>
                  </m:sub>
                </m:sSub>
              </m:e>
            </m:nary>
          </m:num>
          <m:den>
            <m:nary>
              <m:naryPr>
                <m:chr m:val="∑"/>
                <m:limLoc m:val="undOvr"/>
                <m:ctrlPr>
                  <w:rPr>
                    <w:rFonts w:ascii="Cambria Math" w:hAnsi="Cambria Math" w:cstheme="minorHAnsi"/>
                    <w:i/>
                    <w:lang w:val="en-GB"/>
                  </w:rPr>
                </m:ctrlPr>
              </m:naryPr>
              <m:sub>
                <m:r>
                  <w:rPr>
                    <w:rFonts w:ascii="Cambria Math" w:hAnsi="Cambria Math" w:cstheme="minorHAnsi"/>
                    <w:lang w:val="en-GB"/>
                  </w:rPr>
                  <m:t>i=1</m:t>
                </m:r>
              </m:sub>
              <m:sup>
                <m:r>
                  <w:rPr>
                    <w:rFonts w:ascii="Cambria Math" w:hAnsi="Cambria Math" w:cstheme="minorHAnsi"/>
                    <w:lang w:val="en-GB"/>
                  </w:rPr>
                  <m:t>I</m:t>
                </m:r>
              </m:sup>
              <m:e>
                <m:nary>
                  <m:naryPr>
                    <m:chr m:val="∑"/>
                    <m:limLoc m:val="undOvr"/>
                    <m:ctrlPr>
                      <w:rPr>
                        <w:rFonts w:ascii="Cambria Math" w:hAnsi="Cambria Math" w:cstheme="minorHAnsi"/>
                        <w:i/>
                        <w:lang w:val="en-GB"/>
                      </w:rPr>
                    </m:ctrlPr>
                  </m:naryPr>
                  <m:sub>
                    <m:r>
                      <w:rPr>
                        <w:rFonts w:ascii="Cambria Math" w:hAnsi="Cambria Math" w:cstheme="minorHAnsi"/>
                        <w:lang w:val="en-GB"/>
                      </w:rPr>
                      <m:t>k=1</m:t>
                    </m:r>
                  </m:sub>
                  <m:sup>
                    <m:r>
                      <w:rPr>
                        <w:rFonts w:ascii="Cambria Math" w:hAnsi="Cambria Math" w:cstheme="minorHAnsi"/>
                        <w:lang w:val="en-GB"/>
                      </w:rPr>
                      <m:t>K</m:t>
                    </m:r>
                  </m:sup>
                  <m:e>
                    <m:sSub>
                      <m:sSubPr>
                        <m:ctrlPr>
                          <w:rPr>
                            <w:rFonts w:ascii="Cambria Math" w:hAnsi="Cambria Math" w:cstheme="minorHAnsi"/>
                            <w:i/>
                            <w:lang w:val="en-GB"/>
                          </w:rPr>
                        </m:ctrlPr>
                      </m:sSubPr>
                      <m:e>
                        <m:r>
                          <w:rPr>
                            <w:rFonts w:ascii="Cambria Math" w:hAnsi="Cambria Math" w:cstheme="minorHAnsi"/>
                            <w:lang w:val="en-GB"/>
                          </w:rPr>
                          <m:t>PDF</m:t>
                        </m:r>
                      </m:e>
                      <m:sub>
                        <m:r>
                          <w:rPr>
                            <w:rFonts w:ascii="Cambria Math" w:hAnsi="Cambria Math" w:cstheme="minorHAnsi"/>
                            <w:lang w:val="en-GB"/>
                          </w:rPr>
                          <m:t>k</m:t>
                        </m:r>
                      </m:sub>
                    </m:sSub>
                    <m:r>
                      <w:rPr>
                        <w:rFonts w:ascii="Cambria Math" w:hAnsi="Cambria Math" w:cstheme="minorHAnsi"/>
                        <w:lang w:val="en-GB"/>
                      </w:rPr>
                      <m:t>×</m:t>
                    </m:r>
                    <m:sSub>
                      <m:sSubPr>
                        <m:ctrlPr>
                          <w:rPr>
                            <w:rFonts w:ascii="Cambria Math" w:hAnsi="Cambria Math" w:cstheme="minorHAnsi"/>
                            <w:i/>
                            <w:lang w:val="en-GB"/>
                          </w:rPr>
                        </m:ctrlPr>
                      </m:sSubPr>
                      <m:e>
                        <m:r>
                          <w:rPr>
                            <w:rFonts w:ascii="Cambria Math" w:hAnsi="Cambria Math" w:cstheme="minorHAnsi"/>
                            <w:lang w:val="en-GB"/>
                          </w:rPr>
                          <m:t>LOVE</m:t>
                        </m:r>
                      </m:e>
                      <m:sub>
                        <m:r>
                          <w:rPr>
                            <w:rFonts w:ascii="Cambria Math" w:hAnsi="Cambria Math" w:cstheme="minorHAnsi"/>
                            <w:lang w:val="en-GB"/>
                          </w:rPr>
                          <m:t>i,k</m:t>
                        </m:r>
                      </m:sub>
                    </m:sSub>
                  </m:e>
                </m:nary>
              </m:e>
            </m:nary>
          </m:den>
        </m:f>
      </m:oMath>
      <w:r w:rsidR="00C312CE" w:rsidRPr="00941F74">
        <w:rPr>
          <w:rFonts w:cstheme="minorHAnsi"/>
          <w:lang w:val="en-GB"/>
        </w:rPr>
        <w:tab/>
      </w:r>
      <w:r w:rsidR="00C312CE" w:rsidRPr="00941F74">
        <w:rPr>
          <w:rFonts w:cstheme="minorHAnsi"/>
          <w:lang w:val="en-GB"/>
        </w:rPr>
        <w:tab/>
        <w:t>(Equation 5)</w:t>
      </w:r>
    </w:p>
    <w:p w14:paraId="5ED629A0" w14:textId="6AF822D3" w:rsidR="00C312CE" w:rsidRPr="00941F74" w:rsidRDefault="00C312CE">
      <w:pPr>
        <w:spacing w:line="480" w:lineRule="auto"/>
        <w:rPr>
          <w:rFonts w:cstheme="minorHAnsi"/>
          <w:b/>
          <w:bCs/>
          <w:lang w:val="en-US"/>
        </w:rPr>
      </w:pPr>
      <w:r w:rsidRPr="00941F74">
        <w:rPr>
          <w:rFonts w:cstheme="minorHAnsi"/>
          <w:lang w:val="en-GB"/>
        </w:rPr>
        <w:t xml:space="preserve">where </w:t>
      </w:r>
      <m:oMath>
        <m:r>
          <w:rPr>
            <w:rFonts w:ascii="Cambria Math" w:hAnsi="Cambria Math" w:cstheme="minorHAnsi"/>
            <w:lang w:val="en-GB"/>
          </w:rPr>
          <m:t>K</m:t>
        </m:r>
      </m:oMath>
      <w:r w:rsidRPr="00941F74">
        <w:rPr>
          <w:rFonts w:cstheme="minorHAnsi"/>
          <w:lang w:val="en-GB"/>
        </w:rPr>
        <w:t xml:space="preserve"> and </w:t>
      </w:r>
      <m:oMath>
        <m:r>
          <w:rPr>
            <w:rFonts w:ascii="Cambria Math" w:hAnsi="Cambria Math" w:cstheme="minorHAnsi"/>
            <w:lang w:val="en-GB"/>
          </w:rPr>
          <m:t>I</m:t>
        </m:r>
      </m:oMath>
      <w:r w:rsidRPr="00941F74">
        <w:rPr>
          <w:rFonts w:cstheme="minorHAnsi"/>
          <w:lang w:val="en-GB"/>
        </w:rPr>
        <w:t xml:space="preserve"> are the total number of sites and taxa included</w:t>
      </w:r>
      <w:r w:rsidR="00ED672E" w:rsidRPr="00941F74">
        <w:rPr>
          <w:rFonts w:cstheme="minorHAnsi"/>
          <w:lang w:val="en-GB"/>
        </w:rPr>
        <w:t>,</w:t>
      </w:r>
      <w:r w:rsidRPr="00941F74">
        <w:rPr>
          <w:rFonts w:cstheme="minorHAnsi"/>
          <w:lang w:val="en-GB"/>
        </w:rPr>
        <w:t xml:space="preserve"> respectively </w:t>
      </w:r>
      <w:r w:rsidR="00ED672E" w:rsidRPr="00941F74">
        <w:rPr>
          <w:rFonts w:cstheme="minorHAnsi"/>
          <w:lang w:val="en-GB"/>
        </w:rPr>
        <w:t>(</w:t>
      </w:r>
      <w:r w:rsidRPr="00941F74">
        <w:rPr>
          <w:rFonts w:cstheme="minorHAnsi"/>
          <w:lang w:val="en-GB"/>
        </w:rPr>
        <w:t>i.e. seven and 18 in this case</w:t>
      </w:r>
      <w:r w:rsidR="00ED672E" w:rsidRPr="00941F74">
        <w:rPr>
          <w:rFonts w:cstheme="minorHAnsi"/>
          <w:lang w:val="en-GB"/>
        </w:rPr>
        <w:t>)</w:t>
      </w:r>
      <w:r w:rsidRPr="00941F74">
        <w:rPr>
          <w:rFonts w:cstheme="minorHAnsi"/>
          <w:lang w:val="en-GB"/>
        </w:rPr>
        <w:t xml:space="preserve">, and </w:t>
      </w:r>
      <m:oMath>
        <m:sSub>
          <m:sSubPr>
            <m:ctrlPr>
              <w:rPr>
                <w:rFonts w:ascii="Cambria Math" w:hAnsi="Cambria Math" w:cstheme="minorHAnsi"/>
                <w:i/>
                <w:lang w:val="en-GB"/>
              </w:rPr>
            </m:ctrlPr>
          </m:sSubPr>
          <m:e>
            <m:r>
              <w:rPr>
                <w:rFonts w:ascii="Cambria Math" w:hAnsi="Cambria Math" w:cstheme="minorHAnsi"/>
                <w:lang w:val="en-GB"/>
              </w:rPr>
              <m:t>PDF</m:t>
            </m:r>
          </m:e>
          <m:sub>
            <m:r>
              <w:rPr>
                <w:rFonts w:ascii="Cambria Math" w:hAnsi="Cambria Math" w:cstheme="minorHAnsi"/>
                <w:lang w:val="en-GB"/>
              </w:rPr>
              <m:t>k</m:t>
            </m:r>
          </m:sub>
        </m:sSub>
      </m:oMath>
      <w:r w:rsidRPr="00941F74">
        <w:rPr>
          <w:rFonts w:cstheme="minorHAnsi"/>
          <w:lang w:val="en-GB"/>
        </w:rPr>
        <w:t xml:space="preserve"> is the probability density of a taxon’s presence around site </w:t>
      </w:r>
      <m:oMath>
        <m:r>
          <w:rPr>
            <w:rFonts w:ascii="Cambria Math" w:hAnsi="Cambria Math" w:cstheme="minorHAnsi"/>
            <w:lang w:val="en-GB"/>
          </w:rPr>
          <m:t>k</m:t>
        </m:r>
      </m:oMath>
      <w:r w:rsidRPr="00941F74">
        <w:rPr>
          <w:rFonts w:cstheme="minorHAnsi"/>
          <w:lang w:val="en-GB"/>
        </w:rPr>
        <w:t xml:space="preserve">. </w:t>
      </w:r>
      <w:r w:rsidR="0049695F" w:rsidRPr="00941F74">
        <w:rPr>
          <w:rFonts w:cstheme="minorHAnsi"/>
          <w:lang w:val="en-GB"/>
        </w:rPr>
        <w:t>PDFs</w:t>
      </w:r>
      <w:r w:rsidRPr="00941F74">
        <w:rPr>
          <w:rFonts w:cstheme="minorHAnsi"/>
          <w:lang w:val="en-GB"/>
        </w:rPr>
        <w:t xml:space="preserve"> and </w:t>
      </w:r>
      <w:r w:rsidR="00EA291A">
        <w:rPr>
          <w:rFonts w:cstheme="minorHAnsi"/>
          <w:lang w:val="en-GB"/>
        </w:rPr>
        <w:t>LID</w:t>
      </w:r>
      <w:r w:rsidR="00EA291A" w:rsidRPr="00941F74">
        <w:rPr>
          <w:rFonts w:cstheme="minorHAnsi"/>
          <w:lang w:val="en-GB"/>
        </w:rPr>
        <w:t xml:space="preserve"> </w:t>
      </w:r>
      <w:r w:rsidR="0049695F" w:rsidRPr="00941F74">
        <w:rPr>
          <w:rFonts w:cstheme="minorHAnsi"/>
          <w:lang w:val="en-GB"/>
        </w:rPr>
        <w:t xml:space="preserve">calculations </w:t>
      </w:r>
      <w:r w:rsidRPr="00941F74">
        <w:rPr>
          <w:rFonts w:cstheme="minorHAnsi"/>
          <w:lang w:val="en-GB"/>
        </w:rPr>
        <w:t xml:space="preserve">were coded </w:t>
      </w:r>
      <w:r w:rsidR="00ED672E" w:rsidRPr="00941F74">
        <w:rPr>
          <w:rFonts w:cstheme="minorHAnsi"/>
          <w:lang w:val="en-GB"/>
        </w:rPr>
        <w:t xml:space="preserve">under the </w:t>
      </w:r>
      <w:r w:rsidRPr="00941F74">
        <w:rPr>
          <w:rFonts w:cstheme="minorHAnsi"/>
          <w:lang w:val="en-GB"/>
        </w:rPr>
        <w:t>R</w:t>
      </w:r>
      <w:r w:rsidR="00ED672E" w:rsidRPr="00941F74">
        <w:rPr>
          <w:rFonts w:cstheme="minorHAnsi"/>
          <w:lang w:val="en-GB"/>
        </w:rPr>
        <w:t xml:space="preserve"> cran®</w:t>
      </w:r>
      <w:r w:rsidRPr="00941F74">
        <w:rPr>
          <w:rFonts w:cstheme="minorHAnsi"/>
          <w:lang w:val="en-GB"/>
        </w:rPr>
        <w:t xml:space="preserve"> </w:t>
      </w:r>
      <w:r w:rsidR="0030165A" w:rsidRPr="00941F74">
        <w:rPr>
          <w:rFonts w:cstheme="minorHAnsi"/>
          <w:lang w:val="en-GB"/>
        </w:rPr>
        <w:fldChar w:fldCharType="begin"/>
      </w:r>
      <w:r w:rsidR="003B1EC2">
        <w:rPr>
          <w:rFonts w:cstheme="minorHAnsi"/>
          <w:lang w:val="en-GB"/>
        </w:rPr>
        <w:instrText xml:space="preserve"> ADDIN ZOTERO_ITEM CSL_CITATION {"citationID":"15vGAQcH","properties":{"formattedCitation":"(R Core Team, 2021)","plainCitation":"(R Core Team, 2021)","noteIndex":0},"citationItems":[{"id":3266,"uris":["http://zotero.org/users/10290022/items/KLS2DV9T"],"itemData":{"id":3266,"type":"software","event-place":"Vienna","publisher":"R Foundation for Statistical Computing","publisher-place":"Vienna","title":"R: A Language and environment for statistical computing","URL":"https://www.R-project.org/","author":[{"family":"R Core Team","given":""}],"issued":{"date-parts":[["2021"]]}}}],"schema":"https://github.com/citation-style-language/schema/raw/master/csl-citation.json"} </w:instrText>
      </w:r>
      <w:r w:rsidR="0030165A" w:rsidRPr="00941F74">
        <w:rPr>
          <w:rFonts w:cstheme="minorHAnsi"/>
          <w:lang w:val="en-GB"/>
        </w:rPr>
        <w:fldChar w:fldCharType="separate"/>
      </w:r>
      <w:r w:rsidR="003B1EC2" w:rsidRPr="003B1EC2">
        <w:rPr>
          <w:rFonts w:ascii="Calibri" w:hAnsi="Calibri" w:cs="Calibri"/>
          <w:lang w:val="en-US"/>
        </w:rPr>
        <w:t>(R Core Team, 2021)</w:t>
      </w:r>
      <w:r w:rsidR="0030165A" w:rsidRPr="00941F74">
        <w:rPr>
          <w:rFonts w:cstheme="minorHAnsi"/>
          <w:lang w:val="en-GB"/>
        </w:rPr>
        <w:fldChar w:fldCharType="end"/>
      </w:r>
      <w:r w:rsidRPr="00941F74">
        <w:rPr>
          <w:rFonts w:cstheme="minorHAnsi"/>
          <w:lang w:val="en-GB"/>
        </w:rPr>
        <w:t xml:space="preserve">. </w:t>
      </w:r>
    </w:p>
    <w:p w14:paraId="5907DA28" w14:textId="437969E1" w:rsidR="00C312CE" w:rsidRPr="00941F74" w:rsidRDefault="005D3954">
      <w:pPr>
        <w:pStyle w:val="Titre2"/>
        <w:numPr>
          <w:ilvl w:val="1"/>
          <w:numId w:val="23"/>
        </w:numPr>
        <w:spacing w:line="480" w:lineRule="auto"/>
        <w:rPr>
          <w:rFonts w:asciiTheme="minorHAnsi" w:hAnsiTheme="minorHAnsi" w:cstheme="minorHAnsi"/>
          <w:sz w:val="22"/>
          <w:szCs w:val="22"/>
          <w:lang w:val="en-US"/>
        </w:rPr>
      </w:pPr>
      <w:r w:rsidRPr="00941F74">
        <w:rPr>
          <w:rFonts w:asciiTheme="minorHAnsi" w:hAnsiTheme="minorHAnsi" w:cstheme="minorHAnsi"/>
          <w:sz w:val="22"/>
          <w:szCs w:val="22"/>
          <w:lang w:val="en-US"/>
        </w:rPr>
        <w:t xml:space="preserve">Variables used </w:t>
      </w:r>
      <w:r w:rsidR="00622B84" w:rsidRPr="00941F74">
        <w:rPr>
          <w:rFonts w:asciiTheme="minorHAnsi" w:hAnsiTheme="minorHAnsi" w:cstheme="minorHAnsi"/>
          <w:sz w:val="22"/>
          <w:szCs w:val="22"/>
          <w:lang w:val="en-US"/>
        </w:rPr>
        <w:t>by the BACKLAND approach</w:t>
      </w:r>
    </w:p>
    <w:p w14:paraId="4E1267F3" w14:textId="191D3907" w:rsidR="001F0F08" w:rsidRPr="00941F74" w:rsidRDefault="001F0F08">
      <w:pPr>
        <w:spacing w:line="480" w:lineRule="auto"/>
        <w:rPr>
          <w:rFonts w:cstheme="minorHAnsi"/>
          <w:lang w:val="en-US"/>
        </w:rPr>
      </w:pPr>
      <w:r w:rsidRPr="00941F74">
        <w:rPr>
          <w:rFonts w:cstheme="minorHAnsi"/>
          <w:lang w:val="en-US"/>
        </w:rPr>
        <w:t xml:space="preserve">This stage aims at producing explained </w:t>
      </w:r>
      <w:r w:rsidR="00EE7982" w:rsidRPr="00941F74">
        <w:rPr>
          <w:rFonts w:cstheme="minorHAnsi"/>
          <w:lang w:val="en-US"/>
        </w:rPr>
        <w:t xml:space="preserve">(3.2.1.) </w:t>
      </w:r>
      <w:r w:rsidRPr="00941F74">
        <w:rPr>
          <w:rFonts w:cstheme="minorHAnsi"/>
          <w:lang w:val="en-US"/>
        </w:rPr>
        <w:t xml:space="preserve">and explanatory </w:t>
      </w:r>
      <w:r w:rsidR="00EE7982" w:rsidRPr="00941F74">
        <w:rPr>
          <w:rFonts w:cstheme="minorHAnsi"/>
          <w:lang w:val="en-US"/>
        </w:rPr>
        <w:t xml:space="preserve">(3.2.2) </w:t>
      </w:r>
      <w:r w:rsidRPr="00941F74">
        <w:rPr>
          <w:rFonts w:cstheme="minorHAnsi"/>
          <w:lang w:val="en-US"/>
        </w:rPr>
        <w:t>variables</w:t>
      </w:r>
      <w:r w:rsidR="00EE7982" w:rsidRPr="00941F74">
        <w:rPr>
          <w:rFonts w:cstheme="minorHAnsi"/>
          <w:lang w:val="en-US"/>
        </w:rPr>
        <w:t xml:space="preserve"> necessary for backward landscape modelling</w:t>
      </w:r>
      <w:r w:rsidR="00D3559B" w:rsidRPr="00941F74">
        <w:rPr>
          <w:rFonts w:cstheme="minorHAnsi"/>
          <w:lang w:val="en-US"/>
        </w:rPr>
        <w:t xml:space="preserve"> (</w:t>
      </w:r>
      <w:r w:rsidR="00D3559B" w:rsidRPr="00941F74">
        <w:rPr>
          <w:rFonts w:cstheme="minorHAnsi"/>
          <w:color w:val="FF0000"/>
          <w:lang w:val="en-US"/>
        </w:rPr>
        <w:t>Fig. 3b</w:t>
      </w:r>
      <w:r w:rsidR="00D3559B" w:rsidRPr="00941F74">
        <w:rPr>
          <w:rFonts w:cstheme="minorHAnsi"/>
          <w:lang w:val="en-US"/>
        </w:rPr>
        <w:t>)</w:t>
      </w:r>
      <w:r w:rsidR="00EE7982" w:rsidRPr="00941F74">
        <w:rPr>
          <w:rFonts w:cstheme="minorHAnsi"/>
          <w:lang w:val="en-US"/>
        </w:rPr>
        <w:t>.</w:t>
      </w:r>
    </w:p>
    <w:p w14:paraId="743FFF7F" w14:textId="2AE50A33" w:rsidR="009A1B5F" w:rsidRPr="00941F74" w:rsidRDefault="00A13EA1">
      <w:pPr>
        <w:pStyle w:val="Titre3"/>
        <w:numPr>
          <w:ilvl w:val="2"/>
          <w:numId w:val="26"/>
        </w:numPr>
        <w:spacing w:line="480" w:lineRule="auto"/>
        <w:rPr>
          <w:rFonts w:asciiTheme="minorHAnsi" w:hAnsiTheme="minorHAnsi" w:cstheme="minorHAnsi"/>
          <w:b/>
          <w:sz w:val="22"/>
          <w:szCs w:val="22"/>
          <w:lang w:val="en-US"/>
        </w:rPr>
      </w:pPr>
      <w:r w:rsidRPr="00941F74">
        <w:rPr>
          <w:rFonts w:asciiTheme="minorHAnsi" w:hAnsiTheme="minorHAnsi" w:cstheme="minorHAnsi"/>
          <w:b/>
          <w:sz w:val="22"/>
          <w:szCs w:val="22"/>
          <w:lang w:val="en-US"/>
        </w:rPr>
        <w:lastRenderedPageBreak/>
        <w:t>Land-cover distribution</w:t>
      </w:r>
      <w:r w:rsidR="00023DD5" w:rsidRPr="00941F74">
        <w:rPr>
          <w:rFonts w:asciiTheme="minorHAnsi" w:hAnsiTheme="minorHAnsi" w:cstheme="minorHAnsi"/>
          <w:b/>
          <w:sz w:val="22"/>
          <w:szCs w:val="22"/>
          <w:lang w:val="en-US"/>
        </w:rPr>
        <w:t>s</w:t>
      </w:r>
      <w:r w:rsidRPr="00941F74">
        <w:rPr>
          <w:rFonts w:asciiTheme="minorHAnsi" w:hAnsiTheme="minorHAnsi" w:cstheme="minorHAnsi"/>
          <w:b/>
          <w:sz w:val="22"/>
          <w:szCs w:val="22"/>
          <w:lang w:val="en-US"/>
        </w:rPr>
        <w:t xml:space="preserve"> at TW1995</w:t>
      </w:r>
    </w:p>
    <w:p w14:paraId="17955F60" w14:textId="07768578" w:rsidR="00C312CE" w:rsidRPr="00941F74" w:rsidRDefault="00C312CE">
      <w:pPr>
        <w:spacing w:line="480" w:lineRule="auto"/>
        <w:rPr>
          <w:rFonts w:cstheme="minorHAnsi"/>
          <w:lang w:val="en-US"/>
        </w:rPr>
      </w:pPr>
      <w:r w:rsidRPr="00941F74">
        <w:rPr>
          <w:rFonts w:cstheme="minorHAnsi"/>
          <w:lang w:val="en-US"/>
        </w:rPr>
        <w:t xml:space="preserve">The explained variables, representative of the land-cover type distribution </w:t>
      </w:r>
      <w:r w:rsidR="00405D87" w:rsidRPr="00941F74">
        <w:rPr>
          <w:rFonts w:cstheme="minorHAnsi"/>
          <w:lang w:val="en-US"/>
        </w:rPr>
        <w:t xml:space="preserve">of Bassiès landscape </w:t>
      </w:r>
      <w:r w:rsidRPr="00941F74">
        <w:rPr>
          <w:rFonts w:cstheme="minorHAnsi"/>
          <w:lang w:val="en-US"/>
        </w:rPr>
        <w:t xml:space="preserve">at TW1995, </w:t>
      </w:r>
      <w:r w:rsidR="006B7B58" w:rsidRPr="00941F74">
        <w:rPr>
          <w:rFonts w:cstheme="minorHAnsi"/>
          <w:lang w:val="en-US"/>
        </w:rPr>
        <w:t xml:space="preserve">were </w:t>
      </w:r>
      <w:r w:rsidRPr="00941F74">
        <w:rPr>
          <w:rFonts w:cstheme="minorHAnsi"/>
          <w:lang w:val="en-US"/>
        </w:rPr>
        <w:t xml:space="preserve">the multiscale densities of each </w:t>
      </w:r>
      <w:r w:rsidR="006B7B58" w:rsidRPr="00941F74">
        <w:rPr>
          <w:rFonts w:cstheme="minorHAnsi"/>
          <w:lang w:val="en-US"/>
        </w:rPr>
        <w:t>LCT</w:t>
      </w:r>
      <w:r w:rsidRPr="00941F74">
        <w:rPr>
          <w:rFonts w:cstheme="minorHAnsi"/>
          <w:lang w:val="en-US"/>
        </w:rPr>
        <w:t xml:space="preserve"> on the 1993 map, computed with MHM with the same settings as </w:t>
      </w:r>
      <w:r w:rsidR="00EA291A">
        <w:rPr>
          <w:rFonts w:cstheme="minorHAnsi"/>
          <w:lang w:val="en-US"/>
        </w:rPr>
        <w:t xml:space="preserve">those </w:t>
      </w:r>
      <w:r w:rsidRPr="00941F74">
        <w:rPr>
          <w:rFonts w:cstheme="minorHAnsi"/>
          <w:lang w:val="en-US"/>
        </w:rPr>
        <w:t>used for the MIDs</w:t>
      </w:r>
      <w:r w:rsidR="00405D87" w:rsidRPr="00941F74">
        <w:rPr>
          <w:rFonts w:cstheme="minorHAnsi"/>
          <w:lang w:val="en-US"/>
        </w:rPr>
        <w:t xml:space="preserve"> calculation</w:t>
      </w:r>
      <w:r w:rsidRPr="00941F74">
        <w:rPr>
          <w:rFonts w:cstheme="minorHAnsi"/>
          <w:lang w:val="en-US"/>
        </w:rPr>
        <w:t xml:space="preserve"> (see </w:t>
      </w:r>
      <w:r w:rsidR="00405D87" w:rsidRPr="00941F74">
        <w:rPr>
          <w:rFonts w:cstheme="minorHAnsi"/>
          <w:lang w:val="en-US"/>
        </w:rPr>
        <w:t>3.1.1.</w:t>
      </w:r>
      <w:r w:rsidRPr="00941F74">
        <w:rPr>
          <w:rFonts w:cstheme="minorHAnsi"/>
          <w:lang w:val="en-US"/>
        </w:rPr>
        <w:t>). Models based on presence/absence maps of each</w:t>
      </w:r>
      <w:r w:rsidR="006B7B58" w:rsidRPr="00941F74">
        <w:rPr>
          <w:rFonts w:cstheme="minorHAnsi"/>
          <w:lang w:val="en-US"/>
        </w:rPr>
        <w:t xml:space="preserve"> LCT</w:t>
      </w:r>
      <w:r w:rsidRPr="00941F74">
        <w:rPr>
          <w:rFonts w:cstheme="minorHAnsi"/>
          <w:lang w:val="en-US"/>
        </w:rPr>
        <w:t xml:space="preserve"> were tested, but using the multiscale density maps improve</w:t>
      </w:r>
      <w:r w:rsidR="006B7B58" w:rsidRPr="00941F74">
        <w:rPr>
          <w:rFonts w:cstheme="minorHAnsi"/>
          <w:lang w:val="en-US"/>
        </w:rPr>
        <w:t>d</w:t>
      </w:r>
      <w:r w:rsidRPr="00941F74">
        <w:rPr>
          <w:rFonts w:cstheme="minorHAnsi"/>
          <w:lang w:val="en-US"/>
        </w:rPr>
        <w:t xml:space="preserve"> the </w:t>
      </w:r>
      <w:r w:rsidR="0010609A" w:rsidRPr="00941F74">
        <w:rPr>
          <w:rFonts w:cstheme="minorHAnsi"/>
          <w:lang w:val="en-US"/>
        </w:rPr>
        <w:t xml:space="preserve">goodness of fit </w:t>
      </w:r>
      <w:r w:rsidRPr="00941F74">
        <w:rPr>
          <w:rFonts w:cstheme="minorHAnsi"/>
          <w:lang w:val="en-US"/>
        </w:rPr>
        <w:t>of the models (not shown).</w:t>
      </w:r>
    </w:p>
    <w:p w14:paraId="5AF6ECE0" w14:textId="41614FFE" w:rsidR="00A13EA1" w:rsidRPr="00941F74" w:rsidRDefault="00A13EA1">
      <w:pPr>
        <w:pStyle w:val="Titre3"/>
        <w:numPr>
          <w:ilvl w:val="2"/>
          <w:numId w:val="23"/>
        </w:numPr>
        <w:spacing w:line="480" w:lineRule="auto"/>
        <w:rPr>
          <w:rFonts w:asciiTheme="minorHAnsi" w:hAnsiTheme="minorHAnsi" w:cstheme="minorHAnsi"/>
          <w:b/>
          <w:sz w:val="22"/>
          <w:szCs w:val="22"/>
          <w:lang w:val="en-US"/>
        </w:rPr>
      </w:pPr>
      <w:r w:rsidRPr="00941F74">
        <w:rPr>
          <w:rFonts w:asciiTheme="minorHAnsi" w:hAnsiTheme="minorHAnsi" w:cstheme="minorHAnsi"/>
          <w:b/>
          <w:sz w:val="22"/>
          <w:szCs w:val="22"/>
          <w:lang w:val="en-US"/>
        </w:rPr>
        <w:t>Explanatory variables</w:t>
      </w:r>
    </w:p>
    <w:p w14:paraId="58789A40" w14:textId="62F31585" w:rsidR="00C312CE" w:rsidRPr="00941F74" w:rsidRDefault="00C312CE">
      <w:pPr>
        <w:spacing w:line="480" w:lineRule="auto"/>
        <w:rPr>
          <w:rFonts w:cstheme="minorHAnsi"/>
          <w:lang w:val="en-US"/>
        </w:rPr>
      </w:pPr>
      <w:r w:rsidRPr="00941F74">
        <w:rPr>
          <w:rFonts w:cstheme="minorHAnsi"/>
          <w:lang w:val="en-US"/>
        </w:rPr>
        <w:t xml:space="preserve">Two types of variables </w:t>
      </w:r>
      <w:r w:rsidR="006B7B58" w:rsidRPr="00941F74">
        <w:rPr>
          <w:rFonts w:cstheme="minorHAnsi"/>
          <w:lang w:val="en-US"/>
        </w:rPr>
        <w:t>were</w:t>
      </w:r>
      <w:r w:rsidRPr="00941F74">
        <w:rPr>
          <w:rFonts w:cstheme="minorHAnsi"/>
          <w:lang w:val="en-US"/>
        </w:rPr>
        <w:t xml:space="preserve"> used in the models to explain</w:t>
      </w:r>
      <w:r w:rsidR="00393CED" w:rsidRPr="00941F74">
        <w:rPr>
          <w:rFonts w:cstheme="minorHAnsi"/>
          <w:lang w:val="en-US"/>
        </w:rPr>
        <w:t xml:space="preserve"> the</w:t>
      </w:r>
      <w:r w:rsidRPr="00941F74">
        <w:rPr>
          <w:rFonts w:cstheme="minorHAnsi"/>
          <w:lang w:val="en-US"/>
        </w:rPr>
        <w:t xml:space="preserve"> TW1995 </w:t>
      </w:r>
      <w:r w:rsidR="006B7B58" w:rsidRPr="00941F74">
        <w:rPr>
          <w:rFonts w:cstheme="minorHAnsi"/>
          <w:lang w:val="en-US"/>
        </w:rPr>
        <w:t>LCT</w:t>
      </w:r>
      <w:r w:rsidRPr="00941F74">
        <w:rPr>
          <w:rFonts w:cstheme="minorHAnsi"/>
          <w:lang w:val="en-US"/>
        </w:rPr>
        <w:t xml:space="preserve"> densities</w:t>
      </w:r>
      <w:r w:rsidR="00A13EA1" w:rsidRPr="00941F74">
        <w:rPr>
          <w:rFonts w:cstheme="minorHAnsi"/>
          <w:lang w:val="en-US"/>
        </w:rPr>
        <w:t xml:space="preserve">: the </w:t>
      </w:r>
      <w:r w:rsidR="006B7B58" w:rsidRPr="00941F74">
        <w:rPr>
          <w:rFonts w:cstheme="minorHAnsi"/>
          <w:lang w:val="en-US"/>
        </w:rPr>
        <w:t xml:space="preserve">estimated </w:t>
      </w:r>
      <w:r w:rsidR="00A13EA1" w:rsidRPr="00941F74">
        <w:rPr>
          <w:rFonts w:cstheme="minorHAnsi"/>
          <w:lang w:val="en-US"/>
        </w:rPr>
        <w:t xml:space="preserve">distributions of taxa </w:t>
      </w:r>
      <w:r w:rsidR="00EE7982" w:rsidRPr="00941F74">
        <w:rPr>
          <w:rFonts w:cstheme="minorHAnsi"/>
          <w:lang w:val="en-US"/>
        </w:rPr>
        <w:t xml:space="preserve">(EDs) </w:t>
      </w:r>
      <w:r w:rsidR="00A13EA1" w:rsidRPr="00941F74">
        <w:rPr>
          <w:rFonts w:cstheme="minorHAnsi"/>
          <w:lang w:val="en-US"/>
        </w:rPr>
        <w:t>at TW1995 and environmental variables (EVs)</w:t>
      </w:r>
      <w:r w:rsidRPr="00941F74">
        <w:rPr>
          <w:rFonts w:cstheme="minorHAnsi"/>
          <w:lang w:val="en-US"/>
        </w:rPr>
        <w:t xml:space="preserve">. First, the EDs </w:t>
      </w:r>
      <w:r w:rsidR="006B7B58" w:rsidRPr="00941F74">
        <w:rPr>
          <w:rFonts w:cstheme="minorHAnsi"/>
          <w:lang w:val="en-US"/>
        </w:rPr>
        <w:t>were</w:t>
      </w:r>
      <w:r w:rsidRPr="00941F74">
        <w:rPr>
          <w:rFonts w:cstheme="minorHAnsi"/>
          <w:lang w:val="en-US"/>
        </w:rPr>
        <w:t xml:space="preserve"> obtained by averaging the </w:t>
      </w:r>
      <w:r w:rsidR="00A13EA1" w:rsidRPr="00941F74">
        <w:rPr>
          <w:rFonts w:cstheme="minorHAnsi"/>
          <w:lang w:val="en-US"/>
        </w:rPr>
        <w:t xml:space="preserve">2008 </w:t>
      </w:r>
      <w:r w:rsidR="003762E6" w:rsidRPr="00941F74">
        <w:rPr>
          <w:rFonts w:cstheme="minorHAnsi"/>
          <w:lang w:val="en-US"/>
        </w:rPr>
        <w:t xml:space="preserve">MIDs </w:t>
      </w:r>
      <w:r w:rsidRPr="00941F74">
        <w:rPr>
          <w:rFonts w:cstheme="minorHAnsi"/>
          <w:lang w:val="en-US"/>
        </w:rPr>
        <w:t>and the</w:t>
      </w:r>
      <w:r w:rsidR="003762E6" w:rsidRPr="00941F74">
        <w:rPr>
          <w:rFonts w:cstheme="minorHAnsi"/>
          <w:lang w:val="en-US"/>
        </w:rPr>
        <w:t xml:space="preserve"> TW1995</w:t>
      </w:r>
      <w:r w:rsidRPr="00941F74">
        <w:rPr>
          <w:rFonts w:cstheme="minorHAnsi"/>
          <w:lang w:val="en-US"/>
        </w:rPr>
        <w:t xml:space="preserve"> </w:t>
      </w:r>
      <w:r w:rsidR="003762E6" w:rsidRPr="00941F74">
        <w:rPr>
          <w:rFonts w:cstheme="minorHAnsi"/>
          <w:lang w:val="en-US"/>
        </w:rPr>
        <w:t>LIDs</w:t>
      </w:r>
      <w:r w:rsidR="00393CED" w:rsidRPr="00941F74">
        <w:rPr>
          <w:rFonts w:cstheme="minorHAnsi"/>
          <w:lang w:val="en-US"/>
        </w:rPr>
        <w:t>.</w:t>
      </w:r>
      <w:r w:rsidR="006B7B58" w:rsidRPr="00941F74">
        <w:rPr>
          <w:rFonts w:cstheme="minorHAnsi"/>
          <w:lang w:val="en-US"/>
        </w:rPr>
        <w:t xml:space="preserve"> They</w:t>
      </w:r>
      <w:r w:rsidRPr="00941F74">
        <w:rPr>
          <w:rFonts w:cstheme="minorHAnsi"/>
          <w:lang w:val="en-US"/>
        </w:rPr>
        <w:t xml:space="preserve"> thus ta</w:t>
      </w:r>
      <w:r w:rsidR="00393CED" w:rsidRPr="00941F74">
        <w:rPr>
          <w:rFonts w:cstheme="minorHAnsi"/>
          <w:lang w:val="en-US"/>
        </w:rPr>
        <w:t>ke</w:t>
      </w:r>
      <w:r w:rsidR="006B7B58" w:rsidRPr="00941F74">
        <w:rPr>
          <w:rFonts w:cstheme="minorHAnsi"/>
          <w:lang w:val="en-US"/>
        </w:rPr>
        <w:t xml:space="preserve"> </w:t>
      </w:r>
      <w:r w:rsidRPr="00941F74">
        <w:rPr>
          <w:rFonts w:cstheme="minorHAnsi"/>
          <w:lang w:val="en-US"/>
        </w:rPr>
        <w:t xml:space="preserve">into account </w:t>
      </w:r>
      <w:r w:rsidR="006B7B58" w:rsidRPr="00941F74">
        <w:rPr>
          <w:rFonts w:cstheme="minorHAnsi"/>
          <w:lang w:val="en-US"/>
        </w:rPr>
        <w:t xml:space="preserve">backward </w:t>
      </w:r>
      <w:r w:rsidRPr="00941F74">
        <w:rPr>
          <w:rFonts w:cstheme="minorHAnsi"/>
          <w:lang w:val="en-US"/>
        </w:rPr>
        <w:t xml:space="preserve">spatiotemporal autocorrelation, yet assuming a similar influence of both MIDs and </w:t>
      </w:r>
      <w:r w:rsidR="00EF4205" w:rsidRPr="00941F74">
        <w:rPr>
          <w:rFonts w:cstheme="minorHAnsi"/>
          <w:lang w:val="en-US"/>
        </w:rPr>
        <w:t>LID</w:t>
      </w:r>
      <w:r w:rsidRPr="00941F74">
        <w:rPr>
          <w:rFonts w:cstheme="minorHAnsi"/>
          <w:lang w:val="en-US"/>
        </w:rPr>
        <w:t xml:space="preserve">s on the </w:t>
      </w:r>
      <w:r w:rsidR="00393CED" w:rsidRPr="00941F74">
        <w:rPr>
          <w:rFonts w:cstheme="minorHAnsi"/>
          <w:lang w:val="en-US"/>
        </w:rPr>
        <w:t>EDs</w:t>
      </w:r>
      <w:r w:rsidRPr="00941F74">
        <w:rPr>
          <w:rFonts w:cstheme="minorHAnsi"/>
          <w:lang w:val="en-US"/>
        </w:rPr>
        <w:t xml:space="preserve"> at TW1995. The residual autocorrelation of the models </w:t>
      </w:r>
      <w:r w:rsidR="00317CB5" w:rsidRPr="00941F74">
        <w:rPr>
          <w:rFonts w:cstheme="minorHAnsi"/>
          <w:lang w:val="en-US"/>
        </w:rPr>
        <w:fldChar w:fldCharType="begin"/>
      </w:r>
      <w:r w:rsidR="003B1EC2">
        <w:rPr>
          <w:rFonts w:cstheme="minorHAnsi"/>
          <w:lang w:val="en-US"/>
        </w:rPr>
        <w:instrText xml:space="preserve"> ADDIN ZOTERO_ITEM CSL_CITATION {"citationID":"yicQPRQ3","properties":{"formattedCitation":"(Crase et al., 2012)","plainCitation":"(Crase et al., 2012)","noteIndex":0},"citationItems":[{"id":2553,"uris":["http://zotero.org/users/10290022/items/EZZPTYFX"],"itemData":{"id":2553,"type":"article-journal","abstract":"Species distribution modelling (SDM) is a widely used tool and has many applications in ecology and conservation biology. Spatial autocorrelation (SAC), a pattern in which observations are related to one another by their geographic distance, is common in georeferenced ecological data. SAC in the residuals of SDMs violates the ‘independent errors’ assumption required to justify the use of statistical models in modelling species’ distributions. The autologistic modelling approach accounts for SAC by including an additional term (the autocovariate) representing the similarity between the value of the response variable at a location and neighbouring locations. However, autologistic models have been found to introduce bias in the estimation of parameters describing the influence of explanatory variables on habitat occupancy. To address this problem we developed an extension to the autologistic approach by calculating the autocovariate on SAC in residuals (the RAC approach). Performance of the new approach was tested on simulated data with a known spatial structure and on strongly autocorrelated mangrove species’ distribution data collected in northern Australia. The RAC approach was implemented as generalized linear models (GLMs) and boosted regression tree (BRT) models. We found that the BRT models with only environmental explanatory variables can account for some SAC, but applying the standard autologistic or RAC approaches further reduced SAC in model residuals and substantially improved model predictive performance. The RAC approach showed stronger inferential performance than the standard autologistic approach, as parameter estimates were more accurate and statistically significant variables were accurately identified. The new RAC approach presented here has the potential to account for spatial autocorrelation while maintaining strong predictive and inferential performance, and can be implemented across a range of modelling approaches.","container-title":"Ecography","DOI":"10.1111/j.1600-0587.2011.07138.x","ISSN":"09067590","issue":"10","note":"PMID: 25246403\narXiv: 1011.1669v3\nISBN: 1600-0587","page":"879-888","title":"A new method for dealing with residual spatial autocorrelation in species distribution models","URL":"https://www.researchgate.net/profile/Beth_Crase/publication/260098187_A_new_method_for_dealing_with_residual_spatial_autocorrelation_in_species_distribution_models/links/59f01e16a6fdcce2096dd116/A-new-method-for-dealing-with-residual-spatial-autocorrelati","volume":"35","author":[{"family":"Crase","given":"Beth"},{"family":"Liedloff","given":"Adam C."},{"family":"Wintle","given":"Brendan A."}],"accessed":{"date-parts":[["2018",4,27]]},"issued":{"date-parts":[["2012"]]}}}],"schema":"https://github.com/citation-style-language/schema/raw/master/csl-citation.json"} </w:instrText>
      </w:r>
      <w:r w:rsidR="00317CB5" w:rsidRPr="00941F74">
        <w:rPr>
          <w:rFonts w:cstheme="minorHAnsi"/>
          <w:lang w:val="en-US"/>
        </w:rPr>
        <w:fldChar w:fldCharType="separate"/>
      </w:r>
      <w:r w:rsidR="003B1EC2" w:rsidRPr="003B1EC2">
        <w:rPr>
          <w:rFonts w:ascii="Calibri" w:hAnsi="Calibri" w:cs="Calibri"/>
          <w:lang w:val="en-US"/>
        </w:rPr>
        <w:t>(Crase et al., 2012)</w:t>
      </w:r>
      <w:r w:rsidR="00317CB5" w:rsidRPr="00941F74">
        <w:rPr>
          <w:rFonts w:cstheme="minorHAnsi"/>
          <w:lang w:val="en-US"/>
        </w:rPr>
        <w:fldChar w:fldCharType="end"/>
      </w:r>
      <w:r w:rsidR="00317CB5" w:rsidRPr="00941F74">
        <w:rPr>
          <w:rFonts w:cstheme="minorHAnsi"/>
          <w:lang w:val="en-US"/>
        </w:rPr>
        <w:t xml:space="preserve"> </w:t>
      </w:r>
      <w:r w:rsidR="00014033">
        <w:rPr>
          <w:rFonts w:cstheme="minorHAnsi"/>
          <w:lang w:val="en-US"/>
        </w:rPr>
        <w:t>was</w:t>
      </w:r>
      <w:r w:rsidR="00014033" w:rsidRPr="00941F74">
        <w:rPr>
          <w:rFonts w:cstheme="minorHAnsi"/>
          <w:lang w:val="en-US"/>
        </w:rPr>
        <w:t xml:space="preserve"> </w:t>
      </w:r>
      <w:r w:rsidRPr="00941F74">
        <w:rPr>
          <w:rFonts w:cstheme="minorHAnsi"/>
          <w:lang w:val="en-US"/>
        </w:rPr>
        <w:t xml:space="preserve">previously considered </w:t>
      </w:r>
      <w:r w:rsidR="00393CED" w:rsidRPr="00941F74">
        <w:rPr>
          <w:rFonts w:cstheme="minorHAnsi"/>
          <w:lang w:val="en-US"/>
        </w:rPr>
        <w:t>but</w:t>
      </w:r>
      <w:r w:rsidRPr="00941F74">
        <w:rPr>
          <w:rFonts w:cstheme="minorHAnsi"/>
          <w:lang w:val="en-US"/>
        </w:rPr>
        <w:t xml:space="preserve"> </w:t>
      </w:r>
      <w:r w:rsidR="00393CED" w:rsidRPr="00941F74">
        <w:rPr>
          <w:rFonts w:cstheme="minorHAnsi"/>
          <w:lang w:val="en-US"/>
        </w:rPr>
        <w:t xml:space="preserve">produced </w:t>
      </w:r>
      <w:r w:rsidRPr="00941F74">
        <w:rPr>
          <w:rFonts w:cstheme="minorHAnsi"/>
          <w:lang w:val="en-US"/>
        </w:rPr>
        <w:t xml:space="preserve">too strong </w:t>
      </w:r>
      <w:r w:rsidR="00014033">
        <w:rPr>
          <w:rFonts w:cstheme="minorHAnsi"/>
          <w:lang w:val="en-US"/>
        </w:rPr>
        <w:t xml:space="preserve">a </w:t>
      </w:r>
      <w:r w:rsidRPr="00941F74">
        <w:rPr>
          <w:rFonts w:cstheme="minorHAnsi"/>
          <w:lang w:val="en-US"/>
        </w:rPr>
        <w:t>constraint in the models (not shown).</w:t>
      </w:r>
    </w:p>
    <w:p w14:paraId="25C261D1" w14:textId="4FA68D30" w:rsidR="00C312CE" w:rsidRPr="00941F74" w:rsidRDefault="00C312CE">
      <w:pPr>
        <w:spacing w:line="480" w:lineRule="auto"/>
        <w:rPr>
          <w:rFonts w:cstheme="minorHAnsi"/>
          <w:lang w:val="en-US"/>
        </w:rPr>
      </w:pPr>
      <w:r w:rsidRPr="00941F74">
        <w:rPr>
          <w:rFonts w:cstheme="minorHAnsi"/>
          <w:lang w:val="en-GB"/>
        </w:rPr>
        <w:t>The</w:t>
      </w:r>
      <w:r w:rsidR="00393CED" w:rsidRPr="00941F74">
        <w:rPr>
          <w:rFonts w:cstheme="minorHAnsi"/>
          <w:lang w:val="en-GB"/>
        </w:rPr>
        <w:t xml:space="preserve">n, </w:t>
      </w:r>
      <w:r w:rsidRPr="00941F74">
        <w:rPr>
          <w:rFonts w:cstheme="minorHAnsi"/>
          <w:lang w:val="en-GB"/>
        </w:rPr>
        <w:t>EVs</w:t>
      </w:r>
      <w:r w:rsidR="00393CED" w:rsidRPr="00941F74">
        <w:rPr>
          <w:rFonts w:cstheme="minorHAnsi"/>
          <w:lang w:val="en-GB"/>
        </w:rPr>
        <w:t xml:space="preserve"> </w:t>
      </w:r>
      <w:r w:rsidR="006B7B58" w:rsidRPr="00941F74">
        <w:rPr>
          <w:rFonts w:cstheme="minorHAnsi"/>
          <w:lang w:val="en-GB"/>
        </w:rPr>
        <w:t>were</w:t>
      </w:r>
      <w:r w:rsidRPr="00941F74">
        <w:rPr>
          <w:rFonts w:cstheme="minorHAnsi"/>
          <w:lang w:val="en-GB"/>
        </w:rPr>
        <w:t xml:space="preserve"> included</w:t>
      </w:r>
      <w:r w:rsidR="00393CED" w:rsidRPr="00941F74">
        <w:rPr>
          <w:rFonts w:cstheme="minorHAnsi"/>
          <w:lang w:val="en-GB"/>
        </w:rPr>
        <w:t xml:space="preserve"> as </w:t>
      </w:r>
      <w:r w:rsidR="006B7B58" w:rsidRPr="00941F74">
        <w:rPr>
          <w:rFonts w:cstheme="minorHAnsi"/>
          <w:lang w:val="en-GB"/>
        </w:rPr>
        <w:t xml:space="preserve">auxiliary </w:t>
      </w:r>
      <w:r w:rsidR="00393CED" w:rsidRPr="00941F74">
        <w:rPr>
          <w:rFonts w:cstheme="minorHAnsi"/>
          <w:lang w:val="en-GB"/>
        </w:rPr>
        <w:t xml:space="preserve">explanatory variables of past </w:t>
      </w:r>
      <w:r w:rsidR="00BC10A2" w:rsidRPr="00941F74">
        <w:rPr>
          <w:rFonts w:cstheme="minorHAnsi"/>
          <w:lang w:val="en-GB"/>
        </w:rPr>
        <w:t>LCT distributions</w:t>
      </w:r>
      <w:r w:rsidRPr="00941F74">
        <w:rPr>
          <w:rFonts w:cstheme="minorHAnsi"/>
          <w:lang w:val="en-GB"/>
        </w:rPr>
        <w:t xml:space="preserve"> to take into account the influence of environmental variability </w:t>
      </w:r>
      <w:r w:rsidR="00BC10A2" w:rsidRPr="00941F74">
        <w:rPr>
          <w:rFonts w:cstheme="minorHAnsi"/>
          <w:lang w:val="en-GB"/>
        </w:rPr>
        <w:t>o</w:t>
      </w:r>
      <w:r w:rsidRPr="00941F74">
        <w:rPr>
          <w:rFonts w:cstheme="minorHAnsi"/>
          <w:lang w:val="en-GB"/>
        </w:rPr>
        <w:t>n the vegetation</w:t>
      </w:r>
      <w:r w:rsidR="00BC10A2" w:rsidRPr="00941F74">
        <w:rPr>
          <w:rFonts w:cstheme="minorHAnsi"/>
          <w:lang w:val="en-GB"/>
        </w:rPr>
        <w:t xml:space="preserve"> distribution</w:t>
      </w:r>
      <w:r w:rsidRPr="00941F74">
        <w:rPr>
          <w:rFonts w:cstheme="minorHAnsi"/>
          <w:lang w:val="en-GB"/>
        </w:rPr>
        <w:t xml:space="preserve">. The average elevation, exposure, slope and curvature were estimated from the </w:t>
      </w:r>
      <w:r w:rsidR="007C4906" w:rsidRPr="00941F74">
        <w:rPr>
          <w:rFonts w:cstheme="minorHAnsi"/>
          <w:lang w:val="en-GB"/>
        </w:rPr>
        <w:t>DEM</w:t>
      </w:r>
      <w:r w:rsidRPr="00941F74">
        <w:rPr>
          <w:rFonts w:cstheme="minorHAnsi"/>
          <w:lang w:val="en-GB"/>
        </w:rPr>
        <w:t xml:space="preserve">. In order to obtain a North-South gradient, the exposure values were set between 0° (North) and 180° (South). As the presence of water in the vicinity is another environmental factor influencing the vegetation composition, the distance of each pixel to the nearest water point was also estimated, based on the water surfaces extracted from the </w:t>
      </w:r>
      <w:r w:rsidR="00BC10A2" w:rsidRPr="00941F74">
        <w:rPr>
          <w:rFonts w:cstheme="minorHAnsi"/>
          <w:lang w:val="en-GB"/>
        </w:rPr>
        <w:t xml:space="preserve">original 2008 </w:t>
      </w:r>
      <w:r w:rsidRPr="00941F74">
        <w:rPr>
          <w:rFonts w:cstheme="minorHAnsi"/>
          <w:lang w:val="en-GB"/>
        </w:rPr>
        <w:t>land-cover map.</w:t>
      </w:r>
    </w:p>
    <w:p w14:paraId="2D2F5D3A" w14:textId="3BB643CA" w:rsidR="00C312CE" w:rsidRPr="00941F74" w:rsidRDefault="00385B9C">
      <w:pPr>
        <w:pStyle w:val="Titre2"/>
        <w:numPr>
          <w:ilvl w:val="1"/>
          <w:numId w:val="23"/>
        </w:numPr>
        <w:spacing w:line="480" w:lineRule="auto"/>
        <w:rPr>
          <w:rFonts w:asciiTheme="minorHAnsi" w:hAnsiTheme="minorHAnsi" w:cstheme="minorHAnsi"/>
          <w:sz w:val="22"/>
          <w:szCs w:val="22"/>
          <w:lang w:val="en-US"/>
        </w:rPr>
      </w:pPr>
      <w:r w:rsidRPr="00941F74">
        <w:rPr>
          <w:rFonts w:asciiTheme="minorHAnsi" w:hAnsiTheme="minorHAnsi" w:cstheme="minorHAnsi"/>
          <w:sz w:val="22"/>
          <w:szCs w:val="22"/>
          <w:lang w:val="en-US"/>
        </w:rPr>
        <w:t>Backward l</w:t>
      </w:r>
      <w:r w:rsidR="00C312CE" w:rsidRPr="00941F74">
        <w:rPr>
          <w:rFonts w:asciiTheme="minorHAnsi" w:hAnsiTheme="minorHAnsi" w:cstheme="minorHAnsi"/>
          <w:sz w:val="22"/>
          <w:szCs w:val="22"/>
          <w:lang w:val="en-US"/>
        </w:rPr>
        <w:t>and</w:t>
      </w:r>
      <w:r w:rsidR="002E1DD3" w:rsidRPr="00941F74">
        <w:rPr>
          <w:rFonts w:asciiTheme="minorHAnsi" w:hAnsiTheme="minorHAnsi" w:cstheme="minorHAnsi"/>
          <w:sz w:val="22"/>
          <w:szCs w:val="22"/>
          <w:lang w:val="en-US"/>
        </w:rPr>
        <w:t>scape</w:t>
      </w:r>
      <w:r w:rsidR="00C312CE" w:rsidRPr="00941F74">
        <w:rPr>
          <w:rFonts w:asciiTheme="minorHAnsi" w:hAnsiTheme="minorHAnsi" w:cstheme="minorHAnsi"/>
          <w:sz w:val="22"/>
          <w:szCs w:val="22"/>
          <w:lang w:val="en-US"/>
        </w:rPr>
        <w:t xml:space="preserve"> modelling</w:t>
      </w:r>
    </w:p>
    <w:p w14:paraId="1BDD0819" w14:textId="7065D3A9" w:rsidR="005771E8" w:rsidRPr="00941F74" w:rsidRDefault="005771E8">
      <w:pPr>
        <w:spacing w:line="480" w:lineRule="auto"/>
        <w:rPr>
          <w:lang w:val="en-US"/>
        </w:rPr>
      </w:pPr>
      <w:r w:rsidRPr="00941F74">
        <w:rPr>
          <w:lang w:val="en-US"/>
        </w:rPr>
        <w:t>The last stage of the BACKLAND approach for landscape backward prediction involves (3.3.1.) learning and applying the models to the set of variables for then (3.3.2.) backward-modelling a land-cover map and assessing its similarity with the observed data (</w:t>
      </w:r>
      <w:r w:rsidRPr="00941F74">
        <w:rPr>
          <w:color w:val="FF0000"/>
          <w:lang w:val="en-US"/>
        </w:rPr>
        <w:t>Fig.3c</w:t>
      </w:r>
      <w:r w:rsidRPr="00941F74">
        <w:rPr>
          <w:lang w:val="en-US"/>
        </w:rPr>
        <w:t>).</w:t>
      </w:r>
    </w:p>
    <w:p w14:paraId="7846CF99" w14:textId="5F18EC86" w:rsidR="00C312CE" w:rsidRPr="00941F74" w:rsidRDefault="00D62525">
      <w:pPr>
        <w:pStyle w:val="Titre3"/>
        <w:spacing w:line="480" w:lineRule="auto"/>
        <w:rPr>
          <w:rFonts w:cstheme="minorHAnsi"/>
          <w:lang w:val="en-US"/>
        </w:rPr>
      </w:pPr>
      <w:r w:rsidRPr="00941F74">
        <w:rPr>
          <w:rFonts w:asciiTheme="minorHAnsi" w:hAnsiTheme="minorHAnsi" w:cstheme="minorHAnsi"/>
          <w:b/>
          <w:sz w:val="22"/>
          <w:szCs w:val="22"/>
          <w:lang w:val="en-US"/>
        </w:rPr>
        <w:lastRenderedPageBreak/>
        <w:t xml:space="preserve">3.3.1. </w:t>
      </w:r>
      <w:r w:rsidR="00C312CE" w:rsidRPr="00941F74">
        <w:rPr>
          <w:rFonts w:asciiTheme="minorHAnsi" w:hAnsiTheme="minorHAnsi" w:cstheme="minorHAnsi"/>
          <w:b/>
          <w:sz w:val="22"/>
          <w:szCs w:val="22"/>
          <w:lang w:val="en-US"/>
        </w:rPr>
        <w:t>Land-cover</w:t>
      </w:r>
      <w:r w:rsidR="002E1DD3" w:rsidRPr="00941F74">
        <w:rPr>
          <w:rFonts w:asciiTheme="minorHAnsi" w:hAnsiTheme="minorHAnsi" w:cstheme="minorHAnsi"/>
          <w:b/>
          <w:sz w:val="22"/>
          <w:szCs w:val="22"/>
          <w:lang w:val="en-US"/>
        </w:rPr>
        <w:t xml:space="preserve"> types</w:t>
      </w:r>
      <w:r w:rsidR="00C312CE" w:rsidRPr="00941F74">
        <w:rPr>
          <w:rFonts w:asciiTheme="minorHAnsi" w:hAnsiTheme="minorHAnsi" w:cstheme="minorHAnsi"/>
          <w:b/>
          <w:sz w:val="22"/>
          <w:szCs w:val="22"/>
          <w:lang w:val="en-US"/>
        </w:rPr>
        <w:t xml:space="preserve"> multiple linear regressions</w:t>
      </w:r>
    </w:p>
    <w:p w14:paraId="6EE9629B" w14:textId="7F5193F0" w:rsidR="00C312CE" w:rsidRPr="00941F74" w:rsidRDefault="00C312CE">
      <w:pPr>
        <w:spacing w:after="0" w:line="480" w:lineRule="auto"/>
        <w:rPr>
          <w:rFonts w:cstheme="minorHAnsi"/>
          <w:lang w:val="en-GB"/>
        </w:rPr>
      </w:pPr>
      <w:r w:rsidRPr="00941F74">
        <w:rPr>
          <w:rFonts w:cstheme="minorHAnsi"/>
          <w:lang w:val="en-GB"/>
        </w:rPr>
        <w:t>The relationship between</w:t>
      </w:r>
      <w:r w:rsidR="00523F42" w:rsidRPr="00941F74">
        <w:rPr>
          <w:rFonts w:cstheme="minorHAnsi"/>
          <w:lang w:val="en-GB"/>
        </w:rPr>
        <w:t xml:space="preserve"> LCT</w:t>
      </w:r>
      <w:r w:rsidRPr="00941F74">
        <w:rPr>
          <w:rFonts w:cstheme="minorHAnsi"/>
          <w:lang w:val="en-GB"/>
        </w:rPr>
        <w:t xml:space="preserve"> densities and explanatory variables (EDs and EVs) was explored by ordinary multiple linear regressions, commonly used in the statistical analysis of spatial data and to predict distribution maps </w:t>
      </w:r>
      <w:r w:rsidRPr="00941F74">
        <w:rPr>
          <w:rFonts w:cstheme="minorHAnsi"/>
          <w:lang w:val="en-GB"/>
        </w:rPr>
        <w:fldChar w:fldCharType="begin" w:fldLock="1"/>
      </w:r>
      <w:r w:rsidR="003B1EC2">
        <w:rPr>
          <w:rFonts w:cstheme="minorHAnsi"/>
          <w:lang w:val="en-GB"/>
        </w:rPr>
        <w:instrText xml:space="preserve"> ADDIN ZOTERO_ITEM CSL_CITATION {"citationID":"e9YsOpbX","properties":{"formattedCitation":"(Guisan and Zimmermann, 2000)","plainCitation":"(Guisan and Zimmermann, 2000)","noteIndex":0},"citationItems":[{"id":596,"uris":["http://www.mendeley.com/documents/?uuid=f8da63c1-2423-4c45-9ee8-d522c5f3fb84","http://zotero.org/users/10290022/items/2VLG74PS"],"itemData":{"id":596,"type":"article-journal","container-title":"Ecological Modelling","DOI":"https://doi.org/10.1016/S0304-3800(00)00354-9","issue":"2-3","page":"147-186","title":"Predictive habitat distribution models in ecology","volume":"135","author":[{"family":"Guisan","given":"Antoine"},{"family":"Zimmermann","given":"Niklaus E"}],"issued":{"date-parts":[["2000"]]}}}],"schema":"https://github.com/citation-style-language/schema/raw/master/csl-citation.json"} </w:instrText>
      </w:r>
      <w:r w:rsidRPr="00941F74">
        <w:rPr>
          <w:rFonts w:cstheme="minorHAnsi"/>
          <w:lang w:val="en-GB"/>
        </w:rPr>
        <w:fldChar w:fldCharType="separate"/>
      </w:r>
      <w:r w:rsidR="003B1EC2" w:rsidRPr="003B1EC2">
        <w:rPr>
          <w:rFonts w:ascii="Calibri" w:hAnsi="Calibri" w:cs="Calibri"/>
          <w:lang w:val="en-US"/>
        </w:rPr>
        <w:t>(Guisan and Zimmermann, 2000)</w:t>
      </w:r>
      <w:r w:rsidRPr="00941F74">
        <w:rPr>
          <w:rFonts w:cstheme="minorHAnsi"/>
          <w:lang w:val="en-GB"/>
        </w:rPr>
        <w:fldChar w:fldCharType="end"/>
      </w:r>
      <w:r w:rsidRPr="00941F74">
        <w:rPr>
          <w:rFonts w:cstheme="minorHAnsi"/>
          <w:lang w:val="en-GB"/>
        </w:rPr>
        <w:t xml:space="preserve">. One linear regression was built for each </w:t>
      </w:r>
      <w:r w:rsidR="003101A0" w:rsidRPr="00941F74">
        <w:rPr>
          <w:rFonts w:cstheme="minorHAnsi"/>
          <w:lang w:val="en-GB"/>
        </w:rPr>
        <w:t>LCT</w:t>
      </w:r>
      <w:r w:rsidRPr="00941F74">
        <w:rPr>
          <w:rFonts w:cstheme="minorHAnsi"/>
          <w:lang w:val="en-GB"/>
        </w:rPr>
        <w:t xml:space="preserve">, assuming that </w:t>
      </w:r>
      <w:r w:rsidR="003101A0" w:rsidRPr="00941F74">
        <w:rPr>
          <w:rFonts w:cstheme="minorHAnsi"/>
          <w:lang w:val="en-GB"/>
        </w:rPr>
        <w:t>their</w:t>
      </w:r>
      <w:r w:rsidRPr="00941F74">
        <w:rPr>
          <w:rFonts w:cstheme="minorHAnsi"/>
          <w:lang w:val="en-GB"/>
        </w:rPr>
        <w:t xml:space="preserve"> densities follow a Gaussian distribution and respond linearly to </w:t>
      </w:r>
      <w:r w:rsidR="003101A0" w:rsidRPr="00941F74">
        <w:rPr>
          <w:rFonts w:cstheme="minorHAnsi"/>
          <w:lang w:val="en-GB"/>
        </w:rPr>
        <w:t>the explanatory</w:t>
      </w:r>
      <w:r w:rsidRPr="00941F74">
        <w:rPr>
          <w:rFonts w:cstheme="minorHAnsi"/>
          <w:lang w:val="en-GB"/>
        </w:rPr>
        <w:t xml:space="preserve"> variables. Since we consider</w:t>
      </w:r>
      <w:r w:rsidR="003101A0" w:rsidRPr="00941F74">
        <w:rPr>
          <w:rFonts w:cstheme="minorHAnsi"/>
          <w:lang w:val="en-GB"/>
        </w:rPr>
        <w:t>ed</w:t>
      </w:r>
      <w:r w:rsidRPr="00941F74">
        <w:rPr>
          <w:rFonts w:cstheme="minorHAnsi"/>
          <w:lang w:val="en-GB"/>
        </w:rPr>
        <w:t xml:space="preserve"> the composition of </w:t>
      </w:r>
      <w:r w:rsidR="00014033">
        <w:rPr>
          <w:rFonts w:cstheme="minorHAnsi"/>
          <w:lang w:val="en-GB"/>
        </w:rPr>
        <w:t>an</w:t>
      </w:r>
      <w:r w:rsidR="00014033" w:rsidRPr="00941F74">
        <w:rPr>
          <w:rFonts w:cstheme="minorHAnsi"/>
          <w:lang w:val="en-GB"/>
        </w:rPr>
        <w:t xml:space="preserve"> </w:t>
      </w:r>
      <w:r w:rsidR="003101A0" w:rsidRPr="00941F74">
        <w:rPr>
          <w:rFonts w:cstheme="minorHAnsi"/>
          <w:lang w:val="en-GB"/>
        </w:rPr>
        <w:t>LCT</w:t>
      </w:r>
      <w:r w:rsidRPr="00941F74">
        <w:rPr>
          <w:rFonts w:cstheme="minorHAnsi"/>
          <w:lang w:val="en-GB"/>
        </w:rPr>
        <w:t xml:space="preserve"> to be constant,</w:t>
      </w:r>
      <w:r w:rsidRPr="00941F74">
        <w:rPr>
          <w:rFonts w:cstheme="minorHAnsi"/>
          <w:lang w:val="en-US"/>
        </w:rPr>
        <w:t xml:space="preserve"> the model of a given </w:t>
      </w:r>
      <w:r w:rsidRPr="00941F74">
        <w:rPr>
          <w:rFonts w:cstheme="minorHAnsi"/>
          <w:lang w:val="en-GB"/>
        </w:rPr>
        <w:t xml:space="preserve">type contains only the EDs of taxa whose presence in this type </w:t>
      </w:r>
      <w:r w:rsidR="00F95782" w:rsidRPr="00941F74">
        <w:rPr>
          <w:rFonts w:cstheme="minorHAnsi"/>
          <w:lang w:val="en-GB"/>
        </w:rPr>
        <w:t>was</w:t>
      </w:r>
      <w:r w:rsidRPr="00941F74">
        <w:rPr>
          <w:rFonts w:cstheme="minorHAnsi"/>
          <w:lang w:val="en-GB"/>
        </w:rPr>
        <w:t xml:space="preserve"> attested by the botanical data. The purpose of this supervision </w:t>
      </w:r>
      <w:r w:rsidR="00F95782" w:rsidRPr="00941F74">
        <w:rPr>
          <w:rFonts w:cstheme="minorHAnsi"/>
          <w:lang w:val="en-GB"/>
        </w:rPr>
        <w:t>was</w:t>
      </w:r>
      <w:r w:rsidRPr="00941F74">
        <w:rPr>
          <w:rFonts w:cstheme="minorHAnsi"/>
          <w:lang w:val="en-GB"/>
        </w:rPr>
        <w:t xml:space="preserve"> to help the models </w:t>
      </w:r>
      <w:r w:rsidR="00014033">
        <w:rPr>
          <w:rFonts w:cstheme="minorHAnsi"/>
          <w:lang w:val="en-GB"/>
        </w:rPr>
        <w:t>produce</w:t>
      </w:r>
      <w:r w:rsidR="00014033" w:rsidRPr="00941F74">
        <w:rPr>
          <w:rFonts w:cstheme="minorHAnsi"/>
          <w:lang w:val="en-GB"/>
        </w:rPr>
        <w:t xml:space="preserve"> </w:t>
      </w:r>
      <w:r w:rsidRPr="00941F74">
        <w:rPr>
          <w:rFonts w:cstheme="minorHAnsi"/>
          <w:lang w:val="en-GB"/>
        </w:rPr>
        <w:t xml:space="preserve">a relevant statistical link. Then, a stepwise regression </w:t>
      </w:r>
      <w:r w:rsidR="00F95782" w:rsidRPr="00941F74">
        <w:rPr>
          <w:rFonts w:cstheme="minorHAnsi"/>
          <w:lang w:val="en-GB"/>
        </w:rPr>
        <w:t>was</w:t>
      </w:r>
      <w:r w:rsidRPr="00941F74">
        <w:rPr>
          <w:rFonts w:cstheme="minorHAnsi"/>
          <w:lang w:val="en-GB"/>
        </w:rPr>
        <w:t xml:space="preserve"> applied to each model as a first analysis, in order to select only the EDs and EVs whose variation significantly explain</w:t>
      </w:r>
      <w:r w:rsidR="00F95782" w:rsidRPr="00941F74">
        <w:rPr>
          <w:rFonts w:cstheme="minorHAnsi"/>
          <w:lang w:val="en-GB"/>
        </w:rPr>
        <w:t>ed</w:t>
      </w:r>
      <w:r w:rsidRPr="00941F74">
        <w:rPr>
          <w:rFonts w:cstheme="minorHAnsi"/>
          <w:lang w:val="en-GB"/>
        </w:rPr>
        <w:t xml:space="preserve"> the variance of the studied </w:t>
      </w:r>
      <w:r w:rsidR="00F95782" w:rsidRPr="00941F74">
        <w:rPr>
          <w:rFonts w:cstheme="minorHAnsi"/>
          <w:lang w:val="en-GB"/>
        </w:rPr>
        <w:t>LCT</w:t>
      </w:r>
      <w:r w:rsidRPr="00941F74">
        <w:rPr>
          <w:rFonts w:cstheme="minorHAnsi"/>
          <w:lang w:val="en-GB"/>
        </w:rPr>
        <w:t xml:space="preserve"> density </w:t>
      </w:r>
      <w:r w:rsidR="006330DE" w:rsidRPr="0053014C">
        <w:rPr>
          <w:lang w:val="en-US"/>
        </w:rPr>
        <w:t>(</w:t>
      </w:r>
      <w:r w:rsidR="006330DE" w:rsidRPr="0053014C">
        <w:rPr>
          <w:i/>
          <w:lang w:val="en-US"/>
        </w:rPr>
        <w:t>p</w:t>
      </w:r>
      <w:r w:rsidR="006330DE" w:rsidRPr="0053014C">
        <w:rPr>
          <w:lang w:val="en-US"/>
        </w:rPr>
        <w:t xml:space="preserve"> &lt; 0.05)</w:t>
      </w:r>
      <w:r w:rsidR="006330DE">
        <w:rPr>
          <w:lang w:val="en-US"/>
        </w:rPr>
        <w:t xml:space="preserve">. </w:t>
      </w:r>
      <w:r w:rsidRPr="00941F74">
        <w:rPr>
          <w:rFonts w:cstheme="minorHAnsi"/>
          <w:lang w:val="en-GB"/>
        </w:rPr>
        <w:t xml:space="preserve">The models and stepwise regressions </w:t>
      </w:r>
      <w:r w:rsidR="00F95782" w:rsidRPr="00941F74">
        <w:rPr>
          <w:rFonts w:cstheme="minorHAnsi"/>
          <w:lang w:val="en-GB"/>
        </w:rPr>
        <w:t>were</w:t>
      </w:r>
      <w:r w:rsidRPr="00941F74">
        <w:rPr>
          <w:rFonts w:cstheme="minorHAnsi"/>
          <w:lang w:val="en-GB"/>
        </w:rPr>
        <w:t xml:space="preserve"> computed using</w:t>
      </w:r>
      <w:r w:rsidR="00014033">
        <w:rPr>
          <w:rFonts w:cstheme="minorHAnsi"/>
          <w:lang w:val="en-GB"/>
        </w:rPr>
        <w:t xml:space="preserve"> the</w:t>
      </w:r>
      <w:r w:rsidRPr="00941F74">
        <w:rPr>
          <w:rFonts w:cstheme="minorHAnsi"/>
          <w:lang w:val="en-GB"/>
        </w:rPr>
        <w:t xml:space="preserve"> "stats" and "MASS" packages </w:t>
      </w:r>
      <w:r w:rsidR="004B4493" w:rsidRPr="00941F74">
        <w:rPr>
          <w:rFonts w:cstheme="minorHAnsi"/>
          <w:lang w:val="en-GB"/>
        </w:rPr>
        <w:fldChar w:fldCharType="begin"/>
      </w:r>
      <w:r w:rsidR="003B1EC2">
        <w:rPr>
          <w:rFonts w:cstheme="minorHAnsi"/>
          <w:lang w:val="en-GB"/>
        </w:rPr>
        <w:instrText xml:space="preserve"> ADDIN ZOTERO_ITEM CSL_CITATION {"citationID":"uU73B4vn","properties":{"formattedCitation":"(R Core Team, 2021; Ripley et al., 2013)","plainCitation":"(R Core Team, 2021; Ripley et al., 2013)","noteIndex":0},"citationItems":[{"id":3266,"uris":["http://zotero.org/users/10290022/items/KLS2DV9T"],"itemData":{"id":3266,"type":"software","event-place":"Vienna","publisher":"R Foundation for Statistical Computing","publisher-place":"Vienna","title":"R: A Language and environment for statistical computing","URL":"https://www.R-project.org/","author":[{"family":"R Core Team","given":""}],"issued":{"date-parts":[["2021"]]}}},{"id":3316,"uris":["http://zotero.org/users/10290022/items/2ES5SNL5"],"itemData":{"id":3316,"type":"article-journal","container-title":"Cran r","page":"113-120","title":"Package 'mass'","volume":"538","author":[{"family":"Ripley","given":"B."},{"family":"Venables","given":"B."},{"family":"Bates","given":"D. M."},{"family":"Hornik","given":"K."},{"family":"Gebhardt","given":"A."},{"family":"Firth","given":"D."},{"family":"Ripley","given":"M. B."}],"issued":{"date-parts":[["2013"]]}}}],"schema":"https://github.com/citation-style-language/schema/raw/master/csl-citation.json"} </w:instrText>
      </w:r>
      <w:r w:rsidR="004B4493" w:rsidRPr="00941F74">
        <w:rPr>
          <w:rFonts w:cstheme="minorHAnsi"/>
          <w:lang w:val="en-GB"/>
        </w:rPr>
        <w:fldChar w:fldCharType="separate"/>
      </w:r>
      <w:r w:rsidR="003B1EC2" w:rsidRPr="003B1EC2">
        <w:rPr>
          <w:rFonts w:ascii="Calibri" w:hAnsi="Calibri" w:cs="Calibri"/>
          <w:lang w:val="en-US"/>
        </w:rPr>
        <w:t>(R Core Team, 2021; Ripley et al., 2013)</w:t>
      </w:r>
      <w:r w:rsidR="004B4493" w:rsidRPr="00941F74">
        <w:rPr>
          <w:rFonts w:cstheme="minorHAnsi"/>
          <w:lang w:val="en-GB"/>
        </w:rPr>
        <w:fldChar w:fldCharType="end"/>
      </w:r>
      <w:r w:rsidRPr="00941F74">
        <w:rPr>
          <w:rFonts w:cstheme="minorHAnsi"/>
          <w:lang w:val="en-GB"/>
        </w:rPr>
        <w:t>.</w:t>
      </w:r>
    </w:p>
    <w:p w14:paraId="0A78BF89" w14:textId="7D6844AB" w:rsidR="00C312CE" w:rsidRPr="00941F74" w:rsidRDefault="00C312CE">
      <w:pPr>
        <w:spacing w:after="0" w:line="480" w:lineRule="auto"/>
        <w:rPr>
          <w:rFonts w:cstheme="minorHAnsi"/>
          <w:lang w:val="en-GB"/>
        </w:rPr>
      </w:pPr>
      <w:r w:rsidRPr="00941F74">
        <w:rPr>
          <w:rFonts w:cstheme="minorHAnsi"/>
          <w:lang w:val="en-GB"/>
        </w:rPr>
        <w:t xml:space="preserve">In order to estimate the prediction errors of the models, a K-fold cross-validation </w:t>
      </w:r>
      <w:r w:rsidR="00F95782" w:rsidRPr="00941F74">
        <w:rPr>
          <w:rFonts w:cstheme="minorHAnsi"/>
          <w:lang w:val="en-GB"/>
        </w:rPr>
        <w:t xml:space="preserve">was </w:t>
      </w:r>
      <w:r w:rsidRPr="00941F74">
        <w:rPr>
          <w:rFonts w:cstheme="minorHAnsi"/>
          <w:lang w:val="en-GB"/>
        </w:rPr>
        <w:t xml:space="preserve">implemented for the learning of each model </w:t>
      </w:r>
      <w:r w:rsidRPr="00941F74">
        <w:rPr>
          <w:rFonts w:cstheme="minorHAnsi"/>
          <w:lang w:val="en-GB"/>
        </w:rPr>
        <w:fldChar w:fldCharType="begin" w:fldLock="1"/>
      </w:r>
      <w:r w:rsidR="003B1EC2">
        <w:rPr>
          <w:rFonts w:cstheme="minorHAnsi"/>
          <w:lang w:val="en-GB"/>
        </w:rPr>
        <w:instrText xml:space="preserve"> ADDIN ZOTERO_ITEM CSL_CITATION {"citationID":"QmprlVxB","properties":{"formattedCitation":"(Bennett et al., 2013; Hastie et al., 2009)","plainCitation":"(Bennett et al., 2013; Hastie et al., 2009)","noteIndex":0},"citationItems":[{"id":3305,"uris":["http://zotero.org/users/10290022/items/BKDSQPG6"],"itemData":{"id":3305,"type":"article-journal","abstract":"In order to use environmental models effectively for management and decision-making, it is vital to establish an appropriate level of confidence in their performance. This paper reviews techniques available across various fields for characterising the performance of environmental models with focus on numerical, graphical and qualitative methods. General classes of direct value comparison, coupling real and modelled values, preserving data patterns, indirect metrics based on parameter values, and data transformations are discussed. In practice environmental modelling requires the use and implementation of workflows that combine several methods, tailored to the model purpose and dependent upon the data and information available. A five-step procedure for performance evaluation of models is suggested, with the key elements including: (i) (re)assessment of the model's aim, scale and scope; (ii) characterisation of the data for calibration and testing; (iii) visual and other analysis to detect under- or non-modelled behaviour and to gain an overview of overall performance; (iv) selection of basic performance criteria; and (v) consideration of more advanced methods to handle problems such as systematic divergence between modelled and observed values.","container-title":"Environmental Modelling &amp; Software","DOI":"10.1016/j.envsoft.2012.09.011","ISSN":"1364-8152","journalAbbreviation":"Environmental Modelling &amp; Software","language":"en","page":"1-20","source":"ScienceDirect","title":"Characterising performance of environmental models","URL":"https://www.sciencedirect.com/science/article/pii/S1364815212002435","volume":"40","author":[{"family":"Bennett","given":"Neil D."},{"family":"Croke","given":"Barry F. W."},{"family":"Guariso","given":"Giorgio"},{"family":"Guillaume","given":"Joseph H. A."},{"family":"Hamilton","given":"Serena H."},{"family":"Jakeman","given":"Anthony J."},{"family":"Marsili-Libelli","given":"Stefano"},{"family":"Newham","given":"Lachlan T. H."},{"family":"Norton","given":"John P."},{"family":"Perrin","given":"Charles"},{"family":"Pierce","given":"Suzanne A."},{"family":"Robson","given":"Barbara"},{"family":"Seppelt","given":"Ralf"},{"family":"Voinov","given":"Alexey A."},{"family":"Fath","given":"Brian D."},{"family":"Andreassian","given":"Vazken"}],"accessed":{"date-parts":[["2023",2,6]]},"issued":{"date-parts":[["2013",2,1]]}},"label":"page"},{"id":2332,"uris":["http://www.mendeley.com/documents/?uuid=f91b05eb-eb50-4d34-92de-c20e54d8b382","http://zotero.org/users/10290022/items/ZLQLKR3P"],"itemData":{"id":2332,"type":"chapter","container-title":"The Elements of Statistical Learning. Data Mining, Inference, and Prediction","note":"ISSN: 00349437","page":"241-259","publisher":"Springer Science &amp; Business Media","title":"Cross-Validation","author":[{"family":"Hastie","given":"Trevor"},{"family":"Tibshirani","given":"Robert"},{"family":"Friedman","given":"Jerome"}],"issued":{"date-parts":[["2009"]]}}}],"schema":"https://github.com/citation-style-language/schema/raw/master/csl-citation.json"} </w:instrText>
      </w:r>
      <w:r w:rsidRPr="00941F74">
        <w:rPr>
          <w:rFonts w:cstheme="minorHAnsi"/>
          <w:lang w:val="en-GB"/>
        </w:rPr>
        <w:fldChar w:fldCharType="separate"/>
      </w:r>
      <w:r w:rsidR="003B1EC2" w:rsidRPr="003B1EC2">
        <w:rPr>
          <w:rFonts w:ascii="Calibri" w:hAnsi="Calibri" w:cs="Calibri"/>
          <w:lang w:val="en-US"/>
        </w:rPr>
        <w:t>(Bennett et al., 2013; Hastie et al., 2009)</w:t>
      </w:r>
      <w:r w:rsidRPr="00941F74">
        <w:rPr>
          <w:rFonts w:cstheme="minorHAnsi"/>
          <w:lang w:val="en-GB"/>
        </w:rPr>
        <w:fldChar w:fldCharType="end"/>
      </w:r>
      <w:r w:rsidRPr="00941F74">
        <w:rPr>
          <w:rFonts w:cstheme="minorHAnsi"/>
          <w:lang w:val="en-GB"/>
        </w:rPr>
        <w:t xml:space="preserve">. The response variable (land-cover density) and the selected explanatory variables </w:t>
      </w:r>
      <w:r w:rsidR="00F95782" w:rsidRPr="00941F74">
        <w:rPr>
          <w:rFonts w:cstheme="minorHAnsi"/>
          <w:lang w:val="en-GB"/>
        </w:rPr>
        <w:t>were</w:t>
      </w:r>
      <w:r w:rsidRPr="00941F74">
        <w:rPr>
          <w:rFonts w:cstheme="minorHAnsi"/>
          <w:lang w:val="en-GB"/>
        </w:rPr>
        <w:t xml:space="preserve"> divided into ten random groups (the same for all models), each comprising 2,100 pixels. Then, ten different sub-models were run, each time removing a different group of pixels to perform the training on the other nine groups (18,900 pixels) and the prediction of the density of the </w:t>
      </w:r>
      <w:r w:rsidR="00F95782" w:rsidRPr="00941F74">
        <w:rPr>
          <w:rFonts w:cstheme="minorHAnsi"/>
          <w:lang w:val="en-GB"/>
        </w:rPr>
        <w:t>LCT</w:t>
      </w:r>
      <w:r w:rsidRPr="00941F74">
        <w:rPr>
          <w:rFonts w:cstheme="minorHAnsi"/>
          <w:lang w:val="en-GB"/>
        </w:rPr>
        <w:t xml:space="preserve"> in question on the excluded group. The </w:t>
      </w:r>
      <w:r w:rsidR="00F533AB" w:rsidRPr="00941F74">
        <w:rPr>
          <w:rFonts w:cstheme="minorHAnsi"/>
          <w:lang w:val="en-GB"/>
        </w:rPr>
        <w:t>N</w:t>
      </w:r>
      <w:r w:rsidRPr="00941F74">
        <w:rPr>
          <w:rFonts w:cstheme="minorHAnsi"/>
          <w:lang w:val="en-GB"/>
        </w:rPr>
        <w:t>ormalized Root Mean Square Errors (NRMSE</w:t>
      </w:r>
      <w:r w:rsidR="00F533AB" w:rsidRPr="00941F74">
        <w:rPr>
          <w:rFonts w:cstheme="minorHAnsi"/>
          <w:lang w:val="en-GB"/>
        </w:rPr>
        <w:t xml:space="preserve">, </w:t>
      </w:r>
      <w:r w:rsidR="00F533AB" w:rsidRPr="00941F74">
        <w:rPr>
          <w:rFonts w:cstheme="minorHAnsi"/>
          <w:lang w:val="en-GB"/>
        </w:rPr>
        <w:fldChar w:fldCharType="begin"/>
      </w:r>
      <w:r w:rsidR="00D92EB3">
        <w:rPr>
          <w:rFonts w:cstheme="minorHAnsi"/>
          <w:lang w:val="en-GB"/>
        </w:rPr>
        <w:instrText xml:space="preserve"> ADDIN ZOTERO_ITEM CSL_CITATION {"citationID":"k9tk59Ff","properties":{"formattedCitation":"(Shcherbakov et al., 2013)","plainCitation":"(Shcherbakov et al., 2013)","dontUpdate":true,"noteIndex":0},"citationItems":[{"id":3270,"uris":["http://zotero.org/users/10290022/items/BIMMSFIH"],"itemData":{"id":3270,"type":"article-journal","abstract":"This article reviews the common used forecast error measurements. All error measurements have been joined in the seven groups: absolute forecasting errors, measures based on percentage errors, symmetric errors, measures based on relative errors, scaled errors, relative measures and other error measures. The formulas are presented and drawbacks are discussed for every accuracy measurements. To reduce the impact of outliers, an Integral Normalized Mean Square Error have been proposed. Due to the fact that each error measure has the disadvantages that can lead to inaccurate evaluation of the forecasting results, it is impossible to choose only one measure, the recommendations for selecting the appropriate error measurements are given.","container-title":"World Applied Sciences Journal","DOI":"10.5829/idosi.wasj.2013.24.itmies.80032","issue":"24","language":"en","page":"171-176","source":"Zotero","title":"A Survey of Forecast Error Measures","volume":"24","author":[{"family":"Shcherbakov","given":"Maxim Vladimirovich"},{"family":"Brebels","given":"Adriaan"},{"family":"Shcherbakova","given":"Nataliya Lvovna"},{"family":"Tyukov","given":"Anton Pavlovich"},{"family":"Janovsky","given":"Timur Alexandrovich"},{"family":"Kamaev","given":"Valeriy Anatol’evich"}],"issued":{"date-parts":[["2013"]]}}}],"schema":"https://github.com/citation-style-language/schema/raw/master/csl-citation.json"} </w:instrText>
      </w:r>
      <w:r w:rsidR="00F533AB" w:rsidRPr="00941F74">
        <w:rPr>
          <w:rFonts w:cstheme="minorHAnsi"/>
          <w:lang w:val="en-GB"/>
        </w:rPr>
        <w:fldChar w:fldCharType="separate"/>
      </w:r>
      <w:r w:rsidR="00F533AB" w:rsidRPr="00941F74">
        <w:rPr>
          <w:rFonts w:ascii="Calibri" w:hAnsi="Calibri" w:cs="Calibri"/>
          <w:lang w:val="en-US"/>
        </w:rPr>
        <w:t>Shcherbakov et al., 2013)</w:t>
      </w:r>
      <w:r w:rsidR="00F533AB" w:rsidRPr="00941F74">
        <w:rPr>
          <w:rFonts w:cstheme="minorHAnsi"/>
          <w:lang w:val="en-GB"/>
        </w:rPr>
        <w:fldChar w:fldCharType="end"/>
      </w:r>
      <w:r w:rsidRPr="00941F74">
        <w:rPr>
          <w:rFonts w:cstheme="minorHAnsi"/>
          <w:lang w:val="en-GB"/>
        </w:rPr>
        <w:t xml:space="preserve"> </w:t>
      </w:r>
      <w:r w:rsidR="000E5CB3" w:rsidRPr="00941F74">
        <w:rPr>
          <w:rFonts w:cstheme="minorHAnsi"/>
          <w:lang w:val="en-GB"/>
        </w:rPr>
        <w:t xml:space="preserve">were </w:t>
      </w:r>
      <w:r w:rsidRPr="00941F74">
        <w:rPr>
          <w:rFonts w:cstheme="minorHAnsi"/>
          <w:lang w:val="en-GB"/>
        </w:rPr>
        <w:t>then used to estimate the prediction error of each LC</w:t>
      </w:r>
      <w:r w:rsidR="00F95782" w:rsidRPr="00941F74">
        <w:rPr>
          <w:rFonts w:cstheme="minorHAnsi"/>
          <w:lang w:val="en-GB"/>
        </w:rPr>
        <w:t>T</w:t>
      </w:r>
      <w:r w:rsidRPr="00941F74">
        <w:rPr>
          <w:rFonts w:cstheme="minorHAnsi"/>
          <w:lang w:val="en-GB"/>
        </w:rPr>
        <w:t xml:space="preserve"> sub-model and to compare the predictive power of the different models with each other:</w:t>
      </w:r>
    </w:p>
    <w:p w14:paraId="55589B8C" w14:textId="5552FB18" w:rsidR="00C312CE" w:rsidRPr="00941F74" w:rsidRDefault="00C312CE">
      <w:pPr>
        <w:spacing w:after="0" w:line="480" w:lineRule="auto"/>
        <w:rPr>
          <w:rFonts w:cstheme="minorHAnsi"/>
          <w:lang w:val="en-GB"/>
        </w:rPr>
      </w:pPr>
      <m:oMath>
        <m:r>
          <w:rPr>
            <w:rFonts w:ascii="Cambria Math" w:hAnsi="Cambria Math" w:cstheme="minorHAnsi"/>
            <w:lang w:val="en-GB"/>
          </w:rPr>
          <m:t>NRMSE=</m:t>
        </m:r>
        <m:f>
          <m:fPr>
            <m:type m:val="lin"/>
            <m:ctrlPr>
              <w:rPr>
                <w:rFonts w:ascii="Cambria Math" w:hAnsi="Cambria Math" w:cstheme="minorHAnsi"/>
                <w:i/>
                <w:lang w:val="en-GB"/>
              </w:rPr>
            </m:ctrlPr>
          </m:fPr>
          <m:num>
            <m:r>
              <w:rPr>
                <w:rFonts w:ascii="Cambria Math" w:hAnsi="Cambria Math" w:cstheme="minorHAnsi"/>
                <w:lang w:val="en-GB"/>
              </w:rPr>
              <m:t>RMSE</m:t>
            </m:r>
          </m:num>
          <m:den>
            <m:acc>
              <m:accPr>
                <m:chr m:val="̅"/>
                <m:ctrlPr>
                  <w:rPr>
                    <w:rFonts w:ascii="Cambria Math" w:hAnsi="Cambria Math" w:cstheme="minorHAnsi"/>
                    <w:i/>
                    <w:lang w:val="en-GB"/>
                  </w:rPr>
                </m:ctrlPr>
              </m:accPr>
              <m:e>
                <m:sSub>
                  <m:sSubPr>
                    <m:ctrlPr>
                      <w:rPr>
                        <w:rFonts w:ascii="Cambria Math" w:hAnsi="Cambria Math" w:cstheme="minorHAnsi"/>
                        <w:i/>
                        <w:lang w:val="en-GB"/>
                      </w:rPr>
                    </m:ctrlPr>
                  </m:sSubPr>
                  <m:e>
                    <m:r>
                      <w:rPr>
                        <w:rFonts w:ascii="Cambria Math" w:hAnsi="Cambria Math" w:cstheme="minorHAnsi"/>
                        <w:lang w:val="en-GB"/>
                      </w:rPr>
                      <m:t>D</m:t>
                    </m:r>
                  </m:e>
                  <m:sub>
                    <m:r>
                      <w:rPr>
                        <w:rFonts w:ascii="Cambria Math" w:hAnsi="Cambria Math" w:cstheme="minorHAnsi"/>
                        <w:lang w:val="en-GB"/>
                      </w:rPr>
                      <m:t>obs</m:t>
                    </m:r>
                  </m:sub>
                </m:sSub>
              </m:e>
            </m:acc>
          </m:den>
        </m:f>
        <m:r>
          <w:rPr>
            <w:rFonts w:ascii="Cambria Math" w:hAnsi="Cambria Math" w:cstheme="minorHAnsi"/>
            <w:lang w:val="en-GB"/>
          </w:rPr>
          <m:t>=</m:t>
        </m:r>
        <m:f>
          <m:fPr>
            <m:type m:val="lin"/>
            <m:ctrlPr>
              <w:rPr>
                <w:rFonts w:ascii="Cambria Math" w:hAnsi="Cambria Math" w:cstheme="minorHAnsi"/>
                <w:i/>
                <w:lang w:val="en-GB"/>
              </w:rPr>
            </m:ctrlPr>
          </m:fPr>
          <m:num>
            <m:rad>
              <m:radPr>
                <m:degHide m:val="1"/>
                <m:ctrlPr>
                  <w:rPr>
                    <w:rFonts w:ascii="Cambria Math" w:hAnsi="Cambria Math" w:cstheme="minorHAnsi"/>
                    <w:i/>
                    <w:lang w:val="en-GB"/>
                  </w:rPr>
                </m:ctrlPr>
              </m:radPr>
              <m:deg/>
              <m:e>
                <m:f>
                  <m:fPr>
                    <m:ctrlPr>
                      <w:rPr>
                        <w:rFonts w:ascii="Cambria Math" w:hAnsi="Cambria Math" w:cstheme="minorHAnsi"/>
                        <w:i/>
                        <w:lang w:val="en-GB"/>
                      </w:rPr>
                    </m:ctrlPr>
                  </m:fPr>
                  <m:num>
                    <m:nary>
                      <m:naryPr>
                        <m:chr m:val="∑"/>
                        <m:limLoc m:val="undOvr"/>
                        <m:subHide m:val="1"/>
                        <m:supHide m:val="1"/>
                        <m:ctrlPr>
                          <w:rPr>
                            <w:rFonts w:ascii="Cambria Math" w:hAnsi="Cambria Math" w:cstheme="minorHAnsi"/>
                            <w:i/>
                            <w:lang w:val="en-GB"/>
                          </w:rPr>
                        </m:ctrlPr>
                      </m:naryPr>
                      <m:sub/>
                      <m:sup/>
                      <m:e>
                        <m:sSup>
                          <m:sSupPr>
                            <m:ctrlPr>
                              <w:rPr>
                                <w:rFonts w:ascii="Cambria Math" w:hAnsi="Cambria Math" w:cstheme="minorHAnsi"/>
                                <w:i/>
                                <w:lang w:val="en-GB"/>
                              </w:rPr>
                            </m:ctrlPr>
                          </m:sSupPr>
                          <m:e>
                            <m:r>
                              <w:rPr>
                                <w:rFonts w:ascii="Cambria Math" w:hAnsi="Cambria Math" w:cstheme="minorHAnsi"/>
                                <w:lang w:val="en-GB"/>
                              </w:rPr>
                              <m:t>(</m:t>
                            </m:r>
                            <m:sSub>
                              <m:sSubPr>
                                <m:ctrlPr>
                                  <w:rPr>
                                    <w:rFonts w:ascii="Cambria Math" w:hAnsi="Cambria Math" w:cstheme="minorHAnsi"/>
                                    <w:i/>
                                    <w:lang w:val="en-GB"/>
                                  </w:rPr>
                                </m:ctrlPr>
                              </m:sSubPr>
                              <m:e>
                                <m:r>
                                  <w:rPr>
                                    <w:rFonts w:ascii="Cambria Math" w:hAnsi="Cambria Math" w:cstheme="minorHAnsi"/>
                                    <w:lang w:val="en-GB"/>
                                  </w:rPr>
                                  <m:t>D</m:t>
                                </m:r>
                              </m:e>
                              <m:sub>
                                <m:r>
                                  <w:rPr>
                                    <w:rFonts w:ascii="Cambria Math" w:hAnsi="Cambria Math" w:cstheme="minorHAnsi"/>
                                    <w:lang w:val="en-GB"/>
                                  </w:rPr>
                                  <m:t>obs</m:t>
                                </m:r>
                              </m:sub>
                            </m:sSub>
                            <m:r>
                              <w:rPr>
                                <w:rFonts w:ascii="Cambria Math" w:hAnsi="Cambria Math" w:cstheme="minorHAnsi"/>
                                <w:lang w:val="en-GB"/>
                              </w:rPr>
                              <m:t>-</m:t>
                            </m:r>
                            <m:sSub>
                              <m:sSubPr>
                                <m:ctrlPr>
                                  <w:rPr>
                                    <w:rFonts w:ascii="Cambria Math" w:hAnsi="Cambria Math" w:cstheme="minorHAnsi"/>
                                    <w:i/>
                                    <w:lang w:val="en-GB"/>
                                  </w:rPr>
                                </m:ctrlPr>
                              </m:sSubPr>
                              <m:e>
                                <m:r>
                                  <w:rPr>
                                    <w:rFonts w:ascii="Cambria Math" w:hAnsi="Cambria Math" w:cstheme="minorHAnsi"/>
                                    <w:lang w:val="en-GB"/>
                                  </w:rPr>
                                  <m:t>D</m:t>
                                </m:r>
                              </m:e>
                              <m:sub>
                                <m:r>
                                  <w:rPr>
                                    <w:rFonts w:ascii="Cambria Math" w:hAnsi="Cambria Math" w:cstheme="minorHAnsi"/>
                                    <w:lang w:val="en-GB"/>
                                  </w:rPr>
                                  <m:t>pred</m:t>
                                </m:r>
                              </m:sub>
                            </m:sSub>
                            <m:r>
                              <w:rPr>
                                <w:rFonts w:ascii="Cambria Math" w:hAnsi="Cambria Math" w:cstheme="minorHAnsi"/>
                                <w:lang w:val="en-GB"/>
                              </w:rPr>
                              <m:t>)</m:t>
                            </m:r>
                          </m:e>
                          <m:sup>
                            <m:r>
                              <w:rPr>
                                <w:rFonts w:ascii="Cambria Math" w:hAnsi="Cambria Math" w:cstheme="minorHAnsi"/>
                                <w:lang w:val="en-GB"/>
                              </w:rPr>
                              <m:t>2</m:t>
                            </m:r>
                          </m:sup>
                        </m:sSup>
                      </m:e>
                    </m:nary>
                  </m:num>
                  <m:den>
                    <m:r>
                      <w:rPr>
                        <w:rFonts w:ascii="Cambria Math" w:hAnsi="Cambria Math" w:cstheme="minorHAnsi"/>
                        <w:lang w:val="en-GB"/>
                      </w:rPr>
                      <m:t>N</m:t>
                    </m:r>
                  </m:den>
                </m:f>
                <m:r>
                  <m:rPr>
                    <m:sty m:val="p"/>
                  </m:rPr>
                  <w:rPr>
                    <w:rFonts w:ascii="Cambria Math" w:hAnsi="Cambria Math" w:cstheme="minorHAnsi"/>
                    <w:lang w:val="en-GB"/>
                  </w:rPr>
                  <m:t xml:space="preserve"> </m:t>
                </m:r>
              </m:e>
            </m:rad>
          </m:num>
          <m:den>
            <m:r>
              <w:rPr>
                <w:rFonts w:ascii="Cambria Math" w:hAnsi="Cambria Math" w:cstheme="minorHAnsi"/>
                <w:lang w:val="en-GB"/>
              </w:rPr>
              <m:t xml:space="preserve"> </m:t>
            </m:r>
            <m:acc>
              <m:accPr>
                <m:chr m:val="̅"/>
                <m:ctrlPr>
                  <w:rPr>
                    <w:rFonts w:ascii="Cambria Math" w:hAnsi="Cambria Math" w:cstheme="minorHAnsi"/>
                    <w:i/>
                    <w:lang w:val="en-GB"/>
                  </w:rPr>
                </m:ctrlPr>
              </m:accPr>
              <m:e>
                <m:sSub>
                  <m:sSubPr>
                    <m:ctrlPr>
                      <w:rPr>
                        <w:rFonts w:ascii="Cambria Math" w:hAnsi="Cambria Math" w:cstheme="minorHAnsi"/>
                        <w:i/>
                        <w:lang w:val="en-GB"/>
                      </w:rPr>
                    </m:ctrlPr>
                  </m:sSubPr>
                  <m:e>
                    <m:r>
                      <w:rPr>
                        <w:rFonts w:ascii="Cambria Math" w:hAnsi="Cambria Math" w:cstheme="minorHAnsi"/>
                        <w:lang w:val="en-GB"/>
                      </w:rPr>
                      <m:t>D</m:t>
                    </m:r>
                  </m:e>
                  <m:sub>
                    <m:r>
                      <w:rPr>
                        <w:rFonts w:ascii="Cambria Math" w:hAnsi="Cambria Math" w:cstheme="minorHAnsi"/>
                        <w:lang w:val="en-GB"/>
                      </w:rPr>
                      <m:t>obs</m:t>
                    </m:r>
                  </m:sub>
                </m:sSub>
              </m:e>
            </m:acc>
          </m:den>
        </m:f>
      </m:oMath>
      <w:r w:rsidRPr="00941F74">
        <w:rPr>
          <w:rFonts w:cstheme="minorHAnsi"/>
          <w:lang w:val="en-GB"/>
        </w:rPr>
        <w:tab/>
      </w:r>
      <w:r w:rsidRPr="00941F74">
        <w:rPr>
          <w:rFonts w:cstheme="minorHAnsi"/>
          <w:lang w:val="en-GB"/>
        </w:rPr>
        <w:tab/>
        <w:t>(Equation 6)</w:t>
      </w:r>
    </w:p>
    <w:p w14:paraId="40936B00" w14:textId="1377AEC6" w:rsidR="00047895" w:rsidRPr="00941F74" w:rsidRDefault="00C312CE">
      <w:pPr>
        <w:spacing w:after="0" w:line="480" w:lineRule="auto"/>
        <w:rPr>
          <w:rFonts w:cstheme="minorHAnsi"/>
          <w:lang w:val="en-GB"/>
        </w:rPr>
      </w:pPr>
      <w:r w:rsidRPr="00941F74">
        <w:rPr>
          <w:rFonts w:cstheme="minorHAnsi"/>
          <w:lang w:val="en-GB"/>
        </w:rPr>
        <w:t xml:space="preserve">with </w:t>
      </w:r>
      <m:oMath>
        <m:sSub>
          <m:sSubPr>
            <m:ctrlPr>
              <w:rPr>
                <w:rFonts w:ascii="Cambria Math" w:hAnsi="Cambria Math" w:cstheme="minorHAnsi"/>
                <w:i/>
                <w:lang w:val="en-GB"/>
              </w:rPr>
            </m:ctrlPr>
          </m:sSubPr>
          <m:e>
            <m:r>
              <w:rPr>
                <w:rFonts w:ascii="Cambria Math" w:hAnsi="Cambria Math" w:cstheme="minorHAnsi"/>
                <w:lang w:val="en-GB"/>
              </w:rPr>
              <m:t>D</m:t>
            </m:r>
          </m:e>
          <m:sub>
            <m:r>
              <w:rPr>
                <w:rFonts w:ascii="Cambria Math" w:hAnsi="Cambria Math" w:cstheme="minorHAnsi"/>
                <w:lang w:val="en-GB"/>
              </w:rPr>
              <m:t>obs</m:t>
            </m:r>
          </m:sub>
        </m:sSub>
      </m:oMath>
      <w:r w:rsidRPr="00941F74">
        <w:rPr>
          <w:rFonts w:cstheme="minorHAnsi"/>
          <w:lang w:val="en-GB"/>
        </w:rPr>
        <w:t xml:space="preserve"> the observed density of a land-cover type in a pixel, </w:t>
      </w:r>
      <m:oMath>
        <m:sSub>
          <m:sSubPr>
            <m:ctrlPr>
              <w:rPr>
                <w:rFonts w:ascii="Cambria Math" w:hAnsi="Cambria Math" w:cstheme="minorHAnsi"/>
                <w:i/>
                <w:lang w:val="en-GB"/>
              </w:rPr>
            </m:ctrlPr>
          </m:sSubPr>
          <m:e>
            <m:r>
              <w:rPr>
                <w:rFonts w:ascii="Cambria Math" w:hAnsi="Cambria Math" w:cstheme="minorHAnsi"/>
                <w:lang w:val="en-GB"/>
              </w:rPr>
              <m:t>D</m:t>
            </m:r>
          </m:e>
          <m:sub>
            <m:r>
              <w:rPr>
                <w:rFonts w:ascii="Cambria Math" w:hAnsi="Cambria Math" w:cstheme="minorHAnsi"/>
                <w:lang w:val="en-GB"/>
              </w:rPr>
              <m:t>pred</m:t>
            </m:r>
          </m:sub>
        </m:sSub>
      </m:oMath>
      <w:r w:rsidRPr="00941F74">
        <w:rPr>
          <w:rFonts w:cstheme="minorHAnsi"/>
          <w:lang w:val="en-GB"/>
        </w:rPr>
        <w:t xml:space="preserve"> the density predicted by the corresponding sub-model on this pixel, and N the number of observations (2,100 pixels).</w:t>
      </w:r>
      <w:r w:rsidR="00C87EC7" w:rsidRPr="00941F74">
        <w:rPr>
          <w:rFonts w:cstheme="minorHAnsi"/>
          <w:lang w:val="en-GB"/>
        </w:rPr>
        <w:t xml:space="preserve"> We chose to normalise the RMSE to avoid the scale dependency between LCT models </w:t>
      </w:r>
      <w:r w:rsidR="00C87EC7" w:rsidRPr="00941F74">
        <w:rPr>
          <w:rFonts w:cstheme="minorHAnsi"/>
          <w:lang w:val="en-GB"/>
        </w:rPr>
        <w:fldChar w:fldCharType="begin"/>
      </w:r>
      <w:r w:rsidR="003B1EC2">
        <w:rPr>
          <w:rFonts w:cstheme="minorHAnsi"/>
          <w:lang w:val="en-GB"/>
        </w:rPr>
        <w:instrText xml:space="preserve"> ADDIN ZOTERO_ITEM CSL_CITATION {"citationID":"Yh0UNrj5","properties":{"formattedCitation":"(Shcherbakov et al., 2013)","plainCitation":"(Shcherbakov et al., 2013)","noteIndex":0},"citationItems":[{"id":3270,"uris":["http://zotero.org/users/10290022/items/BIMMSFIH"],"itemData":{"id":3270,"type":"article-journal","abstract":"This article reviews the common used forecast error measurements. All error measurements have been joined in the seven groups: absolute forecasting errors, measures based on percentage errors, symmetric errors, measures based on relative errors, scaled errors, relative measures and other error measures. The formulas are presented and drawbacks are discussed for every accuracy measurements. To reduce the impact of outliers, an Integral Normalized Mean Square Error have been proposed. Due to the fact that each error measure has the disadvantages that can lead to inaccurate evaluation of the forecasting results, it is impossible to choose only one measure, the recommendations for selecting the appropriate error measurements are given.","container-title":"World Applied Sciences Journal","DOI":"10.5829/idosi.wasj.2013.24.itmies.80032","issue":"24","language":"en","page":"171-176","source":"Zotero","title":"A Survey of Forecast Error Measures","volume":"24","author":[{"family":"Shcherbakov","given":"Maxim Vladimirovich"},{"family":"Brebels","given":"Adriaan"},{"family":"Shcherbakova","given":"Nataliya Lvovna"},{"family":"Tyukov","given":"Anton Pavlovich"},{"family":"Janovsky","given":"Timur Alexandrovich"},{"family":"Kamaev","given":"Valeriy Anatol’evich"}],"issued":{"date-parts":[["2013"]]}}}],"schema":"https://github.com/citation-style-language/schema/raw/master/csl-citation.json"} </w:instrText>
      </w:r>
      <w:r w:rsidR="00C87EC7" w:rsidRPr="00941F74">
        <w:rPr>
          <w:rFonts w:cstheme="minorHAnsi"/>
          <w:lang w:val="en-GB"/>
        </w:rPr>
        <w:fldChar w:fldCharType="separate"/>
      </w:r>
      <w:r w:rsidR="003B1EC2" w:rsidRPr="003B1EC2">
        <w:rPr>
          <w:rFonts w:ascii="Calibri" w:hAnsi="Calibri" w:cs="Calibri"/>
          <w:lang w:val="en-US"/>
        </w:rPr>
        <w:t>(Shcherbakov et al., 2013)</w:t>
      </w:r>
      <w:r w:rsidR="00C87EC7" w:rsidRPr="00941F74">
        <w:rPr>
          <w:rFonts w:cstheme="minorHAnsi"/>
          <w:lang w:val="en-GB"/>
        </w:rPr>
        <w:fldChar w:fldCharType="end"/>
      </w:r>
      <w:r w:rsidR="00C87EC7" w:rsidRPr="00941F74">
        <w:rPr>
          <w:rFonts w:cstheme="minorHAnsi"/>
          <w:lang w:val="en-GB"/>
        </w:rPr>
        <w:t>.</w:t>
      </w:r>
    </w:p>
    <w:p w14:paraId="27BB4388" w14:textId="41419878" w:rsidR="00C312CE" w:rsidRPr="00941F74" w:rsidRDefault="00D62525">
      <w:pPr>
        <w:pStyle w:val="Titre3"/>
        <w:spacing w:line="480" w:lineRule="auto"/>
        <w:rPr>
          <w:rFonts w:asciiTheme="minorHAnsi" w:hAnsiTheme="minorHAnsi" w:cstheme="minorHAnsi"/>
          <w:b/>
          <w:sz w:val="22"/>
          <w:szCs w:val="22"/>
          <w:lang w:val="en-US"/>
        </w:rPr>
      </w:pPr>
      <w:r w:rsidRPr="00941F74">
        <w:rPr>
          <w:rFonts w:asciiTheme="minorHAnsi" w:hAnsiTheme="minorHAnsi" w:cstheme="minorHAnsi"/>
          <w:b/>
          <w:sz w:val="22"/>
          <w:szCs w:val="22"/>
          <w:lang w:val="en-US"/>
        </w:rPr>
        <w:lastRenderedPageBreak/>
        <w:t xml:space="preserve">3.3.2. </w:t>
      </w:r>
      <w:r w:rsidR="00C312CE" w:rsidRPr="00941F74">
        <w:rPr>
          <w:rFonts w:asciiTheme="minorHAnsi" w:hAnsiTheme="minorHAnsi" w:cstheme="minorHAnsi"/>
          <w:b/>
          <w:sz w:val="22"/>
          <w:szCs w:val="22"/>
          <w:lang w:val="en-US"/>
        </w:rPr>
        <w:t xml:space="preserve">Estimated land-cover map </w:t>
      </w:r>
      <w:r w:rsidR="00CD0094" w:rsidRPr="00941F74">
        <w:rPr>
          <w:rFonts w:asciiTheme="minorHAnsi" w:hAnsiTheme="minorHAnsi" w:cstheme="minorHAnsi"/>
          <w:b/>
          <w:sz w:val="22"/>
          <w:szCs w:val="22"/>
          <w:lang w:val="en-US"/>
        </w:rPr>
        <w:t>prediction and evaluation</w:t>
      </w:r>
    </w:p>
    <w:p w14:paraId="6A04A2E9" w14:textId="5B3BA8CB" w:rsidR="00047895" w:rsidRPr="00941F74" w:rsidRDefault="00C312CE">
      <w:pPr>
        <w:spacing w:line="480" w:lineRule="auto"/>
        <w:rPr>
          <w:rFonts w:cstheme="minorHAnsi"/>
          <w:lang w:val="en-GB"/>
        </w:rPr>
      </w:pPr>
      <w:r w:rsidRPr="00941F74">
        <w:rPr>
          <w:rFonts w:cstheme="minorHAnsi"/>
          <w:lang w:val="en-GB"/>
        </w:rPr>
        <w:t xml:space="preserve">Finally, the densities of each </w:t>
      </w:r>
      <w:r w:rsidR="00F95782" w:rsidRPr="00941F74">
        <w:rPr>
          <w:rFonts w:cstheme="minorHAnsi"/>
          <w:lang w:val="en-GB"/>
        </w:rPr>
        <w:t>LCT were</w:t>
      </w:r>
      <w:r w:rsidRPr="00941F74">
        <w:rPr>
          <w:rFonts w:cstheme="minorHAnsi"/>
          <w:lang w:val="en-GB"/>
        </w:rPr>
        <w:t xml:space="preserve"> predicted over the whole study area using the best sub-model, selected on the basis of the minimum NRMSE, pinpointing the model with the best predictive power. Using the sub-model with the best goodness of fit (largest fitted R²) or the complete models before cross-validation did not significantly change the prediction of the models. At each pixel, the</w:t>
      </w:r>
      <w:r w:rsidR="00F95782" w:rsidRPr="00941F74">
        <w:rPr>
          <w:rFonts w:cstheme="minorHAnsi"/>
          <w:lang w:val="en-GB"/>
        </w:rPr>
        <w:t xml:space="preserve"> LCT</w:t>
      </w:r>
      <w:r w:rsidRPr="00941F74">
        <w:rPr>
          <w:rFonts w:cstheme="minorHAnsi"/>
          <w:lang w:val="en-GB"/>
        </w:rPr>
        <w:t xml:space="preserve"> corresponding to the highest predicted density value is chosen</w:t>
      </w:r>
      <w:r w:rsidR="004E7F89" w:rsidRPr="00941F74">
        <w:rPr>
          <w:rFonts w:cstheme="minorHAnsi"/>
          <w:lang w:val="en-GB"/>
        </w:rPr>
        <w:t xml:space="preserve">, ultimately producing </w:t>
      </w:r>
      <w:r w:rsidR="00484445" w:rsidRPr="00941F74">
        <w:rPr>
          <w:rFonts w:cstheme="minorHAnsi"/>
          <w:lang w:val="en-GB"/>
        </w:rPr>
        <w:t xml:space="preserve">pixel-by-pixel </w:t>
      </w:r>
      <w:r w:rsidR="004E7F89" w:rsidRPr="00941F74">
        <w:rPr>
          <w:rFonts w:cstheme="minorHAnsi"/>
          <w:lang w:val="en-GB"/>
        </w:rPr>
        <w:t>the land-cover mosaic of the past landscape</w:t>
      </w:r>
      <w:r w:rsidRPr="00941F74">
        <w:rPr>
          <w:rFonts w:cstheme="minorHAnsi"/>
          <w:lang w:val="en-GB"/>
        </w:rPr>
        <w:t xml:space="preserve">. The similarity between the TW1995 predicted map and the observed 1993 map </w:t>
      </w:r>
      <w:r w:rsidR="00F95782" w:rsidRPr="00941F74">
        <w:rPr>
          <w:rFonts w:cstheme="minorHAnsi"/>
          <w:lang w:val="en-GB"/>
        </w:rPr>
        <w:t>was</w:t>
      </w:r>
      <w:r w:rsidRPr="00941F74">
        <w:rPr>
          <w:rFonts w:cstheme="minorHAnsi"/>
          <w:lang w:val="en-GB"/>
        </w:rPr>
        <w:t xml:space="preserve"> evaluated using the Comparison Map Profile software </w:t>
      </w:r>
      <w:r w:rsidRPr="00941F74">
        <w:rPr>
          <w:rFonts w:cstheme="minorHAnsi"/>
          <w:lang w:val="en-GB"/>
        </w:rPr>
        <w:fldChar w:fldCharType="begin" w:fldLock="1"/>
      </w:r>
      <w:r w:rsidR="0051009B">
        <w:rPr>
          <w:rFonts w:cstheme="minorHAnsi"/>
          <w:lang w:val="en-GB"/>
        </w:rPr>
        <w:instrText xml:space="preserve"> ADDIN ZOTERO_ITEM CSL_CITATION {"citationID":"z94iJVTI","properties":{"formattedCitation":"(Gaucherel et al., 2008, 2018)","plainCitation":"(Gaucherel et al., 2008, 2018)","dontUpdate":true,"noteIndex":0},"citationItems":[{"id":587,"uris":["http://www.mendeley.com/documents/?uuid=1a4d936d-b328-4a06-8225-424a02ae38db","http://zotero.org/users/10290022/items/DZZ82N9E"],"itemData":{"id":587,"type":"article-journal","DOI":"10.1109/TGRS.2008.919379","issue":"9","page":"2708-2719","title":"The Comparison Map Profile Method : A Strategy for Multiscale Comparison of Quantitative and Qualitative Images","volume":"46","author":[{"family":"Gaucherel","given":"C."},{"family":"Alleaume","given":"Samuel"},{"family":"Hély","given":"Christelle"}],"issued":{"date-parts":[["2008"]]}}},{"id":626,"uris":["http://zotero.org/users/10290022/items/YU2UFDVC"],"itemData":{"id":626,"type":"article-journal","container-title":"Journal of Biogeography","DOI":"https://doi.org/10.1111/jbi.13355","page":"1-12","title":"Where and at which scales does the LDG fail?","volume":"00","author":[{"family":"Gaucherel","given":"C."},{"family":"Tramier","given":"C"},{"family":"Devictor","given":"V"},{"family":"Svenning","given":"Jens Christian"},{"family":"Hély","given":"Christelle"}],"issued":{"date-parts":[["2018"]]}}}],"schema":"https://github.com/citation-style-language/schema/raw/master/csl-citation.json"} </w:instrText>
      </w:r>
      <w:r w:rsidRPr="00941F74">
        <w:rPr>
          <w:rFonts w:cstheme="minorHAnsi"/>
          <w:lang w:val="en-GB"/>
        </w:rPr>
        <w:fldChar w:fldCharType="separate"/>
      </w:r>
      <w:r w:rsidR="00F533AB" w:rsidRPr="00941F74">
        <w:rPr>
          <w:rFonts w:ascii="Calibri" w:hAnsi="Calibri" w:cs="Calibri"/>
          <w:lang w:val="en-US"/>
        </w:rPr>
        <w:t>(</w:t>
      </w:r>
      <w:r w:rsidR="006330DE">
        <w:rPr>
          <w:rFonts w:ascii="Calibri" w:hAnsi="Calibri" w:cs="Calibri"/>
          <w:lang w:val="en-US"/>
        </w:rPr>
        <w:t xml:space="preserve">CMP, </w:t>
      </w:r>
      <w:r w:rsidR="00F533AB" w:rsidRPr="00941F74">
        <w:rPr>
          <w:rFonts w:ascii="Calibri" w:hAnsi="Calibri" w:cs="Calibri"/>
          <w:lang w:val="en-US"/>
        </w:rPr>
        <w:t>Gaucherel et al., 2008, 2018)</w:t>
      </w:r>
      <w:r w:rsidRPr="00941F74">
        <w:rPr>
          <w:rFonts w:cstheme="minorHAnsi"/>
          <w:lang w:val="en-GB"/>
        </w:rPr>
        <w:fldChar w:fldCharType="end"/>
      </w:r>
      <w:r w:rsidRPr="00941F74">
        <w:rPr>
          <w:rFonts w:cstheme="minorHAnsi"/>
          <w:lang w:val="en-GB"/>
        </w:rPr>
        <w:t xml:space="preserve">, calculating the Cohen's Kappa Index </w:t>
      </w:r>
      <w:r w:rsidRPr="00941F74">
        <w:rPr>
          <w:rFonts w:cstheme="minorHAnsi"/>
          <w:lang w:val="en-GB"/>
        </w:rPr>
        <w:fldChar w:fldCharType="begin" w:fldLock="1"/>
      </w:r>
      <w:r w:rsidR="003B1EC2">
        <w:rPr>
          <w:rFonts w:cstheme="minorHAnsi"/>
          <w:lang w:val="en-GB"/>
        </w:rPr>
        <w:instrText xml:space="preserve"> ADDIN ZOTERO_ITEM CSL_CITATION {"citationID":"kZ3oyyWS","properties":{"formattedCitation":"(Cohen, 1960)","plainCitation":"(Cohen, 1960)","noteIndex":0},"citationItems":[{"id":714,"uris":["http://www.mendeley.com/documents/?uuid=0ea32408-09b6-4881-be7a-94e8a3515e02","http://zotero.org/users/10290022/items/UWGL6FKJ"],"itemData":{"id":714,"type":"article-journal","container-title":"Educational and Psychological Measurement","issue":"1","page":"37-46","title":"A coefficient of agreement for nominal scales","volume":"XX","author":[{"family":"Cohen","given":"Jacob"}],"issued":{"date-parts":[["1960"]]}}}],"schema":"https://github.com/citation-style-language/schema/raw/master/csl-citation.json"} </w:instrText>
      </w:r>
      <w:r w:rsidRPr="00941F74">
        <w:rPr>
          <w:rFonts w:cstheme="minorHAnsi"/>
          <w:lang w:val="en-GB"/>
        </w:rPr>
        <w:fldChar w:fldCharType="separate"/>
      </w:r>
      <w:r w:rsidR="003B1EC2" w:rsidRPr="003B1EC2">
        <w:rPr>
          <w:rFonts w:ascii="Calibri" w:hAnsi="Calibri" w:cs="Calibri"/>
          <w:lang w:val="en-US"/>
        </w:rPr>
        <w:t>(Cohen, 1960)</w:t>
      </w:r>
      <w:r w:rsidRPr="00941F74">
        <w:rPr>
          <w:rFonts w:cstheme="minorHAnsi"/>
          <w:lang w:val="en-GB"/>
        </w:rPr>
        <w:fldChar w:fldCharType="end"/>
      </w:r>
      <w:r w:rsidRPr="00941F74">
        <w:rPr>
          <w:rFonts w:cstheme="minorHAnsi"/>
          <w:lang w:val="en-GB"/>
        </w:rPr>
        <w:t xml:space="preserve"> at the same observation scales </w:t>
      </w:r>
      <w:r w:rsidR="00014033">
        <w:rPr>
          <w:rFonts w:cstheme="minorHAnsi"/>
          <w:lang w:val="en-GB"/>
        </w:rPr>
        <w:t>as</w:t>
      </w:r>
      <w:r w:rsidR="00014033" w:rsidRPr="00941F74">
        <w:rPr>
          <w:rFonts w:cstheme="minorHAnsi"/>
          <w:lang w:val="en-GB"/>
        </w:rPr>
        <w:t xml:space="preserve"> </w:t>
      </w:r>
      <w:r w:rsidRPr="00941F74">
        <w:rPr>
          <w:rFonts w:cstheme="minorHAnsi"/>
          <w:lang w:val="en-GB"/>
        </w:rPr>
        <w:t xml:space="preserve">those used by the MHM software to calculate </w:t>
      </w:r>
      <w:r w:rsidR="00F95782" w:rsidRPr="00941F74">
        <w:rPr>
          <w:rFonts w:cstheme="minorHAnsi"/>
          <w:lang w:val="en-GB"/>
        </w:rPr>
        <w:t>LCT</w:t>
      </w:r>
      <w:r w:rsidRPr="00941F74">
        <w:rPr>
          <w:rFonts w:cstheme="minorHAnsi"/>
          <w:lang w:val="en-GB"/>
        </w:rPr>
        <w:t xml:space="preserve"> densities (see section </w:t>
      </w:r>
      <w:r w:rsidR="00CD0094" w:rsidRPr="00941F74">
        <w:rPr>
          <w:rFonts w:cstheme="minorHAnsi"/>
          <w:bCs/>
          <w:lang w:val="en-GB"/>
        </w:rPr>
        <w:t>3.1.1</w:t>
      </w:r>
      <w:r w:rsidRPr="00941F74">
        <w:rPr>
          <w:rFonts w:cstheme="minorHAnsi"/>
          <w:lang w:val="en-GB"/>
        </w:rPr>
        <w:t>.). CMP produces a multi-scale comparison map, thus reducing scaling biases too, where the</w:t>
      </w:r>
      <w:r w:rsidR="00F53454" w:rsidRPr="00941F74">
        <w:rPr>
          <w:rFonts w:cstheme="minorHAnsi"/>
          <w:lang w:val="en-GB"/>
        </w:rPr>
        <w:t xml:space="preserve"> average</w:t>
      </w:r>
      <w:r w:rsidRPr="00941F74">
        <w:rPr>
          <w:rFonts w:cstheme="minorHAnsi"/>
          <w:lang w:val="en-GB"/>
        </w:rPr>
        <w:t xml:space="preserve"> Kappa value at each pixel quantifies the average similarity between the two maps in the vicinity of that pixel. </w:t>
      </w:r>
      <w:r w:rsidR="00F53454" w:rsidRPr="00941F74">
        <w:rPr>
          <w:rFonts w:cstheme="minorHAnsi"/>
          <w:lang w:val="en-GB"/>
        </w:rPr>
        <w:t>An average Kappa higher than 0.6 reflect</w:t>
      </w:r>
      <w:r w:rsidR="006E6AF5" w:rsidRPr="00941F74">
        <w:rPr>
          <w:rFonts w:cstheme="minorHAnsi"/>
          <w:lang w:val="en-GB"/>
        </w:rPr>
        <w:t xml:space="preserve">s a strong similarity between observed and estimated </w:t>
      </w:r>
      <w:r w:rsidR="00014033">
        <w:rPr>
          <w:rFonts w:cstheme="minorHAnsi"/>
          <w:lang w:val="en-GB"/>
        </w:rPr>
        <w:t>datasets</w:t>
      </w:r>
      <w:r w:rsidR="00014033" w:rsidRPr="00941F74">
        <w:rPr>
          <w:rFonts w:cstheme="minorHAnsi"/>
          <w:lang w:val="en-GB"/>
        </w:rPr>
        <w:t xml:space="preserve"> </w:t>
      </w:r>
      <w:r w:rsidR="006E6AF5" w:rsidRPr="00941F74">
        <w:rPr>
          <w:rFonts w:cstheme="minorHAnsi"/>
          <w:lang w:val="en-GB"/>
        </w:rPr>
        <w:fldChar w:fldCharType="begin"/>
      </w:r>
      <w:r w:rsidR="003B1EC2">
        <w:rPr>
          <w:rFonts w:cstheme="minorHAnsi"/>
          <w:lang w:val="en-GB"/>
        </w:rPr>
        <w:instrText xml:space="preserve"> ADDIN ZOTERO_ITEM CSL_CITATION {"citationID":"dM7ov47f","properties":{"formattedCitation":"(Cohen, 1960; Landis and Koch, 1977)","plainCitation":"(Cohen, 1960; Landis and Koch, 1977)","noteIndex":0},"citationItems":[{"id":714,"uris":["http://www.mendeley.com/documents/?uuid=0ea32408-09b6-4881-be7a-94e8a3515e02","http://zotero.org/users/10290022/items/UWGL6FKJ"],"itemData":{"id":714,"type":"article-journal","container-title":"Educational and Psychological Measurement","issue":"1","page":"37-46","title":"A coefficient of agreement for nominal scales","volume":"XX","author":[{"family":"Cohen","given":"Jacob"}],"issued":{"date-parts":[["1960"]]}}},{"id":731,"uris":["http://zotero.org/users/10290022/items/CJJCU6AJ"],"itemData":{"id":731,"type":"article-journal","container-title":"Biometrics","DOI":"10.2307/2529310","ISSN":"0006341X","issue":"1","page":"159","title":"The Measurement of Observer Agreement for Categorical Data","URL":"https://www.jstor.org/stable/2529310?origin=crossref","volume":"33","author":[{"family":"Landis","given":"J. Richard"},{"family":"Koch","given":"Gary G."}],"accessed":{"date-parts":[["2018",5,18]]},"issued":{"date-parts":[["1977",3]]}}}],"schema":"https://github.com/citation-style-language/schema/raw/master/csl-citation.json"} </w:instrText>
      </w:r>
      <w:r w:rsidR="006E6AF5" w:rsidRPr="00941F74">
        <w:rPr>
          <w:rFonts w:cstheme="minorHAnsi"/>
          <w:lang w:val="en-GB"/>
        </w:rPr>
        <w:fldChar w:fldCharType="separate"/>
      </w:r>
      <w:r w:rsidR="003B1EC2" w:rsidRPr="003B1EC2">
        <w:rPr>
          <w:rFonts w:ascii="Calibri" w:hAnsi="Calibri" w:cs="Calibri"/>
          <w:lang w:val="en-US"/>
        </w:rPr>
        <w:t>(Cohen, 1960; Landis and Koch, 1977)</w:t>
      </w:r>
      <w:r w:rsidR="006E6AF5" w:rsidRPr="00941F74">
        <w:rPr>
          <w:rFonts w:cstheme="minorHAnsi"/>
          <w:lang w:val="en-GB"/>
        </w:rPr>
        <w:fldChar w:fldCharType="end"/>
      </w:r>
      <w:r w:rsidR="006E6AF5" w:rsidRPr="00941F74">
        <w:rPr>
          <w:rFonts w:cstheme="minorHAnsi"/>
          <w:lang w:val="en-GB"/>
        </w:rPr>
        <w:t xml:space="preserve">. </w:t>
      </w:r>
      <w:r w:rsidRPr="00941F74">
        <w:rPr>
          <w:rFonts w:cstheme="minorHAnsi"/>
          <w:lang w:val="en-GB"/>
        </w:rPr>
        <w:t xml:space="preserve">This evaluation finally </w:t>
      </w:r>
      <w:r w:rsidR="00014033">
        <w:rPr>
          <w:rFonts w:cstheme="minorHAnsi"/>
          <w:lang w:val="en-GB"/>
        </w:rPr>
        <w:t>enabled</w:t>
      </w:r>
      <w:r w:rsidRPr="00941F74">
        <w:rPr>
          <w:rFonts w:cstheme="minorHAnsi"/>
          <w:lang w:val="en-GB"/>
        </w:rPr>
        <w:t xml:space="preserve"> the overall quality of the proposed method</w:t>
      </w:r>
      <w:r w:rsidR="00014033">
        <w:rPr>
          <w:rFonts w:cstheme="minorHAnsi"/>
          <w:lang w:val="en-GB"/>
        </w:rPr>
        <w:t xml:space="preserve"> to be assessed</w:t>
      </w:r>
      <w:r w:rsidRPr="00941F74">
        <w:rPr>
          <w:rFonts w:cstheme="minorHAnsi"/>
          <w:lang w:val="en-GB"/>
        </w:rPr>
        <w:t>. In order to test for a potential bias related to the different spatial configurations of the</w:t>
      </w:r>
      <w:r w:rsidR="00F95782" w:rsidRPr="00941F74">
        <w:rPr>
          <w:rFonts w:cstheme="minorHAnsi"/>
          <w:lang w:val="en-GB"/>
        </w:rPr>
        <w:t xml:space="preserve"> LCTs</w:t>
      </w:r>
      <w:r w:rsidRPr="00941F74">
        <w:rPr>
          <w:rFonts w:cstheme="minorHAnsi"/>
          <w:lang w:val="en-GB"/>
        </w:rPr>
        <w:t xml:space="preserve">, a Pearson correlation coefficient was calculated between their average patch density </w:t>
      </w:r>
      <w:r w:rsidR="00CD0094" w:rsidRPr="00941F74">
        <w:rPr>
          <w:rFonts w:cstheme="minorHAnsi"/>
          <w:bCs/>
          <w:lang w:val="en-GB"/>
        </w:rPr>
        <w:t xml:space="preserve">on the observed 1993 land-cover map </w:t>
      </w:r>
      <w:r w:rsidRPr="00941F74">
        <w:rPr>
          <w:rFonts w:cstheme="minorHAnsi"/>
          <w:lang w:val="en-GB"/>
        </w:rPr>
        <w:t xml:space="preserve">and the average Kappa index between their observed and </w:t>
      </w:r>
      <w:r w:rsidR="00F95782" w:rsidRPr="00941F74">
        <w:rPr>
          <w:rFonts w:cstheme="minorHAnsi"/>
          <w:lang w:val="en-GB"/>
        </w:rPr>
        <w:t>BACKLAND-</w:t>
      </w:r>
      <w:r w:rsidRPr="00941F74">
        <w:rPr>
          <w:rFonts w:cstheme="minorHAnsi"/>
          <w:lang w:val="en-GB"/>
        </w:rPr>
        <w:t>-predicted distributions.</w:t>
      </w:r>
    </w:p>
    <w:p w14:paraId="540D50B2" w14:textId="483D5F49" w:rsidR="00C312CE" w:rsidRPr="00941F74" w:rsidRDefault="003B21C4">
      <w:pPr>
        <w:pStyle w:val="Titre1"/>
        <w:spacing w:line="480" w:lineRule="auto"/>
        <w:rPr>
          <w:rFonts w:asciiTheme="minorHAnsi" w:hAnsiTheme="minorHAnsi" w:cstheme="minorHAnsi"/>
          <w:sz w:val="22"/>
          <w:szCs w:val="22"/>
          <w:lang w:val="en-GB"/>
        </w:rPr>
      </w:pPr>
      <w:r w:rsidRPr="00941F74">
        <w:rPr>
          <w:rFonts w:asciiTheme="minorHAnsi" w:hAnsiTheme="minorHAnsi" w:cstheme="minorHAnsi"/>
          <w:sz w:val="22"/>
          <w:szCs w:val="22"/>
          <w:lang w:val="en-GB"/>
        </w:rPr>
        <w:t>Results</w:t>
      </w:r>
    </w:p>
    <w:p w14:paraId="1DDDA6D7" w14:textId="757D44D0" w:rsidR="00C312CE" w:rsidRPr="00941F74" w:rsidRDefault="003B21C4">
      <w:pPr>
        <w:pStyle w:val="Titre2"/>
        <w:spacing w:line="480" w:lineRule="auto"/>
        <w:rPr>
          <w:rFonts w:asciiTheme="minorHAnsi" w:hAnsiTheme="minorHAnsi" w:cstheme="minorHAnsi"/>
          <w:sz w:val="22"/>
          <w:szCs w:val="22"/>
          <w:lang w:val="en-US"/>
        </w:rPr>
      </w:pPr>
      <w:r w:rsidRPr="00941F74">
        <w:rPr>
          <w:rFonts w:asciiTheme="minorHAnsi" w:hAnsiTheme="minorHAnsi" w:cstheme="minorHAnsi"/>
          <w:sz w:val="22"/>
          <w:szCs w:val="22"/>
          <w:lang w:val="en-US"/>
        </w:rPr>
        <w:t xml:space="preserve">4.1. </w:t>
      </w:r>
      <w:r w:rsidR="00FC3CC7" w:rsidRPr="00941F74">
        <w:rPr>
          <w:rFonts w:asciiTheme="minorHAnsi" w:hAnsiTheme="minorHAnsi" w:cstheme="minorHAnsi"/>
          <w:sz w:val="22"/>
          <w:szCs w:val="22"/>
          <w:lang w:val="en-US"/>
        </w:rPr>
        <w:t>Intermediate maps and estimated taxa distributions</w:t>
      </w:r>
    </w:p>
    <w:p w14:paraId="4537D3FC" w14:textId="77777777" w:rsidR="00784924" w:rsidRPr="00941F74" w:rsidRDefault="00784924">
      <w:pPr>
        <w:spacing w:line="480" w:lineRule="auto"/>
        <w:rPr>
          <w:rFonts w:cstheme="minorHAnsi"/>
          <w:lang w:val="en-GB"/>
        </w:rPr>
      </w:pPr>
      <w:r w:rsidRPr="00941F74">
        <w:rPr>
          <w:rFonts w:cstheme="minorHAnsi"/>
          <w:lang w:val="en-GB"/>
        </w:rPr>
        <w:t>The LOVE-inferred distributions (LIDs) showed gradients in vegetation composition (</w:t>
      </w:r>
      <w:r w:rsidRPr="00941F74">
        <w:rPr>
          <w:rFonts w:cstheme="minorHAnsi"/>
          <w:color w:val="FF0000"/>
          <w:lang w:val="en-GB"/>
        </w:rPr>
        <w:t>Fig.4b</w:t>
      </w:r>
      <w:r w:rsidRPr="00941F74">
        <w:rPr>
          <w:rFonts w:cstheme="minorHAnsi"/>
          <w:lang w:val="en-GB"/>
        </w:rPr>
        <w:t>) following the variability of the LOVE estimates between the seven sedimentary sites at TW1995 (</w:t>
      </w:r>
      <w:r w:rsidRPr="00941F74">
        <w:rPr>
          <w:rFonts w:cstheme="minorHAnsi"/>
          <w:color w:val="4BACC6" w:themeColor="accent5"/>
          <w:lang w:val="en-GB"/>
        </w:rPr>
        <w:t>Table 2</w:t>
      </w:r>
      <w:r w:rsidRPr="00941F74">
        <w:rPr>
          <w:rFonts w:cstheme="minorHAnsi"/>
          <w:lang w:val="en-GB"/>
        </w:rPr>
        <w:t xml:space="preserve">). The spatial pattern of these LIDs did not reflect the heterogeneity characterising the taxa distribution as revealed by their 2008 land-cover map inferred distributions (MIDs, </w:t>
      </w:r>
      <w:r w:rsidRPr="00941F74">
        <w:rPr>
          <w:rFonts w:cstheme="minorHAnsi"/>
          <w:color w:val="FF0000"/>
          <w:lang w:val="en-GB"/>
        </w:rPr>
        <w:t>Fig.4a</w:t>
      </w:r>
      <w:r w:rsidRPr="00941F74">
        <w:rPr>
          <w:rFonts w:cstheme="minorHAnsi"/>
          <w:lang w:val="en-GB"/>
        </w:rPr>
        <w:t xml:space="preserve">). By integrating the MIDs and LIDs with equal weights, the estimated taxa distributions at TW1995 (EDs) kept the gradients </w:t>
      </w:r>
      <w:r w:rsidRPr="00941F74">
        <w:rPr>
          <w:rFonts w:cstheme="minorHAnsi"/>
          <w:lang w:val="en-GB"/>
        </w:rPr>
        <w:lastRenderedPageBreak/>
        <w:t>associated with the LIDs while being constrained by the MIDs (</w:t>
      </w:r>
      <w:r w:rsidRPr="00941F74">
        <w:rPr>
          <w:rFonts w:cstheme="minorHAnsi"/>
          <w:color w:val="FF0000"/>
          <w:lang w:val="en-GB"/>
        </w:rPr>
        <w:t>Fig.4c</w:t>
      </w:r>
      <w:r w:rsidRPr="00941F74">
        <w:rPr>
          <w:rFonts w:cstheme="minorHAnsi"/>
          <w:lang w:val="en-GB"/>
        </w:rPr>
        <w:t>), thus incorporating the spatiotemporal autocorrelation in a straightforward manner.</w:t>
      </w:r>
    </w:p>
    <w:p w14:paraId="09CC4776" w14:textId="77777777" w:rsidR="00784924" w:rsidRPr="00941F74" w:rsidRDefault="00784924">
      <w:pPr>
        <w:spacing w:line="480" w:lineRule="auto"/>
        <w:rPr>
          <w:rFonts w:cstheme="minorHAnsi"/>
          <w:lang w:val="en-US"/>
        </w:rPr>
      </w:pPr>
      <w:r w:rsidRPr="00941F74">
        <w:rPr>
          <w:rFonts w:cstheme="minorHAnsi"/>
          <w:lang w:val="en-GB"/>
        </w:rPr>
        <w:t xml:space="preserve">According to the EDs, the areas that </w:t>
      </w:r>
      <w:r>
        <w:rPr>
          <w:rFonts w:cstheme="minorHAnsi"/>
          <w:lang w:val="en-GB"/>
        </w:rPr>
        <w:t>were the</w:t>
      </w:r>
      <w:r w:rsidRPr="00941F74">
        <w:rPr>
          <w:rFonts w:cstheme="minorHAnsi"/>
          <w:lang w:val="en-GB"/>
        </w:rPr>
        <w:t xml:space="preserve"> most represented by herbaceous taxa during the TW1995 were the northern and western parts of the study area, concentrating the highest percentages of Cyperaceae and Poaceae, reaching up to 42% and 52% respectively (</w:t>
      </w:r>
      <w:r w:rsidRPr="00941F74">
        <w:rPr>
          <w:rFonts w:cstheme="minorHAnsi"/>
          <w:color w:val="FF0000"/>
          <w:lang w:val="en-GB"/>
        </w:rPr>
        <w:t>Fig.4c</w:t>
      </w:r>
      <w:r w:rsidRPr="00941F74">
        <w:rPr>
          <w:rFonts w:cstheme="minorHAnsi"/>
          <w:lang w:val="en-GB"/>
        </w:rPr>
        <w:t>). The southern part of the study area was mainly associated with the dominance of Ericaceae, with percentages greater than 50% over most of the studied area, and reaching 61% of the estimated vegetation. Their abundance estimated by the TW1995 LID stage in the North-East part was largely mitigated by the MID constraint, as the broadleaved forest present at this location on the 2008 land-cover map contains only a small amount of Ericaceae (</w:t>
      </w:r>
      <w:r w:rsidRPr="00941F74">
        <w:rPr>
          <w:rFonts w:cstheme="minorHAnsi"/>
          <w:color w:val="4BACC6" w:themeColor="accent5"/>
          <w:lang w:val="en-GB"/>
        </w:rPr>
        <w:t>Table 3</w:t>
      </w:r>
      <w:r w:rsidRPr="00941F74">
        <w:rPr>
          <w:rFonts w:cstheme="minorHAnsi"/>
          <w:lang w:val="en-GB"/>
        </w:rPr>
        <w:t xml:space="preserve">). The other two </w:t>
      </w:r>
      <w:r>
        <w:rPr>
          <w:rFonts w:cstheme="minorHAnsi"/>
          <w:lang w:val="en-GB"/>
        </w:rPr>
        <w:t>shrub</w:t>
      </w:r>
      <w:r w:rsidRPr="00941F74">
        <w:rPr>
          <w:rFonts w:cstheme="minorHAnsi"/>
          <w:lang w:val="en-GB"/>
        </w:rPr>
        <w:t xml:space="preserve"> taxa (</w:t>
      </w:r>
      <w:r w:rsidRPr="00941F74">
        <w:rPr>
          <w:rFonts w:cstheme="minorHAnsi"/>
          <w:i/>
          <w:lang w:val="en-GB"/>
        </w:rPr>
        <w:t xml:space="preserve">Calluna vulgaris </w:t>
      </w:r>
      <w:r w:rsidRPr="00941F74">
        <w:rPr>
          <w:rFonts w:cstheme="minorHAnsi"/>
          <w:lang w:val="en-GB"/>
        </w:rPr>
        <w:t xml:space="preserve">and </w:t>
      </w:r>
      <w:r w:rsidRPr="00941F74">
        <w:rPr>
          <w:rFonts w:cstheme="minorHAnsi"/>
          <w:i/>
          <w:lang w:val="en-GB"/>
        </w:rPr>
        <w:t>Juniperus</w:t>
      </w:r>
      <w:r w:rsidRPr="00941F74">
        <w:rPr>
          <w:rFonts w:cstheme="minorHAnsi"/>
          <w:lang w:val="en-GB"/>
        </w:rPr>
        <w:t xml:space="preserve">), mainly present in the central and northern parts, were more disparately distributed throughout the study area, with a strong predominance of </w:t>
      </w:r>
      <w:r w:rsidRPr="00941F74">
        <w:rPr>
          <w:rFonts w:cstheme="minorHAnsi"/>
          <w:i/>
          <w:lang w:val="en-GB"/>
        </w:rPr>
        <w:t>Calluna</w:t>
      </w:r>
      <w:r w:rsidRPr="00941F74">
        <w:rPr>
          <w:rFonts w:cstheme="minorHAnsi"/>
          <w:lang w:val="en-GB"/>
        </w:rPr>
        <w:t xml:space="preserve"> </w:t>
      </w:r>
      <w:r w:rsidRPr="00941F74">
        <w:rPr>
          <w:rFonts w:cstheme="minorHAnsi"/>
          <w:i/>
          <w:lang w:val="en-GB"/>
        </w:rPr>
        <w:t>vulgaris</w:t>
      </w:r>
      <w:r w:rsidRPr="00941F74">
        <w:rPr>
          <w:rFonts w:cstheme="minorHAnsi"/>
          <w:lang w:val="en-GB"/>
        </w:rPr>
        <w:t xml:space="preserve"> (up to 43%) over </w:t>
      </w:r>
      <w:r w:rsidRPr="00941F74">
        <w:rPr>
          <w:rFonts w:cstheme="minorHAnsi"/>
          <w:i/>
          <w:lang w:val="en-GB"/>
        </w:rPr>
        <w:t xml:space="preserve">Juniperus </w:t>
      </w:r>
      <w:r w:rsidRPr="00941F74">
        <w:rPr>
          <w:rFonts w:cstheme="minorHAnsi"/>
          <w:lang w:val="en-GB"/>
        </w:rPr>
        <w:t xml:space="preserve">(less than 3%; Appendix 2). Finally, the eastern part was associated with the dominance of tree taxa, mainly </w:t>
      </w:r>
      <w:r w:rsidRPr="00941F74">
        <w:rPr>
          <w:rFonts w:cstheme="minorHAnsi"/>
          <w:i/>
          <w:lang w:val="en-GB"/>
        </w:rPr>
        <w:t>Fagus</w:t>
      </w:r>
      <w:r w:rsidRPr="00941F74">
        <w:rPr>
          <w:rFonts w:cstheme="minorHAnsi"/>
          <w:lang w:val="en-GB"/>
        </w:rPr>
        <w:t xml:space="preserve"> in the northeast, whose </w:t>
      </w:r>
      <w:r w:rsidRPr="00433E02">
        <w:rPr>
          <w:rFonts w:cstheme="minorHAnsi"/>
          <w:lang w:val="en-GB"/>
        </w:rPr>
        <w:t xml:space="preserve">percentages </w:t>
      </w:r>
      <w:r w:rsidRPr="00433E02">
        <w:rPr>
          <w:lang w:val="en-US"/>
        </w:rPr>
        <w:t>reached 32% in places</w:t>
      </w:r>
      <w:r w:rsidRPr="00433E02">
        <w:rPr>
          <w:rFonts w:cstheme="minorHAnsi"/>
          <w:lang w:val="en-US"/>
        </w:rPr>
        <w:t xml:space="preserve">, </w:t>
      </w:r>
      <w:r w:rsidRPr="00941F74">
        <w:rPr>
          <w:rFonts w:cstheme="minorHAnsi"/>
          <w:lang w:val="en-GB"/>
        </w:rPr>
        <w:t xml:space="preserve">and </w:t>
      </w:r>
      <w:r w:rsidRPr="00941F74">
        <w:rPr>
          <w:rFonts w:cstheme="minorHAnsi"/>
          <w:i/>
          <w:lang w:val="en-GB"/>
        </w:rPr>
        <w:t>Pinus</w:t>
      </w:r>
      <w:r w:rsidRPr="00941F74">
        <w:rPr>
          <w:rFonts w:cstheme="minorHAnsi"/>
          <w:lang w:val="en-GB"/>
        </w:rPr>
        <w:t>, more to the southeast, representing around 15% of the vegetation (</w:t>
      </w:r>
      <w:r w:rsidRPr="00941F74">
        <w:rPr>
          <w:rFonts w:cstheme="minorHAnsi"/>
          <w:color w:val="FF0000"/>
          <w:lang w:val="en-GB"/>
        </w:rPr>
        <w:t>Fig. 4c</w:t>
      </w:r>
      <w:r w:rsidRPr="00941F74">
        <w:rPr>
          <w:rFonts w:cstheme="minorHAnsi"/>
          <w:lang w:val="en-GB"/>
        </w:rPr>
        <w:t>).</w:t>
      </w:r>
    </w:p>
    <w:p w14:paraId="734C0F72" w14:textId="77777777" w:rsidR="004B0F2E" w:rsidRDefault="004B0F2E">
      <w:pPr>
        <w:suppressLineNumbers/>
        <w:spacing w:line="480" w:lineRule="auto"/>
        <w:rPr>
          <w:rFonts w:cstheme="minorHAnsi"/>
          <w:color w:val="FF0000"/>
          <w:lang w:val="en-US"/>
        </w:rPr>
      </w:pPr>
    </w:p>
    <w:p w14:paraId="1F307E9E" w14:textId="34241C8B" w:rsidR="004B0F2E" w:rsidRDefault="00EF1F50">
      <w:pPr>
        <w:suppressLineNumbers/>
        <w:spacing w:line="480" w:lineRule="auto"/>
        <w:rPr>
          <w:rFonts w:cstheme="minorHAnsi"/>
          <w:color w:val="FF0000"/>
          <w:lang w:val="en-US"/>
        </w:rPr>
      </w:pPr>
      <w:r>
        <w:rPr>
          <w:rFonts w:cstheme="minorHAnsi"/>
          <w:color w:val="FF0000"/>
          <w:lang w:val="en-US"/>
        </w:rPr>
        <w:lastRenderedPageBreak/>
        <w:pict w14:anchorId="3C5CFB56">
          <v:shape id="_x0000_i1027" type="#_x0000_t75" style="width:365pt;height:568pt">
            <v:imagedata r:id="rId14" o:title="Fig4_Distritax_Arial"/>
          </v:shape>
        </w:pict>
      </w:r>
    </w:p>
    <w:p w14:paraId="610846A0" w14:textId="77777777" w:rsidR="005F0B65" w:rsidRPr="00941F74" w:rsidRDefault="005F0B65">
      <w:pPr>
        <w:suppressLineNumbers/>
        <w:spacing w:line="480" w:lineRule="auto"/>
        <w:rPr>
          <w:rFonts w:cstheme="minorHAnsi"/>
          <w:lang w:val="en-GB"/>
        </w:rPr>
      </w:pPr>
      <w:r w:rsidRPr="00941F74">
        <w:rPr>
          <w:rFonts w:cstheme="minorHAnsi"/>
          <w:b/>
          <w:lang w:val="en-GB"/>
        </w:rPr>
        <w:t>Figure 4:</w:t>
      </w:r>
      <w:r w:rsidRPr="00941F74">
        <w:rPr>
          <w:rFonts w:cstheme="minorHAnsi"/>
          <w:lang w:val="en-GB"/>
        </w:rPr>
        <w:t xml:space="preserve"> Taxon distribution maps. a) Map-Inferred taxon Distributions (MIDs) based on 2008 land-cover (LC) map. b) LOVE-Inferred taxon distributions (LIDs) based on TW1995 estimates. c) Estimated taxon Distributions (EDs) obtained by averaging MIDs and PIDs. Only 7 taxa are shown here.</w:t>
      </w:r>
    </w:p>
    <w:p w14:paraId="77617B74" w14:textId="2FBA142F" w:rsidR="00C312CE" w:rsidRPr="00941F74" w:rsidRDefault="00C312CE">
      <w:pPr>
        <w:pStyle w:val="Titre2"/>
        <w:numPr>
          <w:ilvl w:val="1"/>
          <w:numId w:val="24"/>
        </w:numPr>
        <w:spacing w:line="480" w:lineRule="auto"/>
        <w:rPr>
          <w:rFonts w:asciiTheme="minorHAnsi" w:hAnsiTheme="minorHAnsi" w:cstheme="minorHAnsi"/>
          <w:sz w:val="22"/>
          <w:szCs w:val="22"/>
          <w:lang w:val="en-US"/>
        </w:rPr>
      </w:pPr>
      <w:r w:rsidRPr="00941F74">
        <w:rPr>
          <w:rFonts w:asciiTheme="minorHAnsi" w:hAnsiTheme="minorHAnsi" w:cstheme="minorHAnsi"/>
          <w:sz w:val="22"/>
          <w:szCs w:val="22"/>
          <w:lang w:val="en-US"/>
        </w:rPr>
        <w:lastRenderedPageBreak/>
        <w:t>Land-cover models</w:t>
      </w:r>
    </w:p>
    <w:p w14:paraId="4FED8D85" w14:textId="485F2C5E" w:rsidR="00C312CE" w:rsidRDefault="003B21C4">
      <w:pPr>
        <w:pStyle w:val="Titre3"/>
        <w:spacing w:line="480" w:lineRule="auto"/>
        <w:rPr>
          <w:rFonts w:cstheme="minorHAnsi"/>
          <w:lang w:val="en-GB"/>
        </w:rPr>
      </w:pPr>
      <w:r w:rsidRPr="00941F74">
        <w:rPr>
          <w:rFonts w:asciiTheme="minorHAnsi" w:hAnsiTheme="minorHAnsi" w:cstheme="minorHAnsi"/>
          <w:b/>
          <w:sz w:val="22"/>
          <w:szCs w:val="22"/>
          <w:lang w:val="en-US"/>
        </w:rPr>
        <w:t xml:space="preserve">4.2.1. </w:t>
      </w:r>
      <w:r w:rsidR="00C312CE" w:rsidRPr="00941F74">
        <w:rPr>
          <w:rFonts w:asciiTheme="minorHAnsi" w:hAnsiTheme="minorHAnsi" w:cstheme="minorHAnsi"/>
          <w:b/>
          <w:sz w:val="22"/>
          <w:szCs w:val="22"/>
          <w:lang w:val="en-US"/>
        </w:rPr>
        <w:t>Variables selection and cross-validation</w:t>
      </w:r>
    </w:p>
    <w:p w14:paraId="72BDBE02" w14:textId="276C6394" w:rsidR="00784924" w:rsidRDefault="00EF1F50">
      <w:pPr>
        <w:suppressLineNumbers/>
        <w:spacing w:line="480" w:lineRule="auto"/>
        <w:rPr>
          <w:rFonts w:cstheme="minorHAnsi"/>
          <w:b/>
          <w:lang w:val="en-GB"/>
        </w:rPr>
      </w:pPr>
      <w:r w:rsidRPr="00EF1F50">
        <w:drawing>
          <wp:inline distT="0" distB="0" distL="0" distR="0" wp14:anchorId="485A7677" wp14:editId="3C0ACA8F">
            <wp:extent cx="6012759" cy="3787140"/>
            <wp:effectExtent l="0" t="0" r="7620" b="381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16664" cy="3789600"/>
                    </a:xfrm>
                    <a:prstGeom prst="rect">
                      <a:avLst/>
                    </a:prstGeom>
                    <a:noFill/>
                    <a:ln>
                      <a:noFill/>
                    </a:ln>
                  </pic:spPr>
                </pic:pic>
              </a:graphicData>
            </a:graphic>
          </wp:inline>
        </w:drawing>
      </w:r>
    </w:p>
    <w:p w14:paraId="210FF33D" w14:textId="1B5379E3" w:rsidR="00417007" w:rsidRDefault="00417007">
      <w:pPr>
        <w:suppressLineNumbers/>
        <w:spacing w:line="480" w:lineRule="auto"/>
        <w:rPr>
          <w:rFonts w:cstheme="minorHAnsi"/>
          <w:lang w:val="en-GB"/>
        </w:rPr>
      </w:pPr>
      <w:r w:rsidRPr="00941F74">
        <w:rPr>
          <w:rFonts w:cstheme="minorHAnsi"/>
          <w:b/>
          <w:lang w:val="en-GB"/>
        </w:rPr>
        <w:t>Table 4:</w:t>
      </w:r>
      <w:r w:rsidRPr="00941F74">
        <w:rPr>
          <w:rFonts w:cstheme="minorHAnsi"/>
          <w:lang w:val="en-GB"/>
        </w:rPr>
        <w:t xml:space="preserve"> Multiple linear predictor composition.</w:t>
      </w:r>
      <w:r>
        <w:rPr>
          <w:rFonts w:cstheme="minorHAnsi"/>
          <w:lang w:val="en-GB"/>
        </w:rPr>
        <w:t xml:space="preserve"> Only explanatory variables with significant </w:t>
      </w:r>
      <w:r w:rsidRPr="00941F74">
        <w:rPr>
          <w:rFonts w:cstheme="minorHAnsi"/>
          <w:lang w:val="en-GB"/>
        </w:rPr>
        <w:t>influence on the land-cover type density</w:t>
      </w:r>
      <w:r>
        <w:rPr>
          <w:rFonts w:cstheme="minorHAnsi"/>
          <w:lang w:val="en-GB"/>
        </w:rPr>
        <w:t xml:space="preserve"> are shown</w:t>
      </w:r>
      <w:r w:rsidRPr="00941F74">
        <w:rPr>
          <w:rFonts w:cstheme="minorHAnsi"/>
          <w:lang w:val="en-GB"/>
        </w:rPr>
        <w:t xml:space="preserve"> (</w:t>
      </w:r>
      <w:r w:rsidRPr="003E6A94">
        <w:rPr>
          <w:rFonts w:cstheme="minorHAnsi"/>
          <w:i/>
          <w:lang w:val="en-GB"/>
        </w:rPr>
        <w:t>p</w:t>
      </w:r>
      <w:r w:rsidRPr="00941F74">
        <w:rPr>
          <w:rFonts w:cstheme="minorHAnsi"/>
          <w:lang w:val="en-GB"/>
        </w:rPr>
        <w:t xml:space="preserve"> &lt; 0.05) .</w:t>
      </w:r>
    </w:p>
    <w:p w14:paraId="1E11A032" w14:textId="7386E16C" w:rsidR="00784924" w:rsidRDefault="00784924">
      <w:pPr>
        <w:spacing w:line="480" w:lineRule="auto"/>
        <w:rPr>
          <w:rFonts w:cstheme="minorHAnsi"/>
          <w:lang w:val="en-GB"/>
        </w:rPr>
      </w:pPr>
      <w:r w:rsidRPr="00941F74">
        <w:rPr>
          <w:rFonts w:cstheme="minorHAnsi"/>
          <w:lang w:val="en-GB"/>
        </w:rPr>
        <w:t xml:space="preserve">The LCT distributions at TW1995 were related to the taxon distributions estimated at TW1995 and the environmental variables using multiple linear models. The stepwise regression did not change the composition of the linear predictors based on the LCT botanical composition, with the exception of the exclusion of </w:t>
      </w:r>
      <w:r w:rsidRPr="00941F74">
        <w:rPr>
          <w:rFonts w:cstheme="minorHAnsi"/>
          <w:i/>
          <w:lang w:val="en-GB"/>
        </w:rPr>
        <w:t>Quercus</w:t>
      </w:r>
      <w:r w:rsidRPr="00941F74">
        <w:rPr>
          <w:rFonts w:cstheme="minorHAnsi"/>
          <w:lang w:val="en-GB"/>
        </w:rPr>
        <w:t xml:space="preserve">, and </w:t>
      </w:r>
      <w:r w:rsidRPr="00941F74">
        <w:rPr>
          <w:rFonts w:cstheme="minorHAnsi"/>
          <w:i/>
          <w:lang w:val="en-GB"/>
        </w:rPr>
        <w:t>Tilia</w:t>
      </w:r>
      <w:r w:rsidRPr="00941F74">
        <w:rPr>
          <w:rFonts w:cstheme="minorHAnsi"/>
          <w:lang w:val="en-GB"/>
        </w:rPr>
        <w:t xml:space="preserve"> EDs from the broadleaved forest (BF) predictor (</w:t>
      </w:r>
      <w:r w:rsidRPr="00941F74">
        <w:rPr>
          <w:rFonts w:cstheme="minorHAnsi"/>
          <w:color w:val="4BACC6" w:themeColor="accent5"/>
          <w:lang w:val="en-GB"/>
        </w:rPr>
        <w:t>Table 4</w:t>
      </w:r>
      <w:r w:rsidRPr="00941F74">
        <w:rPr>
          <w:rFonts w:cstheme="minorHAnsi"/>
          <w:lang w:val="en-GB"/>
        </w:rPr>
        <w:t xml:space="preserve">). All environmental variables (EVs) were also used by the stepwise regression. Slope, elevation and distance to nearest water point were significant in the linear models for all LCTs, while only Rhododendron Heathland (RH) was not significantly associated with exposure. Terrain curvature was only significantly explanatory for the Festuca grassland (FG) distribution (positive influence), while the other EVs were significant for all LCTs, </w:t>
      </w:r>
      <w:r>
        <w:rPr>
          <w:rFonts w:cstheme="minorHAnsi"/>
          <w:lang w:val="en-GB"/>
        </w:rPr>
        <w:t>except</w:t>
      </w:r>
      <w:r w:rsidRPr="00941F74">
        <w:rPr>
          <w:rFonts w:cstheme="minorHAnsi"/>
          <w:lang w:val="en-GB"/>
        </w:rPr>
        <w:t xml:space="preserve"> distance to water for MH.</w:t>
      </w:r>
    </w:p>
    <w:p w14:paraId="1C9C4923" w14:textId="27C2C218" w:rsidR="00784924" w:rsidRDefault="00784924">
      <w:pPr>
        <w:spacing w:after="0" w:line="480" w:lineRule="auto"/>
        <w:rPr>
          <w:rFonts w:cstheme="minorHAnsi"/>
          <w:lang w:val="en-GB"/>
        </w:rPr>
      </w:pPr>
      <w:r w:rsidRPr="00941F74">
        <w:rPr>
          <w:rFonts w:cstheme="minorHAnsi"/>
          <w:lang w:val="en-GB"/>
        </w:rPr>
        <w:lastRenderedPageBreak/>
        <w:t>All linear models performed with K-fold cross-validation were significant (</w:t>
      </w:r>
      <w:r w:rsidRPr="003E6A94">
        <w:rPr>
          <w:i/>
          <w:lang w:val="en-US"/>
        </w:rPr>
        <w:t>p</w:t>
      </w:r>
      <w:r w:rsidRPr="003E6A94">
        <w:rPr>
          <w:lang w:val="en-US"/>
        </w:rPr>
        <w:t xml:space="preserve"> &lt; 0.05</w:t>
      </w:r>
      <w:r w:rsidRPr="00941F74">
        <w:rPr>
          <w:rFonts w:cstheme="minorHAnsi"/>
          <w:lang w:val="en-GB"/>
        </w:rPr>
        <w:t>). The goodness of fit of each sub-model was not greatly influenced by the random sampling, as adjusted R² appear stable across sub-models with small standard deviations (less than 0.002) (</w:t>
      </w:r>
      <w:r w:rsidRPr="00941F74">
        <w:rPr>
          <w:rFonts w:cstheme="minorHAnsi"/>
          <w:color w:val="FF0000"/>
          <w:lang w:val="en-GB"/>
        </w:rPr>
        <w:t>Fig. 5a</w:t>
      </w:r>
      <w:r w:rsidRPr="00941F74">
        <w:rPr>
          <w:rFonts w:cstheme="minorHAnsi"/>
          <w:lang w:val="en-GB"/>
        </w:rPr>
        <w:t>). BF had the highest average fitted R² (0.99), followed by mixed forests (MF, 0.91). Pine forest (PF) had an average fitted R² of 0.83, and mixed (MH), rhododendron (RH) and Calluna heathlands (CH) had fitted R² of 0.76, 0.88 and 0.89, respectively. Grasslands showed the lowest fitted R², with averages of 0.43 and 0.63 for FG and other grasslands (OG).</w:t>
      </w:r>
    </w:p>
    <w:p w14:paraId="446E6264" w14:textId="18440C91" w:rsidR="00EF1F50" w:rsidRPr="00941F74" w:rsidRDefault="00EF1F50" w:rsidP="00EF1F50">
      <w:pPr>
        <w:spacing w:line="480" w:lineRule="auto"/>
        <w:rPr>
          <w:rFonts w:cstheme="minorHAnsi"/>
          <w:lang w:val="en-GB"/>
        </w:rPr>
      </w:pPr>
      <w:r w:rsidRPr="00941F74">
        <w:rPr>
          <w:rFonts w:cstheme="minorHAnsi"/>
          <w:lang w:val="en-GB"/>
        </w:rPr>
        <w:t>NRMSEs indicate differences in the quality of model predictions (</w:t>
      </w:r>
      <w:r w:rsidRPr="00941F74">
        <w:rPr>
          <w:rFonts w:cstheme="minorHAnsi"/>
          <w:color w:val="FF0000"/>
          <w:lang w:val="en-GB"/>
        </w:rPr>
        <w:t>Fig. 5b</w:t>
      </w:r>
      <w:r w:rsidRPr="00941F74">
        <w:rPr>
          <w:rFonts w:cstheme="minorHAnsi"/>
          <w:lang w:val="en-GB"/>
        </w:rPr>
        <w:t>). The model with the highest predictive power was the BF model. The three heathlands and PF models had intermediate predictive abilities, with the CH model being the best of the three heathlands, followed by RH, MH and PF. The MF and FG models had significantly higher NRMSEs than the others, with higher standard deviations, indicating a higher sensitivity to random sampling.</w:t>
      </w:r>
    </w:p>
    <w:p w14:paraId="7BF108A4" w14:textId="6867D1A4" w:rsidR="002812F5" w:rsidRDefault="00EF1F50">
      <w:pPr>
        <w:suppressLineNumbers/>
        <w:spacing w:line="480" w:lineRule="auto"/>
        <w:rPr>
          <w:rFonts w:cstheme="minorHAnsi"/>
          <w:color w:val="1F497D" w:themeColor="text2"/>
          <w:lang w:val="en-US"/>
        </w:rPr>
      </w:pPr>
      <w:r>
        <w:rPr>
          <w:rFonts w:cstheme="minorHAnsi"/>
          <w:color w:val="1F497D" w:themeColor="text2"/>
          <w:lang w:val="en-US"/>
        </w:rPr>
        <w:pict w14:anchorId="2CE27D72">
          <v:shape id="_x0000_i1028" type="#_x0000_t75" style="width:342pt;height:294pt">
            <v:imagedata r:id="rId16" o:title="Fig5_Rsqrd_NRMSE_Arial"/>
          </v:shape>
        </w:pict>
      </w:r>
    </w:p>
    <w:p w14:paraId="214B3842" w14:textId="77777777" w:rsidR="002812F5" w:rsidRPr="00941F74" w:rsidRDefault="002812F5">
      <w:pPr>
        <w:suppressLineNumbers/>
        <w:spacing w:line="480" w:lineRule="auto"/>
        <w:rPr>
          <w:rFonts w:cstheme="minorHAnsi"/>
          <w:lang w:val="en-GB"/>
        </w:rPr>
      </w:pPr>
      <w:r w:rsidRPr="00941F74">
        <w:rPr>
          <w:rFonts w:cstheme="minorHAnsi"/>
          <w:b/>
          <w:lang w:val="en-GB"/>
        </w:rPr>
        <w:t>Figure 5:</w:t>
      </w:r>
      <w:r w:rsidRPr="00941F74">
        <w:rPr>
          <w:rFonts w:cstheme="minorHAnsi"/>
          <w:lang w:val="en-GB"/>
        </w:rPr>
        <w:t xml:space="preserve"> Estimation of model fit by K-fold cross-validation. a) Sub-models fitted R² and b) Sub-models Normalized Root Mean Square Errors (NRMSE).</w:t>
      </w:r>
    </w:p>
    <w:p w14:paraId="45536AAF" w14:textId="0C097D47" w:rsidR="00C312CE" w:rsidRPr="00941F74" w:rsidRDefault="00C312CE">
      <w:pPr>
        <w:pStyle w:val="Titre3"/>
        <w:numPr>
          <w:ilvl w:val="2"/>
          <w:numId w:val="25"/>
        </w:numPr>
        <w:spacing w:line="480" w:lineRule="auto"/>
        <w:rPr>
          <w:rFonts w:asciiTheme="minorHAnsi" w:hAnsiTheme="minorHAnsi" w:cstheme="minorHAnsi"/>
          <w:b/>
          <w:sz w:val="22"/>
          <w:szCs w:val="22"/>
          <w:lang w:val="en-GB"/>
        </w:rPr>
      </w:pPr>
      <w:r w:rsidRPr="00941F74">
        <w:rPr>
          <w:rFonts w:asciiTheme="minorHAnsi" w:hAnsiTheme="minorHAnsi" w:cstheme="minorHAnsi"/>
          <w:b/>
          <w:sz w:val="22"/>
          <w:szCs w:val="22"/>
          <w:lang w:val="en-GB"/>
        </w:rPr>
        <w:lastRenderedPageBreak/>
        <w:t>Composition of predictors</w:t>
      </w:r>
    </w:p>
    <w:p w14:paraId="5E0EFE9E" w14:textId="122CA39D" w:rsidR="00C312CE" w:rsidRPr="00941F74" w:rsidRDefault="00C312CE">
      <w:pPr>
        <w:spacing w:after="0" w:line="480" w:lineRule="auto"/>
        <w:rPr>
          <w:lang w:val="en-US"/>
        </w:rPr>
      </w:pPr>
      <w:r w:rsidRPr="00941F74">
        <w:rPr>
          <w:rFonts w:cstheme="minorHAnsi"/>
          <w:lang w:val="en-GB"/>
        </w:rPr>
        <w:t xml:space="preserve">The linear predictors of </w:t>
      </w:r>
      <w:r w:rsidR="000F7989" w:rsidRPr="00941F74">
        <w:rPr>
          <w:rFonts w:cstheme="minorHAnsi"/>
          <w:lang w:val="en-GB"/>
        </w:rPr>
        <w:t>LCT</w:t>
      </w:r>
      <w:r w:rsidRPr="00941F74">
        <w:rPr>
          <w:rFonts w:cstheme="minorHAnsi"/>
          <w:lang w:val="en-GB"/>
        </w:rPr>
        <w:t xml:space="preserve"> densities contained between six (FG) and 12 (BF) Estimated taxa Distributions (EDs), and between three (RH) and five (FG) Environmental Variables (EVs). The linear predictors of the two grassland types were composed of </w:t>
      </w:r>
      <w:r w:rsidR="002B4F61" w:rsidRPr="00941F74">
        <w:rPr>
          <w:rFonts w:cstheme="minorHAnsi"/>
          <w:lang w:val="en-GB"/>
        </w:rPr>
        <w:t xml:space="preserve">ten </w:t>
      </w:r>
      <w:r w:rsidRPr="00941F74">
        <w:rPr>
          <w:rFonts w:cstheme="minorHAnsi"/>
          <w:lang w:val="en-GB"/>
        </w:rPr>
        <w:t xml:space="preserve">common explanatory variables (six EDs and four EVs). But only four of these </w:t>
      </w:r>
      <w:r w:rsidR="002B4F61" w:rsidRPr="00941F74">
        <w:rPr>
          <w:rFonts w:cstheme="minorHAnsi"/>
          <w:lang w:val="en-GB"/>
        </w:rPr>
        <w:t xml:space="preserve">ten </w:t>
      </w:r>
      <w:r w:rsidRPr="00941F74">
        <w:rPr>
          <w:rFonts w:cstheme="minorHAnsi"/>
          <w:lang w:val="en-GB"/>
        </w:rPr>
        <w:t xml:space="preserve">common variables had the same sign of coefficient, indicating opposite effects of most variables on grassland type density. The taxa that most influenced the distribution of FG were </w:t>
      </w:r>
      <w:r w:rsidRPr="00941F74">
        <w:rPr>
          <w:rFonts w:cstheme="minorHAnsi"/>
          <w:i/>
          <w:lang w:val="en-GB"/>
        </w:rPr>
        <w:t>Juniperus</w:t>
      </w:r>
      <w:r w:rsidRPr="00941F74">
        <w:rPr>
          <w:rFonts w:cstheme="minorHAnsi"/>
          <w:lang w:val="en-GB"/>
        </w:rPr>
        <w:t xml:space="preserve"> and </w:t>
      </w:r>
      <w:r w:rsidRPr="00941F74">
        <w:rPr>
          <w:rFonts w:cstheme="minorHAnsi"/>
          <w:i/>
          <w:lang w:val="en-GB"/>
        </w:rPr>
        <w:t>Potentilla</w:t>
      </w:r>
      <w:r w:rsidRPr="00941F74">
        <w:rPr>
          <w:rFonts w:cstheme="minorHAnsi"/>
          <w:lang w:val="en-GB"/>
        </w:rPr>
        <w:t xml:space="preserve">-type (negatively and positively, respectively). </w:t>
      </w:r>
      <w:r w:rsidR="002B4F61" w:rsidRPr="00941F74">
        <w:rPr>
          <w:rFonts w:cstheme="minorHAnsi"/>
          <w:lang w:val="en-GB"/>
        </w:rPr>
        <w:t>Conversely</w:t>
      </w:r>
      <w:r w:rsidRPr="00941F74">
        <w:rPr>
          <w:rFonts w:cstheme="minorHAnsi"/>
          <w:lang w:val="en-GB"/>
        </w:rPr>
        <w:t xml:space="preserve">, the density of OG was </w:t>
      </w:r>
      <w:r w:rsidR="002B4F61" w:rsidRPr="00941F74">
        <w:rPr>
          <w:rFonts w:cstheme="minorHAnsi"/>
          <w:lang w:val="en-GB"/>
        </w:rPr>
        <w:t xml:space="preserve">the </w:t>
      </w:r>
      <w:r w:rsidRPr="00941F74">
        <w:rPr>
          <w:rFonts w:cstheme="minorHAnsi"/>
          <w:lang w:val="en-GB"/>
        </w:rPr>
        <w:t xml:space="preserve">most negatively influenced by the ED of </w:t>
      </w:r>
      <w:r w:rsidRPr="00941F74">
        <w:rPr>
          <w:rFonts w:cstheme="minorHAnsi"/>
          <w:i/>
          <w:lang w:val="en-GB"/>
        </w:rPr>
        <w:t>Potentilla</w:t>
      </w:r>
      <w:r w:rsidRPr="00941F74">
        <w:rPr>
          <w:rFonts w:cstheme="minorHAnsi"/>
          <w:lang w:val="en-GB"/>
        </w:rPr>
        <w:t xml:space="preserve">-type, and </w:t>
      </w:r>
      <w:r w:rsidR="002B4F61" w:rsidRPr="00941F74">
        <w:rPr>
          <w:rFonts w:cstheme="minorHAnsi"/>
          <w:lang w:val="en-GB"/>
        </w:rPr>
        <w:t xml:space="preserve">the </w:t>
      </w:r>
      <w:r w:rsidRPr="00941F74">
        <w:rPr>
          <w:rFonts w:cstheme="minorHAnsi"/>
          <w:lang w:val="en-GB"/>
        </w:rPr>
        <w:t xml:space="preserve">most positively by that of </w:t>
      </w:r>
      <w:r w:rsidRPr="00941F74">
        <w:rPr>
          <w:rFonts w:cstheme="minorHAnsi"/>
          <w:i/>
          <w:lang w:val="en-GB"/>
        </w:rPr>
        <w:t>Plantago lanceolata.</w:t>
      </w:r>
      <w:r w:rsidR="00760DFF" w:rsidRPr="00941F74">
        <w:rPr>
          <w:rFonts w:cstheme="minorHAnsi"/>
          <w:i/>
          <w:lang w:val="en-GB"/>
        </w:rPr>
        <w:t xml:space="preserve"> </w:t>
      </w:r>
      <w:r w:rsidR="00760DFF" w:rsidRPr="00941F74">
        <w:rPr>
          <w:rFonts w:cstheme="minorHAnsi"/>
          <w:lang w:val="en-GB"/>
        </w:rPr>
        <w:t>Both grassland types are denser at lower elevations and away from water, but FG is favoured by a rather flat terrain with a northern exposure, while OG is favoured by slope and southern exposure.</w:t>
      </w:r>
      <w:r w:rsidR="00B50945" w:rsidRPr="00941F74">
        <w:rPr>
          <w:rFonts w:cstheme="minorHAnsi"/>
          <w:i/>
          <w:lang w:val="en-GB"/>
        </w:rPr>
        <w:t xml:space="preserve"> </w:t>
      </w:r>
      <w:r w:rsidR="00B50945" w:rsidRPr="00941F74">
        <w:rPr>
          <w:rFonts w:cstheme="minorHAnsi"/>
          <w:lang w:val="en-GB"/>
        </w:rPr>
        <w:t>FG is the only LCT influenced by curvature, with a positive effect</w:t>
      </w:r>
      <w:r w:rsidR="00760DFF" w:rsidRPr="00941F74">
        <w:rPr>
          <w:rFonts w:cstheme="minorHAnsi"/>
          <w:lang w:val="en-GB"/>
        </w:rPr>
        <w:t xml:space="preserve"> indicating a positive influence of a curved terrain favouring rainwater runoff.</w:t>
      </w:r>
      <w:r w:rsidR="007C587B" w:rsidRPr="00941F74">
        <w:rPr>
          <w:lang w:val="en-US"/>
        </w:rPr>
        <w:t xml:space="preserve"> </w:t>
      </w:r>
      <w:r w:rsidRPr="00941F74">
        <w:rPr>
          <w:rFonts w:cstheme="minorHAnsi"/>
          <w:lang w:val="en-GB"/>
        </w:rPr>
        <w:t xml:space="preserve">Regarding the three heathland types, the CH predictor differed from both MH and RH in terms of ED composition. With seven EDs having the same sign coefficient MH and RH had the most similar predictors, MH differing only by a positive influence of </w:t>
      </w:r>
      <w:r w:rsidRPr="00941F74">
        <w:rPr>
          <w:rFonts w:cstheme="minorHAnsi"/>
          <w:i/>
          <w:lang w:val="en-GB"/>
        </w:rPr>
        <w:t>Abies</w:t>
      </w:r>
      <w:r w:rsidRPr="00941F74">
        <w:rPr>
          <w:rFonts w:cstheme="minorHAnsi"/>
          <w:lang w:val="en-GB"/>
        </w:rPr>
        <w:t xml:space="preserve"> and Cyperaceae.</w:t>
      </w:r>
      <w:r w:rsidR="00760DFF" w:rsidRPr="00941F74">
        <w:rPr>
          <w:rFonts w:cstheme="minorHAnsi"/>
          <w:lang w:val="en-GB"/>
        </w:rPr>
        <w:t xml:space="preserve"> The patches of CH and RH are denser on the slopes, whatever the exposure for RH but preferentially South for CH, closer to water points and at lower altitude for RH and far from water points and at higher altitude for CH. The density of MH is disadvantaged by slope, favoured by southern exposures</w:t>
      </w:r>
      <w:r w:rsidR="004C39E9" w:rsidRPr="00941F74">
        <w:rPr>
          <w:rFonts w:cstheme="minorHAnsi"/>
          <w:lang w:val="en-GB"/>
        </w:rPr>
        <w:t xml:space="preserve"> and </w:t>
      </w:r>
      <w:r w:rsidR="00760DFF" w:rsidRPr="00941F74">
        <w:rPr>
          <w:rFonts w:cstheme="minorHAnsi"/>
          <w:lang w:val="en-GB"/>
        </w:rPr>
        <w:t>altitude.</w:t>
      </w:r>
    </w:p>
    <w:p w14:paraId="004AED16" w14:textId="0CF6C78F" w:rsidR="00C312CE" w:rsidRDefault="00C312CE">
      <w:pPr>
        <w:spacing w:after="0" w:line="480" w:lineRule="auto"/>
        <w:rPr>
          <w:rFonts w:cstheme="minorHAnsi"/>
          <w:lang w:val="en-GB"/>
        </w:rPr>
      </w:pPr>
      <w:r w:rsidRPr="00941F74">
        <w:rPr>
          <w:rFonts w:cstheme="minorHAnsi"/>
          <w:lang w:val="en-GB"/>
        </w:rPr>
        <w:t xml:space="preserve">The three tree-covered types were positively influenced by the EDs of Cyperaceae, Ericaceae and Poaceae. </w:t>
      </w:r>
      <w:r w:rsidRPr="00941F74">
        <w:rPr>
          <w:rFonts w:cstheme="minorHAnsi"/>
          <w:i/>
          <w:lang w:val="en-GB"/>
        </w:rPr>
        <w:t>Fagus</w:t>
      </w:r>
      <w:r w:rsidRPr="00941F74">
        <w:rPr>
          <w:rFonts w:cstheme="minorHAnsi"/>
          <w:lang w:val="en-GB"/>
        </w:rPr>
        <w:t xml:space="preserve"> </w:t>
      </w:r>
      <w:r w:rsidR="00A81846">
        <w:rPr>
          <w:rFonts w:cstheme="minorHAnsi"/>
          <w:lang w:val="en-GB"/>
        </w:rPr>
        <w:t>was</w:t>
      </w:r>
      <w:r w:rsidR="00A81846" w:rsidRPr="00941F74">
        <w:rPr>
          <w:rFonts w:cstheme="minorHAnsi"/>
          <w:lang w:val="en-GB"/>
        </w:rPr>
        <w:t xml:space="preserve"> </w:t>
      </w:r>
      <w:r w:rsidRPr="00941F74">
        <w:rPr>
          <w:rFonts w:cstheme="minorHAnsi"/>
          <w:lang w:val="en-GB"/>
        </w:rPr>
        <w:t xml:space="preserve">associated with the largest coefficient of BF, while MF was mostly influenced by </w:t>
      </w:r>
      <w:r w:rsidRPr="00941F74">
        <w:rPr>
          <w:rFonts w:cstheme="minorHAnsi"/>
          <w:i/>
          <w:lang w:val="en-GB"/>
        </w:rPr>
        <w:t>Abies</w:t>
      </w:r>
      <w:r w:rsidRPr="00941F74">
        <w:rPr>
          <w:rFonts w:cstheme="minorHAnsi"/>
          <w:lang w:val="en-GB"/>
        </w:rPr>
        <w:t xml:space="preserve">, and PF by </w:t>
      </w:r>
      <w:r w:rsidRPr="00941F74">
        <w:rPr>
          <w:rFonts w:cstheme="minorHAnsi"/>
          <w:i/>
          <w:lang w:val="en-GB"/>
        </w:rPr>
        <w:t>Juniperus</w:t>
      </w:r>
      <w:r w:rsidRPr="00941F74">
        <w:rPr>
          <w:rFonts w:cstheme="minorHAnsi"/>
          <w:lang w:val="en-GB"/>
        </w:rPr>
        <w:t xml:space="preserve">. </w:t>
      </w:r>
      <w:r w:rsidR="00760DFF" w:rsidRPr="00941F74">
        <w:rPr>
          <w:rFonts w:cstheme="minorHAnsi"/>
          <w:lang w:val="en-GB"/>
        </w:rPr>
        <w:t>Regarding the influence of the EVs, the densities of the three forest types are favoured by the steep slopes and the proximity to water points. PF and MF are denser on northern slopes and altitude has a negative influence on the density of their patches, unlike BF.</w:t>
      </w:r>
    </w:p>
    <w:p w14:paraId="599D1661" w14:textId="3E33A70E" w:rsidR="00797721" w:rsidRPr="00941F74" w:rsidRDefault="00EF1F50">
      <w:pPr>
        <w:pStyle w:val="Titre3"/>
        <w:numPr>
          <w:ilvl w:val="2"/>
          <w:numId w:val="29"/>
        </w:numPr>
        <w:spacing w:line="480" w:lineRule="auto"/>
        <w:rPr>
          <w:rFonts w:asciiTheme="minorHAnsi" w:hAnsiTheme="minorHAnsi" w:cstheme="minorHAnsi"/>
          <w:b/>
          <w:sz w:val="22"/>
          <w:szCs w:val="22"/>
          <w:lang w:val="en-US"/>
        </w:rPr>
      </w:pPr>
      <w:r>
        <w:rPr>
          <w:rFonts w:asciiTheme="minorHAnsi" w:hAnsiTheme="minorHAnsi" w:cstheme="minorHAnsi"/>
          <w:b/>
          <w:sz w:val="22"/>
          <w:szCs w:val="22"/>
          <w:lang w:val="en-US"/>
        </w:rPr>
        <w:t>Predicted land-cover map</w:t>
      </w:r>
    </w:p>
    <w:p w14:paraId="24636808" w14:textId="3FA390C3" w:rsidR="0093577E" w:rsidRPr="00941F74" w:rsidRDefault="00797721">
      <w:pPr>
        <w:spacing w:line="480" w:lineRule="auto"/>
        <w:rPr>
          <w:rFonts w:cstheme="minorHAnsi"/>
          <w:lang w:val="en-US"/>
        </w:rPr>
      </w:pPr>
      <w:r w:rsidRPr="00941F74">
        <w:rPr>
          <w:rFonts w:cstheme="minorHAnsi"/>
          <w:lang w:val="en-US"/>
        </w:rPr>
        <w:t xml:space="preserve">The 1993 land-cover map and its modelled estimate for TW1995 </w:t>
      </w:r>
      <w:r>
        <w:rPr>
          <w:rFonts w:cstheme="minorHAnsi"/>
          <w:lang w:val="en-US"/>
        </w:rPr>
        <w:t>were highly</w:t>
      </w:r>
      <w:r w:rsidRPr="00941F74">
        <w:rPr>
          <w:rFonts w:cstheme="minorHAnsi"/>
          <w:lang w:val="en-US"/>
        </w:rPr>
        <w:t xml:space="preserve"> similar</w:t>
      </w:r>
      <w:r>
        <w:rPr>
          <w:rFonts w:cstheme="minorHAnsi"/>
          <w:lang w:val="en-US"/>
        </w:rPr>
        <w:t xml:space="preserve"> (</w:t>
      </w:r>
      <w:r w:rsidRPr="00B410F4">
        <w:rPr>
          <w:rFonts w:cstheme="minorHAnsi"/>
          <w:color w:val="FF0000"/>
          <w:lang w:val="en-US"/>
        </w:rPr>
        <w:t>Fig.6</w:t>
      </w:r>
      <w:r>
        <w:rPr>
          <w:rFonts w:cstheme="minorHAnsi"/>
          <w:lang w:val="en-US"/>
        </w:rPr>
        <w:t>)</w:t>
      </w:r>
      <w:r w:rsidRPr="00941F74">
        <w:rPr>
          <w:rFonts w:cstheme="minorHAnsi"/>
          <w:lang w:val="en-US"/>
        </w:rPr>
        <w:t xml:space="preserve">, with an average multiscale Kappa of 0.65 </w:t>
      </w:r>
      <w:r w:rsidRPr="00941F74">
        <w:rPr>
          <w:rFonts w:cstheme="minorHAnsi"/>
          <w:lang w:val="en-US"/>
        </w:rPr>
        <w:fldChar w:fldCharType="begin"/>
      </w:r>
      <w:r w:rsidR="000E0FBE">
        <w:rPr>
          <w:rFonts w:cstheme="minorHAnsi"/>
          <w:lang w:val="en-US"/>
        </w:rPr>
        <w:instrText xml:space="preserve"> ADDIN ZOTERO_ITEM CSL_CITATION {"citationID":"o6HL0wUY","properties":{"formattedCitation":"(Landis &amp; Koch, 1977)","plainCitation":"(Landis &amp; Koch, 1977)","dontUpdate":true,"noteIndex":0},"citationItems":[{"id":731,"uris":["http://zotero.org/users/10290022/items/CJJCU6AJ"],"itemData":{"id":731,"type":"article-journal","container-title":"Biometrics","DOI":"10.2307/2529310","ISSN":"0006341X","issue":"1","page":"159","title":"The Measurement of Observer Agreement for Categorical Data","URL":"https://www.jstor.org/stable/2529310?origin=crossref","volume":"33","author":[{"family":"Landis","given":"J. Richard"},{"family":"Koch","given":"Gary G."}],"accessed":{"date-parts":[["2018",5,18]]},"issued":{"date-parts":[["1977",3]]}}}],"schema":"https://github.com/citation-style-language/schema/raw/master/csl-citation.json"} </w:instrText>
      </w:r>
      <w:r w:rsidRPr="00941F74">
        <w:rPr>
          <w:rFonts w:cstheme="minorHAnsi"/>
          <w:lang w:val="en-US"/>
        </w:rPr>
        <w:fldChar w:fldCharType="separate"/>
      </w:r>
      <w:r w:rsidRPr="00941F74">
        <w:rPr>
          <w:rFonts w:ascii="Calibri" w:hAnsi="Calibri" w:cs="Calibri"/>
          <w:lang w:val="en-US"/>
        </w:rPr>
        <w:t>(&gt;0.6, Landis &amp; Koch, 1977)</w:t>
      </w:r>
      <w:r w:rsidRPr="00941F74">
        <w:rPr>
          <w:rFonts w:cstheme="minorHAnsi"/>
          <w:lang w:val="en-US"/>
        </w:rPr>
        <w:fldChar w:fldCharType="end"/>
      </w:r>
      <w:r w:rsidRPr="00941F74">
        <w:rPr>
          <w:rFonts w:cstheme="minorHAnsi"/>
          <w:lang w:val="en-US"/>
        </w:rPr>
        <w:t xml:space="preserve">. The average multiscale similarity differed </w:t>
      </w:r>
      <w:r w:rsidRPr="00941F74">
        <w:rPr>
          <w:rFonts w:cstheme="minorHAnsi"/>
          <w:lang w:val="en-US"/>
        </w:rPr>
        <w:lastRenderedPageBreak/>
        <w:t xml:space="preserve">according to the predicted LCT </w:t>
      </w:r>
      <w:r>
        <w:rPr>
          <w:rFonts w:cstheme="minorHAnsi"/>
          <w:lang w:val="en-US"/>
        </w:rPr>
        <w:t>(</w:t>
      </w:r>
      <w:r w:rsidRPr="00B410F4">
        <w:rPr>
          <w:rFonts w:cstheme="minorHAnsi"/>
          <w:color w:val="FF0000"/>
          <w:lang w:val="en-US"/>
        </w:rPr>
        <w:t>Fig.6</w:t>
      </w:r>
      <w:r>
        <w:rPr>
          <w:rFonts w:cstheme="minorHAnsi"/>
          <w:lang w:val="en-US"/>
        </w:rPr>
        <w:t xml:space="preserve">) </w:t>
      </w:r>
      <w:r w:rsidRPr="00941F74">
        <w:rPr>
          <w:rFonts w:cstheme="minorHAnsi"/>
          <w:lang w:val="en-US"/>
        </w:rPr>
        <w:t>and was positively correlated with the average multiscale patch density of each LCT (</w:t>
      </w:r>
      <w:r w:rsidRPr="00941F74">
        <w:rPr>
          <w:rFonts w:cstheme="minorHAnsi"/>
          <w:color w:val="FF0000"/>
          <w:lang w:val="en-US"/>
        </w:rPr>
        <w:t>Fig. 7</w:t>
      </w:r>
      <w:r w:rsidRPr="00941F74">
        <w:rPr>
          <w:rFonts w:cstheme="minorHAnsi"/>
          <w:lang w:val="en-US"/>
        </w:rPr>
        <w:t xml:space="preserve">). The LCT associated with the best prediction was Deciduous Forest, which also had the densest patches, while </w:t>
      </w:r>
      <w:r w:rsidRPr="00941F74">
        <w:rPr>
          <w:rFonts w:cstheme="minorHAnsi"/>
          <w:i/>
          <w:lang w:val="en-US"/>
        </w:rPr>
        <w:t>Festuca</w:t>
      </w:r>
      <w:r w:rsidRPr="00941F74">
        <w:rPr>
          <w:rFonts w:cstheme="minorHAnsi"/>
          <w:lang w:val="en-US"/>
        </w:rPr>
        <w:t xml:space="preserve"> Grassland was the least well predicted LCT, although Pine and Mixed Forest patches showed lower mean multiscale densities (</w:t>
      </w:r>
      <w:r w:rsidRPr="00941F74">
        <w:rPr>
          <w:rFonts w:cstheme="minorHAnsi"/>
          <w:color w:val="FF0000"/>
          <w:lang w:val="en-US"/>
        </w:rPr>
        <w:t>Fig. 7</w:t>
      </w:r>
      <w:r w:rsidRPr="00941F74">
        <w:rPr>
          <w:rFonts w:cstheme="minorHAnsi"/>
          <w:lang w:val="en-US"/>
        </w:rPr>
        <w:t>).</w:t>
      </w:r>
    </w:p>
    <w:p w14:paraId="3FD62074" w14:textId="77777777" w:rsidR="00797721" w:rsidRPr="00D57B90" w:rsidRDefault="00797721">
      <w:pPr>
        <w:suppressLineNumbers/>
        <w:spacing w:after="0" w:line="480" w:lineRule="auto"/>
        <w:rPr>
          <w:rFonts w:cstheme="minorHAnsi"/>
          <w:lang w:val="en-US"/>
        </w:rPr>
      </w:pPr>
    </w:p>
    <w:p w14:paraId="6211C36A" w14:textId="71E275EA" w:rsidR="00EC5395" w:rsidRDefault="00EF1F50">
      <w:pPr>
        <w:suppressLineNumbers/>
        <w:spacing w:after="0" w:line="480" w:lineRule="auto"/>
        <w:rPr>
          <w:rFonts w:cstheme="minorHAnsi"/>
          <w:lang w:val="en-GB"/>
        </w:rPr>
      </w:pPr>
      <w:r>
        <w:rPr>
          <w:rFonts w:cstheme="minorHAnsi"/>
          <w:lang w:val="en-GB"/>
        </w:rPr>
        <w:pict w14:anchorId="601342D6">
          <v:shape id="_x0000_i1029" type="#_x0000_t75" style="width:456pt;height:312pt">
            <v:imagedata r:id="rId17" o:title="Fig6_OBSPRED_CMP_Arial"/>
          </v:shape>
        </w:pict>
      </w:r>
    </w:p>
    <w:p w14:paraId="35D92B59" w14:textId="7173F3EC" w:rsidR="00BA6A55" w:rsidRDefault="00BA6A55">
      <w:pPr>
        <w:suppressLineNumbers/>
        <w:spacing w:line="480" w:lineRule="auto"/>
        <w:rPr>
          <w:rFonts w:cstheme="minorHAnsi"/>
          <w:lang w:val="en-GB"/>
        </w:rPr>
      </w:pPr>
      <w:r w:rsidRPr="00941F74">
        <w:rPr>
          <w:rFonts w:cstheme="minorHAnsi"/>
          <w:b/>
          <w:lang w:val="en-GB"/>
        </w:rPr>
        <w:t>Figure 6:</w:t>
      </w:r>
      <w:r w:rsidRPr="00941F74">
        <w:rPr>
          <w:rFonts w:cstheme="minorHAnsi"/>
          <w:lang w:val="en-GB"/>
        </w:rPr>
        <w:t xml:space="preserve"> Observed 1993 and </w:t>
      </w:r>
      <w:r w:rsidR="00601071">
        <w:rPr>
          <w:rFonts w:cstheme="minorHAnsi"/>
          <w:lang w:val="en-GB"/>
        </w:rPr>
        <w:t>BACKLAND-</w:t>
      </w:r>
      <w:r w:rsidRPr="00941F74">
        <w:rPr>
          <w:rFonts w:cstheme="minorHAnsi"/>
          <w:lang w:val="en-GB"/>
        </w:rPr>
        <w:t>estimated TW1995 land-cover maps and their corresponding multiscale comparison map.</w:t>
      </w:r>
    </w:p>
    <w:p w14:paraId="22C3EB55" w14:textId="17D27D15" w:rsidR="00E612F4" w:rsidRPr="00941F74" w:rsidRDefault="00EF1F50">
      <w:pPr>
        <w:suppressLineNumbers/>
        <w:spacing w:line="480" w:lineRule="auto"/>
        <w:rPr>
          <w:rFonts w:cstheme="minorHAnsi"/>
          <w:lang w:val="en-GB"/>
        </w:rPr>
      </w:pPr>
      <w:r>
        <w:rPr>
          <w:rFonts w:cstheme="minorHAnsi"/>
          <w:b/>
          <w:lang w:val="en-GB"/>
        </w:rPr>
        <w:lastRenderedPageBreak/>
        <w:pict w14:anchorId="6873D12C">
          <v:shape id="_x0000_i1030" type="#_x0000_t75" style="width:456pt;height:234pt">
            <v:imagedata r:id="rId18" o:title="Fig7_CorrDensKappa_Arial"/>
          </v:shape>
        </w:pict>
      </w:r>
      <w:r w:rsidR="00E612F4">
        <w:rPr>
          <w:rFonts w:cstheme="minorHAnsi"/>
          <w:lang w:val="en-GB"/>
        </w:rPr>
        <w:br w:type="textWrapping" w:clear="all"/>
      </w:r>
      <w:r w:rsidR="00E612F4" w:rsidRPr="00941F74">
        <w:rPr>
          <w:rFonts w:cstheme="minorHAnsi"/>
          <w:b/>
          <w:lang w:val="en-GB"/>
        </w:rPr>
        <w:t>Figure 7:</w:t>
      </w:r>
      <w:r w:rsidR="00E612F4" w:rsidRPr="00941F74">
        <w:rPr>
          <w:rFonts w:cstheme="minorHAnsi"/>
          <w:lang w:val="en-GB"/>
        </w:rPr>
        <w:t xml:space="preserve"> Correlation between the 1993 </w:t>
      </w:r>
      <w:r w:rsidR="00E612F4">
        <w:rPr>
          <w:rFonts w:cstheme="minorHAnsi"/>
          <w:lang w:val="en-GB"/>
        </w:rPr>
        <w:t xml:space="preserve">observed </w:t>
      </w:r>
      <w:r w:rsidR="00E612F4" w:rsidRPr="00941F74">
        <w:rPr>
          <w:rFonts w:cstheme="minorHAnsi"/>
          <w:lang w:val="en-GB"/>
        </w:rPr>
        <w:t xml:space="preserve">land-cover average densities and their </w:t>
      </w:r>
      <w:r w:rsidR="00E612F4">
        <w:rPr>
          <w:rFonts w:cstheme="minorHAnsi"/>
          <w:lang w:val="en-GB"/>
        </w:rPr>
        <w:t>BACKLAND-estimated</w:t>
      </w:r>
      <w:r w:rsidR="00E612F4" w:rsidRPr="00941F74">
        <w:rPr>
          <w:rFonts w:cstheme="minorHAnsi"/>
          <w:lang w:val="en-GB"/>
        </w:rPr>
        <w:t xml:space="preserve"> distribution accuracy (average multiscale Kappa</w:t>
      </w:r>
      <w:r w:rsidR="00E612F4">
        <w:rPr>
          <w:rFonts w:cstheme="minorHAnsi"/>
          <w:lang w:val="en-GB"/>
        </w:rPr>
        <w:t xml:space="preserve"> between the 1993 observed and the BACKLAND-estimated </w:t>
      </w:r>
      <w:r w:rsidR="00601071">
        <w:rPr>
          <w:rFonts w:cstheme="minorHAnsi"/>
          <w:lang w:val="en-GB"/>
        </w:rPr>
        <w:t xml:space="preserve">TW1995 </w:t>
      </w:r>
      <w:r w:rsidR="00E612F4">
        <w:rPr>
          <w:rFonts w:cstheme="minorHAnsi"/>
          <w:lang w:val="en-GB"/>
        </w:rPr>
        <w:t>land-cover maps</w:t>
      </w:r>
      <w:r w:rsidR="00E612F4" w:rsidRPr="00941F74">
        <w:rPr>
          <w:rFonts w:cstheme="minorHAnsi"/>
          <w:lang w:val="en-GB"/>
        </w:rPr>
        <w:t>).</w:t>
      </w:r>
    </w:p>
    <w:p w14:paraId="7746DB7D" w14:textId="5D47B809" w:rsidR="001B64EB" w:rsidRPr="00941F74" w:rsidRDefault="003B21C4">
      <w:pPr>
        <w:pStyle w:val="Titre1"/>
        <w:spacing w:line="480" w:lineRule="auto"/>
        <w:rPr>
          <w:rFonts w:asciiTheme="minorHAnsi" w:hAnsiTheme="minorHAnsi" w:cstheme="minorHAnsi"/>
          <w:sz w:val="22"/>
          <w:szCs w:val="22"/>
          <w:lang w:val="en-GB"/>
        </w:rPr>
      </w:pPr>
      <w:bookmarkStart w:id="0" w:name="_GoBack"/>
      <w:bookmarkEnd w:id="0"/>
      <w:r w:rsidRPr="00941F74">
        <w:rPr>
          <w:rFonts w:asciiTheme="minorHAnsi" w:hAnsiTheme="minorHAnsi" w:cstheme="minorHAnsi"/>
          <w:sz w:val="22"/>
          <w:szCs w:val="22"/>
          <w:lang w:val="en-US"/>
        </w:rPr>
        <w:t>Discussion</w:t>
      </w:r>
    </w:p>
    <w:p w14:paraId="2C959313" w14:textId="1A59B2A5" w:rsidR="00CA3235" w:rsidRPr="00941F74" w:rsidRDefault="004E2E53">
      <w:pPr>
        <w:spacing w:line="480" w:lineRule="auto"/>
        <w:rPr>
          <w:rFonts w:cstheme="minorHAnsi"/>
          <w:lang w:val="en-US"/>
        </w:rPr>
      </w:pPr>
      <w:r w:rsidRPr="00941F74">
        <w:rPr>
          <w:rFonts w:cstheme="minorHAnsi"/>
          <w:lang w:val="en-GB"/>
        </w:rPr>
        <w:t xml:space="preserve">In this study, we </w:t>
      </w:r>
      <w:r w:rsidR="00433FC6" w:rsidRPr="00941F74">
        <w:rPr>
          <w:rFonts w:cstheme="minorHAnsi"/>
          <w:lang w:val="en-GB"/>
        </w:rPr>
        <w:t>succeeded</w:t>
      </w:r>
      <w:r w:rsidRPr="00941F74">
        <w:rPr>
          <w:rFonts w:cstheme="minorHAnsi"/>
          <w:lang w:val="en-GB"/>
        </w:rPr>
        <w:t xml:space="preserve"> in reconstructing past </w:t>
      </w:r>
      <w:r w:rsidR="00B93898" w:rsidRPr="00941F74">
        <w:rPr>
          <w:rFonts w:cstheme="minorHAnsi"/>
          <w:lang w:val="en-GB"/>
        </w:rPr>
        <w:t xml:space="preserve">landscape (i.e. a continuous land-cover mosaic) </w:t>
      </w:r>
      <w:r w:rsidRPr="00941F74">
        <w:rPr>
          <w:rFonts w:cstheme="minorHAnsi"/>
          <w:lang w:val="en-GB"/>
        </w:rPr>
        <w:t>by combining</w:t>
      </w:r>
      <w:r w:rsidR="001C17E7" w:rsidRPr="00941F74">
        <w:rPr>
          <w:rFonts w:cstheme="minorHAnsi"/>
          <w:lang w:val="en-GB"/>
        </w:rPr>
        <w:t xml:space="preserve"> </w:t>
      </w:r>
      <w:r w:rsidR="00B753CD" w:rsidRPr="00941F74">
        <w:rPr>
          <w:rFonts w:cstheme="minorHAnsi"/>
          <w:lang w:val="en-GB"/>
        </w:rPr>
        <w:t>LOVE</w:t>
      </w:r>
      <w:r w:rsidRPr="00941F74">
        <w:rPr>
          <w:rFonts w:cstheme="minorHAnsi"/>
          <w:lang w:val="en-GB"/>
        </w:rPr>
        <w:t xml:space="preserve"> estimates</w:t>
      </w:r>
      <w:r w:rsidR="00A24189" w:rsidRPr="00941F74">
        <w:rPr>
          <w:rFonts w:cstheme="minorHAnsi"/>
          <w:lang w:val="en-GB"/>
        </w:rPr>
        <w:t xml:space="preserve"> </w:t>
      </w:r>
      <w:r w:rsidRPr="00941F74">
        <w:rPr>
          <w:rFonts w:cstheme="minorHAnsi"/>
          <w:lang w:val="en-GB"/>
        </w:rPr>
        <w:t xml:space="preserve">around nearby sedimentary sites and recent cartographic and botanical data. We proposed to call </w:t>
      </w:r>
      <w:r w:rsidR="00665065" w:rsidRPr="00941F74">
        <w:rPr>
          <w:rFonts w:cstheme="minorHAnsi"/>
          <w:lang w:val="en-GB"/>
        </w:rPr>
        <w:t xml:space="preserve">BACKLAND </w:t>
      </w:r>
      <w:r w:rsidRPr="00941F74">
        <w:rPr>
          <w:rFonts w:cstheme="minorHAnsi"/>
          <w:lang w:val="en-GB"/>
        </w:rPr>
        <w:t xml:space="preserve">this </w:t>
      </w:r>
      <w:r w:rsidR="004E29D8" w:rsidRPr="00941F74">
        <w:rPr>
          <w:rFonts w:cstheme="minorHAnsi"/>
          <w:lang w:val="en-GB"/>
        </w:rPr>
        <w:t>approach</w:t>
      </w:r>
      <w:r w:rsidR="00665065" w:rsidRPr="00941F74">
        <w:rPr>
          <w:rFonts w:cstheme="minorHAnsi"/>
          <w:lang w:val="en-GB"/>
        </w:rPr>
        <w:t xml:space="preserve"> </w:t>
      </w:r>
      <w:r w:rsidR="00A81846">
        <w:rPr>
          <w:rFonts w:cstheme="minorHAnsi"/>
          <w:lang w:val="en-GB"/>
        </w:rPr>
        <w:t>to</w:t>
      </w:r>
      <w:r w:rsidR="00A81846" w:rsidRPr="00941F74">
        <w:rPr>
          <w:rFonts w:cstheme="minorHAnsi"/>
          <w:lang w:val="en-GB"/>
        </w:rPr>
        <w:t xml:space="preserve"> </w:t>
      </w:r>
      <w:r w:rsidRPr="00941F74">
        <w:rPr>
          <w:rFonts w:cstheme="minorHAnsi"/>
          <w:i/>
          <w:lang w:val="en-GB"/>
        </w:rPr>
        <w:t>a backward prediction</w:t>
      </w:r>
      <w:r w:rsidRPr="00941F74">
        <w:rPr>
          <w:rFonts w:cstheme="minorHAnsi"/>
          <w:lang w:val="en-GB"/>
        </w:rPr>
        <w:t xml:space="preserve"> of the landscape</w:t>
      </w:r>
      <w:r w:rsidR="00E0534F" w:rsidRPr="00941F74">
        <w:rPr>
          <w:rFonts w:cstheme="minorHAnsi"/>
          <w:lang w:val="en-GB"/>
        </w:rPr>
        <w:t xml:space="preserve">, here </w:t>
      </w:r>
      <w:r w:rsidR="00DC79C0" w:rsidRPr="00941F74">
        <w:rPr>
          <w:rFonts w:cstheme="minorHAnsi"/>
          <w:lang w:val="en-GB"/>
        </w:rPr>
        <w:t>implemented on</w:t>
      </w:r>
      <w:r w:rsidR="002342AF" w:rsidRPr="00941F74">
        <w:rPr>
          <w:rFonts w:cstheme="minorHAnsi"/>
          <w:lang w:val="en-GB"/>
        </w:rPr>
        <w:t xml:space="preserve"> a recent time-window (</w:t>
      </w:r>
      <w:r w:rsidR="00220390" w:rsidRPr="00941F74">
        <w:rPr>
          <w:rFonts w:cstheme="minorHAnsi"/>
          <w:lang w:val="en-GB"/>
        </w:rPr>
        <w:t>TW1995</w:t>
      </w:r>
      <w:r w:rsidR="002342AF" w:rsidRPr="00941F74">
        <w:rPr>
          <w:rFonts w:cstheme="minorHAnsi"/>
          <w:lang w:val="en-GB"/>
        </w:rPr>
        <w:t>)</w:t>
      </w:r>
      <w:r w:rsidRPr="00941F74">
        <w:rPr>
          <w:rFonts w:cstheme="minorHAnsi"/>
          <w:lang w:val="en-GB"/>
        </w:rPr>
        <w:t xml:space="preserve">. In the Bassiès study </w:t>
      </w:r>
      <w:r w:rsidR="00E0534F" w:rsidRPr="00941F74">
        <w:rPr>
          <w:rFonts w:cstheme="minorHAnsi"/>
          <w:lang w:val="en-GB"/>
        </w:rPr>
        <w:t>area, we achieved</w:t>
      </w:r>
      <w:r w:rsidRPr="00941F74">
        <w:rPr>
          <w:rFonts w:cstheme="minorHAnsi"/>
          <w:lang w:val="en-GB"/>
        </w:rPr>
        <w:t xml:space="preserve"> high levels of accuracy in terms of </w:t>
      </w:r>
      <w:r w:rsidR="00433FC6" w:rsidRPr="00941F74">
        <w:rPr>
          <w:rFonts w:cstheme="minorHAnsi"/>
          <w:lang w:val="en-GB"/>
        </w:rPr>
        <w:t xml:space="preserve">both </w:t>
      </w:r>
      <w:r w:rsidRPr="00941F74">
        <w:rPr>
          <w:rFonts w:cstheme="minorHAnsi"/>
          <w:lang w:val="en-GB"/>
        </w:rPr>
        <w:t>land-cover</w:t>
      </w:r>
      <w:r w:rsidR="0041099F" w:rsidRPr="00941F74">
        <w:rPr>
          <w:rFonts w:cstheme="minorHAnsi"/>
          <w:lang w:val="en-GB"/>
        </w:rPr>
        <w:t xml:space="preserve"> types</w:t>
      </w:r>
      <w:r w:rsidRPr="00941F74">
        <w:rPr>
          <w:rFonts w:cstheme="minorHAnsi"/>
          <w:lang w:val="en-GB"/>
        </w:rPr>
        <w:t xml:space="preserve"> (</w:t>
      </w:r>
      <w:r w:rsidR="00076F90" w:rsidRPr="00941F74">
        <w:rPr>
          <w:rFonts w:cstheme="minorHAnsi"/>
          <w:lang w:val="en-GB"/>
        </w:rPr>
        <w:t xml:space="preserve">LCTs, </w:t>
      </w:r>
      <w:r w:rsidRPr="00941F74">
        <w:rPr>
          <w:rFonts w:cstheme="minorHAnsi"/>
          <w:lang w:val="en-GB"/>
        </w:rPr>
        <w:t xml:space="preserve">eight) and spatial resolution (20m). </w:t>
      </w:r>
      <w:r w:rsidR="00E0534F" w:rsidRPr="00941F74">
        <w:rPr>
          <w:rFonts w:cstheme="minorHAnsi"/>
          <w:lang w:val="en-GB"/>
        </w:rPr>
        <w:t>To our knowledge</w:t>
      </w:r>
      <w:r w:rsidR="00EA43F4" w:rsidRPr="00941F74">
        <w:rPr>
          <w:rFonts w:cstheme="minorHAnsi"/>
          <w:lang w:val="en-GB"/>
        </w:rPr>
        <w:t>,</w:t>
      </w:r>
      <w:r w:rsidR="00E0534F" w:rsidRPr="00941F74">
        <w:rPr>
          <w:rFonts w:cstheme="minorHAnsi"/>
          <w:lang w:val="en-GB"/>
        </w:rPr>
        <w:t xml:space="preserve"> this is the first backward prediction of a landscape with such a detailed vegetation composition and spatial resolution</w:t>
      </w:r>
      <w:r w:rsidR="00DE1D90" w:rsidRPr="00941F74">
        <w:rPr>
          <w:rFonts w:cstheme="minorHAnsi"/>
          <w:lang w:val="en-GB"/>
        </w:rPr>
        <w:t xml:space="preserve">. BACKLAND integrates one of the most important properties of land cover and land-cover change that is its strong dependence over space and time (i.e., spatial autocorrelation and temporal dependence). </w:t>
      </w:r>
      <w:r w:rsidR="00EA43F4" w:rsidRPr="00941F74">
        <w:rPr>
          <w:rFonts w:cstheme="minorHAnsi"/>
          <w:lang w:val="en-GB"/>
        </w:rPr>
        <w:t xml:space="preserve">For this purpose, </w:t>
      </w:r>
      <w:r w:rsidR="00433FC6" w:rsidRPr="00941F74">
        <w:rPr>
          <w:rFonts w:cstheme="minorHAnsi"/>
          <w:lang w:val="en-GB"/>
        </w:rPr>
        <w:t>the</w:t>
      </w:r>
      <w:r w:rsidR="00EA43F4" w:rsidRPr="00941F74">
        <w:rPr>
          <w:rFonts w:cstheme="minorHAnsi"/>
          <w:lang w:val="en-GB"/>
        </w:rPr>
        <w:t xml:space="preserve"> reconstruction requires </w:t>
      </w:r>
      <w:r w:rsidR="00B018A4" w:rsidRPr="00941F74">
        <w:rPr>
          <w:rFonts w:cstheme="minorHAnsi"/>
          <w:lang w:val="en-GB"/>
        </w:rPr>
        <w:t xml:space="preserve">a </w:t>
      </w:r>
      <w:r w:rsidR="00EA43F4" w:rsidRPr="00941F74">
        <w:rPr>
          <w:rFonts w:cstheme="minorHAnsi"/>
          <w:lang w:val="en-GB"/>
        </w:rPr>
        <w:t>three</w:t>
      </w:r>
      <w:r w:rsidR="00524569" w:rsidRPr="00941F74">
        <w:rPr>
          <w:rFonts w:cstheme="minorHAnsi"/>
          <w:lang w:val="en-GB"/>
        </w:rPr>
        <w:t>-step</w:t>
      </w:r>
      <w:r w:rsidR="00B018A4" w:rsidRPr="00941F74">
        <w:rPr>
          <w:rFonts w:cstheme="minorHAnsi"/>
          <w:lang w:val="en-GB"/>
        </w:rPr>
        <w:t xml:space="preserve"> approach </w:t>
      </w:r>
      <w:r w:rsidR="00EA43F4" w:rsidRPr="00941F74">
        <w:rPr>
          <w:rFonts w:cstheme="minorHAnsi"/>
          <w:lang w:val="en-GB"/>
        </w:rPr>
        <w:t>(Intermediate tax</w:t>
      </w:r>
      <w:r w:rsidR="00065595" w:rsidRPr="00941F74">
        <w:rPr>
          <w:rFonts w:cstheme="minorHAnsi"/>
          <w:lang w:val="en-GB"/>
        </w:rPr>
        <w:t>on</w:t>
      </w:r>
      <w:r w:rsidR="00EA43F4" w:rsidRPr="00941F74">
        <w:rPr>
          <w:rFonts w:cstheme="minorHAnsi"/>
          <w:lang w:val="en-GB"/>
        </w:rPr>
        <w:t xml:space="preserve"> distributions, </w:t>
      </w:r>
      <w:r w:rsidR="00212A06" w:rsidRPr="00941F74">
        <w:rPr>
          <w:rFonts w:cstheme="minorHAnsi"/>
          <w:lang w:val="en-GB"/>
        </w:rPr>
        <w:t>land-cover and explanatory variables</w:t>
      </w:r>
      <w:r w:rsidR="002A50DC" w:rsidRPr="00941F74">
        <w:rPr>
          <w:rFonts w:cstheme="minorHAnsi"/>
          <w:lang w:val="en-GB"/>
        </w:rPr>
        <w:t xml:space="preserve"> production and</w:t>
      </w:r>
      <w:r w:rsidR="00212A06" w:rsidRPr="00941F74">
        <w:rPr>
          <w:rFonts w:cstheme="minorHAnsi"/>
          <w:lang w:val="en-GB"/>
        </w:rPr>
        <w:t xml:space="preserve"> land-cover backward modelling)</w:t>
      </w:r>
      <w:r w:rsidR="00433FC6" w:rsidRPr="00941F74">
        <w:rPr>
          <w:rFonts w:cstheme="minorHAnsi"/>
          <w:lang w:val="en-GB"/>
        </w:rPr>
        <w:t xml:space="preserve"> detailed </w:t>
      </w:r>
      <w:r w:rsidR="00B93898" w:rsidRPr="00941F74">
        <w:rPr>
          <w:rFonts w:cstheme="minorHAnsi"/>
          <w:lang w:val="en-GB"/>
        </w:rPr>
        <w:t>in the following section.</w:t>
      </w:r>
      <w:r w:rsidR="00F53DEA" w:rsidRPr="00941F74">
        <w:rPr>
          <w:rFonts w:cstheme="minorHAnsi"/>
          <w:lang w:val="en-GB"/>
        </w:rPr>
        <w:t xml:space="preserve"> After a discussion of the advantages and weaknesses of the BACKLAND approach, it is compared to other existing pollen-based landscape </w:t>
      </w:r>
      <w:r w:rsidR="00F53DEA" w:rsidRPr="00941F74">
        <w:rPr>
          <w:rFonts w:cstheme="minorHAnsi"/>
          <w:lang w:val="en-GB"/>
        </w:rPr>
        <w:lastRenderedPageBreak/>
        <w:t>reconstruction approaches. Finally, we present its potential in the fields of historical ecology, landscape ecology and habitat management.</w:t>
      </w:r>
    </w:p>
    <w:p w14:paraId="5564ED47" w14:textId="1E4AB3A8" w:rsidR="00AC048C" w:rsidRPr="00941F74" w:rsidRDefault="0059440E">
      <w:pPr>
        <w:pStyle w:val="Titre2"/>
        <w:numPr>
          <w:ilvl w:val="1"/>
          <w:numId w:val="22"/>
        </w:numPr>
        <w:spacing w:line="480" w:lineRule="auto"/>
        <w:rPr>
          <w:rFonts w:asciiTheme="minorHAnsi" w:hAnsiTheme="minorHAnsi" w:cstheme="minorHAnsi"/>
          <w:sz w:val="22"/>
          <w:szCs w:val="22"/>
          <w:lang w:val="en-US"/>
        </w:rPr>
      </w:pPr>
      <w:r w:rsidRPr="00941F74">
        <w:rPr>
          <w:rFonts w:asciiTheme="minorHAnsi" w:hAnsiTheme="minorHAnsi" w:cstheme="minorHAnsi"/>
          <w:sz w:val="22"/>
          <w:szCs w:val="22"/>
          <w:lang w:val="en-US"/>
        </w:rPr>
        <w:t>BACKLAND</w:t>
      </w:r>
      <w:r w:rsidR="007D5BB7" w:rsidRPr="00941F74">
        <w:rPr>
          <w:rFonts w:asciiTheme="minorHAnsi" w:hAnsiTheme="minorHAnsi" w:cstheme="minorHAnsi"/>
          <w:sz w:val="22"/>
          <w:szCs w:val="22"/>
          <w:lang w:val="en-US"/>
        </w:rPr>
        <w:t xml:space="preserve"> approach</w:t>
      </w:r>
      <w:r w:rsidR="001B64EB" w:rsidRPr="00941F74">
        <w:rPr>
          <w:rFonts w:asciiTheme="minorHAnsi" w:hAnsiTheme="minorHAnsi" w:cstheme="minorHAnsi"/>
          <w:sz w:val="22"/>
          <w:szCs w:val="22"/>
          <w:lang w:val="en-US"/>
        </w:rPr>
        <w:t xml:space="preserve"> </w:t>
      </w:r>
    </w:p>
    <w:p w14:paraId="1DCFA74D" w14:textId="5CBA0C16" w:rsidR="00AC048C" w:rsidRPr="00941F74" w:rsidRDefault="003B21C4">
      <w:pPr>
        <w:pStyle w:val="Titre3"/>
        <w:spacing w:line="480" w:lineRule="auto"/>
        <w:rPr>
          <w:rFonts w:asciiTheme="minorHAnsi" w:hAnsiTheme="minorHAnsi" w:cstheme="minorHAnsi"/>
          <w:b/>
          <w:sz w:val="22"/>
          <w:szCs w:val="22"/>
          <w:lang w:val="en-US"/>
        </w:rPr>
      </w:pPr>
      <w:r w:rsidRPr="00941F74">
        <w:rPr>
          <w:rFonts w:asciiTheme="minorHAnsi" w:hAnsiTheme="minorHAnsi" w:cstheme="minorHAnsi"/>
          <w:b/>
          <w:sz w:val="22"/>
          <w:szCs w:val="22"/>
          <w:lang w:val="en-US"/>
        </w:rPr>
        <w:t xml:space="preserve">5.1.1. </w:t>
      </w:r>
      <w:r w:rsidR="00AC048C" w:rsidRPr="00941F74">
        <w:rPr>
          <w:rFonts w:asciiTheme="minorHAnsi" w:hAnsiTheme="minorHAnsi" w:cstheme="minorHAnsi"/>
          <w:b/>
          <w:sz w:val="22"/>
          <w:szCs w:val="22"/>
          <w:lang w:val="en-US"/>
        </w:rPr>
        <w:t>Application conditions and required data</w:t>
      </w:r>
    </w:p>
    <w:p w14:paraId="392267F5" w14:textId="112751BA" w:rsidR="00EA0A6E" w:rsidRPr="00941F74" w:rsidRDefault="004A0ECC">
      <w:pPr>
        <w:spacing w:line="480" w:lineRule="auto"/>
        <w:contextualSpacing/>
        <w:rPr>
          <w:rFonts w:cstheme="minorHAnsi"/>
          <w:lang w:val="en-GB"/>
        </w:rPr>
      </w:pPr>
      <w:r w:rsidRPr="00941F74">
        <w:rPr>
          <w:lang w:val="en-GB"/>
        </w:rPr>
        <w:t xml:space="preserve">The BACKLAND approach relies on </w:t>
      </w:r>
      <w:r w:rsidR="006C35D9" w:rsidRPr="00941F74">
        <w:rPr>
          <w:lang w:val="en-GB"/>
        </w:rPr>
        <w:t xml:space="preserve">past </w:t>
      </w:r>
      <w:r w:rsidRPr="00941F74">
        <w:rPr>
          <w:lang w:val="en-GB"/>
        </w:rPr>
        <w:t>estimates of local vegetation composition modelled by the L</w:t>
      </w:r>
      <w:r w:rsidR="00CD1108" w:rsidRPr="00941F74">
        <w:rPr>
          <w:lang w:val="en-GB"/>
        </w:rPr>
        <w:t xml:space="preserve">andscape </w:t>
      </w:r>
      <w:r w:rsidRPr="00941F74">
        <w:rPr>
          <w:lang w:val="en-GB"/>
        </w:rPr>
        <w:t>R</w:t>
      </w:r>
      <w:r w:rsidR="00CD1108" w:rsidRPr="00941F74">
        <w:rPr>
          <w:lang w:val="en-GB"/>
        </w:rPr>
        <w:t xml:space="preserve">econstruction </w:t>
      </w:r>
      <w:r w:rsidRPr="00941F74">
        <w:rPr>
          <w:lang w:val="en-GB"/>
        </w:rPr>
        <w:t>A</w:t>
      </w:r>
      <w:r w:rsidR="00CD1108" w:rsidRPr="00941F74">
        <w:rPr>
          <w:lang w:val="en-GB"/>
        </w:rPr>
        <w:t>lgorithm</w:t>
      </w:r>
      <w:r w:rsidRPr="00941F74">
        <w:rPr>
          <w:lang w:val="en-GB"/>
        </w:rPr>
        <w:t xml:space="preserve"> approach (REVEALS and LOVE</w:t>
      </w:r>
      <w:r w:rsidR="00CD1108" w:rsidRPr="00941F74">
        <w:rPr>
          <w:lang w:val="en-GB"/>
        </w:rPr>
        <w:t>,</w:t>
      </w:r>
      <w:r w:rsidR="00632A53" w:rsidRPr="00941F74">
        <w:rPr>
          <w:lang w:val="en-GB"/>
        </w:rPr>
        <w:t xml:space="preserve"> </w:t>
      </w:r>
      <w:r w:rsidR="00632A53" w:rsidRPr="00941F74">
        <w:rPr>
          <w:lang w:val="en-GB"/>
        </w:rPr>
        <w:fldChar w:fldCharType="begin"/>
      </w:r>
      <w:r w:rsidR="000E0FBE">
        <w:rPr>
          <w:lang w:val="en-GB"/>
        </w:rPr>
        <w:instrText xml:space="preserve"> ADDIN ZOTERO_ITEM CSL_CITATION {"citationID":"AYJRB12N","properties":{"formattedCitation":"(Sugita, 2007a, 2007b)","plainCitation":"(Sugita, 2007a, 2007b)","dontUpdate":true,"noteIndex":0},"citationItems":[{"id":83,"uris":["http://zotero.org/users/10290022/items/PDK5TWZE"],"itemData":{"id":83,"type":"article-journal","abstract":"This paper describes the LOVE (LOcal Vegetation Estimates) model for estimating local vegetation composition within the relevant source area of pollen. This model quantifies and then subtracts background pollen tie, pollen coming from beyond the relevant source area) in order to arrive at a quantitative reconstruction of local vegetation. Parameters required for LOVE applications are pollen counts from target sites, the relevant source area of pollen of these sites, pollen productivity estimates and regional vegetation composition within 10(4)-10(5) km(2). Regional vegetation composition is obtained using fossil pollen from large sites (&gt;= 10(2) ha) with the REVEALS (Regional Estimates of VEgetation Abundance from Large Sites) model, the first step of the Landscape Reconstruction Algorithm (LRA) specifically designed for LOVE applications. POLLSCAPE simulations demonstrate that (1) regional vegetation composition can be used to predict background pollen at and beyond the relevant source area of pollen for given-sized basins, (2) LOVE with the LRA framework provides a robust and accurate estimate of local vegetation composition much better than vegetation reconstruction using pollen percentages alone and (3) although the relevant source area of pollen is difficult to estimate particularly in past landscapes, a proposed method using backward modelling of LOVE is effective to estimate the relevant source area in landscapes of unknown vegetation patchiness and heterogeneity. Thus, the LRA will also be useful to estimate indirectly changes in spatial structure of past vegetation and landscape caused by natural and anthropogenic forcing.","container-title":"The Holocene","DOI":"10.1177/0959683607075838","ISSN":"0959-6836","issue":"2","note":"ISBN: 0959-6836","page":"229-241","title":"Theory of quantitative reconstruction of vegetation I: pollen from large sites REVEALS regional vegetation composition.","volume":"17","author":[{"family":"Sugita","given":"Shinya"}],"issued":{"date-parts":[["2007"]]}}},{"id":2449,"uris":["http://www.mendeley.com/documents/?uuid=7639867d-dd42-4f40-a31d-23169d3bfea6","http://zotero.org/users/10290022/items/PIKT3FP4"],"itemData":{"id":2449,"type":"article-journal","abstract":"This paper describes the LOVE (LOcal Vegetation Estimates) model for estimating local vegetation composition within the relevant source area of pollen. This model quantifies and then subtracts background pollen tie, pollen coming from beyond the relevant source area) in order to arrive at a quantitative reconstruction of local vegetation. Parameters required for LOVE applications are pollen counts from target sites, the relevant source area of pollen of these sites, pollen productivity estimates and regional vegetation composition within 10(4)-10(5) km(2). Regional vegetation composition is obtained using fossil pollen from large sites (&gt;= 10(2) ha) with the REVEALS (Regional Estimates of VEgetation Abundance from Large Sites) model, the first step of the Landscape Reconstruction Algorithm (LRA) specifically designed for LOVE applications. POLLSCAPE simulations demonstrate that (1) regional vegetation composition can be used to predict background pollen at and beyond the relevant source area of pollen for given-sized basins, (2) LOVE with the LRA framework provides a robust and accurate estimate of local vegetation composition much better than vegetation reconstruction using pollen percentages alone and (3) although the relevant source area of pollen is difficult to estimate particularly in past landscapes, a proposed method using backward modelling of LOVE is effective to estimate the relevant source area in landscapes of unknown vegetation patchiness and heterogeneity. Thus, the LRA will also be useful to estimate indirectly changes in spatial structure of past vegetation and landscape caused by natural and anthropogenic forcing.","container-title":"Holocene","DOI":"10.1177/0959683607075838","ISSN":"09596836","issue":"2","note":"ISBN: 0959-6836","page":"243-257","title":"Theory of quantitative reconstruction of vegetation II: All you need is LOVE","URL":"http://journals.sagepub.com/doi/10.1177/0959683607075838","volume":"17","author":[{"family":"Sugita","given":"Shinya"}],"issued":{"date-parts":[["2007"]]}}}],"schema":"https://github.com/citation-style-language/schema/raw/master/csl-citation.json"} </w:instrText>
      </w:r>
      <w:r w:rsidR="00632A53" w:rsidRPr="00941F74">
        <w:rPr>
          <w:lang w:val="en-GB"/>
        </w:rPr>
        <w:fldChar w:fldCharType="separate"/>
      </w:r>
      <w:r w:rsidR="00632A53" w:rsidRPr="00941F74">
        <w:rPr>
          <w:rFonts w:ascii="Calibri" w:hAnsi="Calibri" w:cs="Calibri"/>
          <w:lang w:val="en-US"/>
        </w:rPr>
        <w:t>Sugita, 2007a, 2007b)</w:t>
      </w:r>
      <w:r w:rsidR="00632A53" w:rsidRPr="00941F74">
        <w:rPr>
          <w:lang w:val="en-GB"/>
        </w:rPr>
        <w:fldChar w:fldCharType="end"/>
      </w:r>
      <w:r w:rsidRPr="00941F74">
        <w:rPr>
          <w:lang w:val="en-GB"/>
        </w:rPr>
        <w:t xml:space="preserve">. The use of </w:t>
      </w:r>
      <w:r w:rsidR="00CD1108" w:rsidRPr="00941F74">
        <w:rPr>
          <w:lang w:val="en-GB"/>
        </w:rPr>
        <w:t>LOVE</w:t>
      </w:r>
      <w:r w:rsidRPr="00941F74">
        <w:rPr>
          <w:lang w:val="en-GB"/>
        </w:rPr>
        <w:t xml:space="preserve"> estimates of vegetation composition is motivated by the characterisation of the spatial extent of the rec</w:t>
      </w:r>
      <w:r w:rsidR="00CD1108" w:rsidRPr="00941F74">
        <w:rPr>
          <w:lang w:val="en-GB"/>
        </w:rPr>
        <w:t>onstruction using RSAPs, which is</w:t>
      </w:r>
      <w:r w:rsidRPr="00941F74">
        <w:rPr>
          <w:lang w:val="en-GB"/>
        </w:rPr>
        <w:t xml:space="preserve"> essential for the BACKLAND approach and cannot be identified with raw pollen data, and because they allow a more accurate reconstruction than the latter</w:t>
      </w:r>
      <w:r w:rsidR="00632A53" w:rsidRPr="00941F74">
        <w:rPr>
          <w:lang w:val="en-GB"/>
        </w:rPr>
        <w:t xml:space="preserve"> </w:t>
      </w:r>
      <w:r w:rsidR="00AA5C9E" w:rsidRPr="00941F74">
        <w:rPr>
          <w:lang w:val="en-GB"/>
        </w:rPr>
        <w:fldChar w:fldCharType="begin"/>
      </w:r>
      <w:r w:rsidR="003B1EC2">
        <w:rPr>
          <w:lang w:val="en-GB"/>
        </w:rPr>
        <w:instrText xml:space="preserve"> ADDIN ZOTERO_ITEM CSL_CITATION {"citationID":"DvTkF4Lh","properties":{"formattedCitation":"(Hellman et al., 2008; Marquer et al., 2020b; Mazier et al., 2015; Overballe-Petersen et al., 2013; Plancher et al., 2022; Sugita et al., 2010b)","plainCitation":"(Hellman et al., 2008; Marquer et al., 2020b; Mazier et al., 2015; Overballe-Petersen et al., 2013; Plancher et al., 2022; Sugita et al., 2010b)","noteIndex":0},"citationItems":[{"id":2674,"uris":["http://zotero.org/users/10290022/items/CQNXCA7K"],"itemData":{"id":2674,"type":"article-journal","container-title":"Journal of Quaternary Science","DOI":"10.1002/jqs.1126","ISSN":"02678179","issue":"1","note":"publisher: Wiley-Blackwell","page":"21-42","title":"The REVEALS model, a new tool to estimate past regional plant abundance from pollen data in large lakes : validation in southern Sweden","URL":"http://doi.wiley.com/10.1002/jqs.1126","volume":"23","author":[{"family":"Hellman","given":"Sofie"},{"family":"Gaillard","given":"Marie-José"},{"family":"Broström","given":"Anna"},{"family":"Sugita","given":"Shinya"}],"accessed":{"date-parts":[["2018",5,23]]},"issued":{"date-parts":[["2008",1,1]]}}},{"id":2264,"uris":["http://www.mendeley.com/documents/?uuid=d4d8c364-d6d8-463f-bceb-f205a69bee35","http://zotero.org/users/10290022/items/U5H5KGHQ"],"itemData":{"id":2264,"type":"article-journal","container-title":"Quaternary Science Reviews","DOI":"https://doi.org/10.1016/j.quascirev.2019.106049","issue":"106049","page":"1-14","title":"Pollen-based reconstruction of Holocene land-cover in mountain regions : Evaluation of the Landscape Reconstruction Algorithm in the Vicdessos valley, northern Pyrenees, France","volume":"228","author":[{"family":"Marquer","given":"Laurent"},{"family":"Mazier","given":"Florence"},{"family":"Sugita","given":"Shinya"},{"family":"Galop","given":"Didier"},{"family":"Houet","given":"Thomas"},{"family":"Faure","given":"Elodie"},{"family":"Gaillard","given":"Marie-José"},{"family":"Haunold","given":"Sébastien"},{"family":"Munnik","given":"Nicolas De"},{"family":"Simonneau","given":"Anaëlle"},{"family":"De Vleeschouwer","given":"François"},{"family":"Le Roux","given":"Gaël"}],"issued":{"date-parts":[["2020"]]}}},{"id":592,"uris":["http://zotero.org/users/10290022/items/RJMNS224"],"itemData":{"id":592,"type":"article-journal","container-title":"Vegetation History and Archaeobotany","DOI":"10.1007/s00334-015-0516-0","issue":"5","page":"555-570","title":"Two hundred years of land-use change in the South Swedish Uplands : comparison of historical map-based estimates with a pollen-based reconstruction using the landscape reconstruction algorithm","volume":"24","author":[{"family":"Mazier","given":"Florence"},{"family":"Brostrom","given":"Anna"},{"family":"Bragée","given":"Petra"},{"family":"Fredh","given":"Daniel"},{"family":"Stenberg","given":"Li"},{"family":"Thiere","given":"Géraldine"},{"family":"Sugita","given":"Shinya"},{"family":"Hammarlund","given":"Dan"}],"issued":{"date-parts":[["2015"]]}}},{"id":2026,"uris":["http://zotero.org/users/10290022/items/5KX7ZYHT"],"itemData":{"id":2026,"type":"article-journal","abstract":"Questions Can the model performance of the landscape reconstruction algorithm (LRA) for small forest hollows be validated through comparison to inventory-based vegetation reconstructions from the last 150 yrs? Does the application of LRA and the comparison to historical data enhance interpretation of the pollen record? Location Denmark. The Gribskov-Ostrup small forest hollow (56°N, 12°20′ E, 44 m a.s.l.) in the forest of Gribskov, eastern Denmark. Methods Pollen analysis was carried out on a small forest hollow, and LRA used to derive pollen-based quantitative estimates of past vegetation. Historical forest inventory data and maps were used to reconstruct the vegetation within three different circles around the hollow (20, 50 and 200 m ring widths) for five time periods during the last 150 yrs. The results of the two approaches were compared in order to evaluate model performance, and the LRA-based reconstruction used to describe how the model changes interpretation of vegetation development during the last ca. 6500 yrs compared to the use of pollen percentages alone. Results Distance-weighted inventory-based reconstructions within 200 m of the hollow's edge provide the best match with the LRA-modelled vegetation. Precise validation of the model is not possible due to insufficient historical data, but the comparison indicates that the LRA reconstruction for Gribskov tends to (1) underestimate tree cover and overestimate open areas, (2) give a too high representation of on-site pollen types, (3) give an underestimation of Fagus and (4) a small overestimation of Quercus and Corylus. Despite these uncertainties, application of the LRA model shows a higher degree of openness than would be apparent from the uncorrected pollen diagram, and makes it possible to attempt to distinguish changes at the local scale from regional vegetation changes, thus giving a clearer picture of the vegetation changes at the site. Conclusions We demonstrate that the estimates of the LRA model applied to pollen data from small forest hollows can be compared with small-scale historical data to evaluate model performance.","container-title":"Journal of Vegetation Science","DOI":"10.1111/jvs.12007","ISSN":"11009233","title":"Quantitative vegetation reconstruction from pollen analysis and historical inventory data around a Danish small forest hollow","author":[{"family":"Overballe-Petersen","given":"Mette Venås"},{"family":"Nielsen","given":"Anne Birgitte"},{"family":"Bradshaw","given":"Richard H.W."}],"issued":{"date-parts":[["2013"]]}}},{"id":3227,"uris":["http://zotero.org/users/10290022/items/T4Q5CY5M"],"itemData":{"id":3227,"type":"article-journal","container-title":"Quaternary Science Reviews","DOI":"https://doi.org/10.1016/j.quascirev.2022.107753","page":"107753","title":"Spatial and temporal patterns of upland vegetation over the last 200 years in the northern pyrenees: Example from the Bassiès valley, Ariège, France","volume":"294","author":[{"family":"Plancher","given":"Clara"},{"family":"Galop","given":"Didier"},{"family":"Houet","given":"Thomas"},{"family":"Lerigoleur","given":"Emile"},{"family":"Marquer","given":"Laurent"},{"family":"Sugita","given":"Shinya"},{"family":"Mazier","given":"Florence"}],"issued":{"date-parts":[["2022"]]}}},{"id":2403,"uris":["http://zotero.org/users/10290022/items/NLVDUIKU"],"itemData":{"id":2403,"type":"article-journal","abstract":"The Landscape Reconstruction Algorithm (LRA) overcomes some of the fundamental problems in pollen analysis for quantitative reconstruction of vegetation. LRA first uses the REVEALS model to estimate regional vegetation using pollen data from large sites and then the LOVE model to estimate vegetation composition within the relevant source area of pollen (RSAP) at small sites by subtracting the background pollen estimated from the regional vegetation composition. This study tests LRA using traini</w:instrText>
      </w:r>
      <w:r w:rsidR="003B1EC2" w:rsidRPr="003B1EC2">
        <w:instrText xml:space="preserve">ng data from forest hollows in northern Michigan (35 sites) and northwestern Wisconsin (43 sites). In northern Michigan, surface pollen from 152-ha and 332-ha lakes is used for REVEALS. Because of the lack of pollen data from large lakes in northwestern Wisconsin, we use pollen from 21 hollows randomly selected from the 43 sites for REVEALS. RSAP indirectly estimated by LRA is comparable to the expected value in each region. A regression analysis and permutation test validate that the LRA-based vegetation reconstruction is significantly more accurate than pollen percentages alone in both regions. Even though the site selection in northwestern Wisconsin is not ideal, the results are robust. The LRA is a significant step forward in quantitative reconstruction of vegetation. © 2010 University of Washington.","container-title":"Quaternary Research","DOI":"10.1016/j.yqres.2010.07.008","ISSN":"00335894","issue":"2","note":"publisher: University of Washington\nISBN: 00335894","page":"289-300","title":"Testing the Landscape Reconstruction Algorithm for spatially explicit reconstruction of vegetation in northern Michigan and Wisconsin","URL":"http://dx.doi.org/10.1016/j.yqres.2010.07.008","volume":"74","author":[{"family":"Sugita","given":"Shinya"},{"family":"Parshall","given":"Tim"},{"family":"Calcote","given":"Randy"},{"family":"Walker","given":"Karen"}],"issued":{"date-parts":[["2010"]]}}}],"schema":"https://github.com/citation-style-language/schema/raw/master/csl-citation.json"} </w:instrText>
      </w:r>
      <w:r w:rsidR="00AA5C9E" w:rsidRPr="00941F74">
        <w:rPr>
          <w:lang w:val="en-GB"/>
        </w:rPr>
        <w:fldChar w:fldCharType="separate"/>
      </w:r>
      <w:r w:rsidR="003B1EC2" w:rsidRPr="003B1EC2">
        <w:rPr>
          <w:rFonts w:ascii="Calibri" w:hAnsi="Calibri" w:cs="Calibri"/>
        </w:rPr>
        <w:t>(Hellman et al., 2008; Marquer et al., 2020b; Mazier et al., 2015; Overballe-Petersen et al., 2013; Plancher et al., 2022; Sugita et al., 2010b)</w:t>
      </w:r>
      <w:r w:rsidR="00AA5C9E" w:rsidRPr="00941F74">
        <w:rPr>
          <w:lang w:val="en-GB"/>
        </w:rPr>
        <w:fldChar w:fldCharType="end"/>
      </w:r>
      <w:r w:rsidRPr="00941F74">
        <w:t xml:space="preserve">. </w:t>
      </w:r>
      <w:r w:rsidRPr="00941F74">
        <w:rPr>
          <w:lang w:val="en-GB"/>
        </w:rPr>
        <w:t>However, certain conditions are necessary for the application of the LRA approach</w:t>
      </w:r>
      <w:r w:rsidR="005F6540" w:rsidRPr="00941F74">
        <w:rPr>
          <w:lang w:val="en-GB"/>
        </w:rPr>
        <w:t xml:space="preserve"> </w:t>
      </w:r>
      <w:r w:rsidR="005F6540" w:rsidRPr="00941F74">
        <w:rPr>
          <w:lang w:val="en-GB"/>
        </w:rPr>
        <w:fldChar w:fldCharType="begin"/>
      </w:r>
      <w:r w:rsidR="003B1EC2">
        <w:rPr>
          <w:lang w:val="en-GB"/>
        </w:rPr>
        <w:instrText xml:space="preserve"> ADDIN ZOTERO_ITEM CSL_CITATION {"citationID":"2Eg7NVYm","properties":{"formattedCitation":"(Sugita, 2007b)","plainCitation":"(Sugita, 2007b)","noteIndex":0},"citationItems":[{"id":2449,"uris":["http://www.mendeley.com/documents/?uuid=7639867d-dd42-4f40-a31d-23169d3bfea6","http://zotero.org/users/10290022/items/PIKT3FP4"],"itemData":{"id":2449,"type":"article-journal","abstract":"This paper describes the LOVE (LOcal Vegetation Estimates) model for estimating local vegetation composition within the relevant source area of pollen. This model quantifies and then subtracts background pollen tie, pollen coming from beyond the relevant source area) in order to arrive at a quantitative reconstruction of local vegetation. Parameters required for LOVE applications are pollen counts from target sites, the relevant source area of pollen of these sites, pollen productivity estimates and regional vegetation composition within 10(4)-10(5) km(2). Regional vegetation composition is obtained using fossil pollen from large sites (&gt;= 10(2) ha) with the REVEALS (Regional Estimates of VEgetation Abundance from Large Sites) model, the first step of the Landscape Reconstruction Algorithm (LRA) specifically designed for LOVE applications. POLLSCAPE simulations demonstrate that (1) regional vegetation composition can be used to predict background pollen at and beyond the relevant source area of pollen for given-sized basins, (2) LOVE with the LRA framework provides a robust and accurate estimate of local vegetation composition much better than vegetation reconstruction using pollen percentages alone and (3) although the relevant source area of pollen is difficult to estimate particularly in past landscapes, a proposed method using backward modelling of LOVE is effective to estimate the relevant source area in landscapes of unknown vegetation patchiness and heterogeneity. Thus, the LRA will also be useful to estimate indirectly changes in spatial structure of past vegetation and landscape caused by natural and anthropogenic forcing.","container-title":"Holocene","DOI":"10.1177/0959683607075838","ISSN":"09596836","issue":"2","note":"ISBN: 0959-6836","page":"243-257","title":"Theory of quantitative reconstruction of vegetation II: All you need is LOVE","URL":"http://journals.sagepub.com/doi/10.1177/0959683607075838","volume":"17","author":[{"family":"Sugita","given":"Shinya"}],"issued":{"date-parts":[["2007"]]}}}],"schema":"https://github.com/citation-style-language/schema/raw/master/csl-citation.json"} </w:instrText>
      </w:r>
      <w:r w:rsidR="005F6540" w:rsidRPr="00941F74">
        <w:rPr>
          <w:lang w:val="en-GB"/>
        </w:rPr>
        <w:fldChar w:fldCharType="separate"/>
      </w:r>
      <w:r w:rsidR="003B1EC2" w:rsidRPr="003B1EC2">
        <w:rPr>
          <w:rFonts w:ascii="Calibri" w:hAnsi="Calibri" w:cs="Calibri"/>
          <w:lang w:val="en-US"/>
        </w:rPr>
        <w:t>(Sugita, 2007b)</w:t>
      </w:r>
      <w:r w:rsidR="005F6540" w:rsidRPr="00941F74">
        <w:rPr>
          <w:lang w:val="en-GB"/>
        </w:rPr>
        <w:fldChar w:fldCharType="end"/>
      </w:r>
      <w:r w:rsidRPr="00941F74">
        <w:rPr>
          <w:lang w:val="en-GB"/>
        </w:rPr>
        <w:t>, and therefore for the application of BACKLAND. In particular, it is necessary to have the input parameters of the LRA, including pollen fall speeds, estimates of the relative pollen productivity of key taxa and their standard errors. Those values exist for a large number of African, Asiatic and European plant taxa</w:t>
      </w:r>
      <w:r w:rsidR="000721AB" w:rsidRPr="00941F74">
        <w:rPr>
          <w:lang w:val="en-GB"/>
        </w:rPr>
        <w:t xml:space="preserve"> </w:t>
      </w:r>
      <w:r w:rsidR="005A31DE" w:rsidRPr="00941F74">
        <w:rPr>
          <w:lang w:val="en-GB"/>
        </w:rPr>
        <w:fldChar w:fldCharType="begin"/>
      </w:r>
      <w:r w:rsidR="003B1EC2">
        <w:rPr>
          <w:lang w:val="en-GB"/>
        </w:rPr>
        <w:instrText xml:space="preserve"> ADDIN ZOTERO_ITEM CSL_CITATION {"citationID":"cA0Bhq2Z","properties":{"formattedCitation":"(Bunting et al., 2013; Duffin and Bunting, 2008; Gaillard et al., 2021; Githumbi et al., 2022; Li et al., 2018; Wieczorek and Herzschuh, 2020)","plainCitation":"(Bunting et al., 2013; Duffin and Bunting, 2008; Gaillard et al., 2021; Githumbi et al., 2022; Li et al., 2018; Wieczorek and Herzschuh, 2020)","noteIndex":0},"citationItems":[{"id":1005,"uris":["http://zotero.org/users/10290022/items/HPV9MAS5"],"itemData":{"id":1005,"type":"article-journal","abstract":"This paper presents the reanalysis of a modern surface sample pollen-vegetation dataset from southern Greenland aimed at extracting estimates of relative pollen productivity (RPP). RPP is a key parameter required in order to use models of pollen dispersal and deposition for hypothesis-testing and quantitative reconstruction of past vegetation cover from pollen assemblages. The data were originally collected for ordination analysis, but as sample points were located in relatively homogenous stands of representative vegetation it was possible to reprocess the vegetation data into a suitable format for obtaining initial estimates of RPP using the extended R-value approach. Although it is not possible to accurately estimate the relevant source area of pollen (RSAP) and thus obtain the best available estimates of RPP, preliminary estimates of RPP relative to Poaceae were obtainable for 17 pollen types. © 2012 Elsevier B.V.","container-title":"Review of Palaeobotany and Palynology","DOI":"10.1016/j.revpalbo.2012.11.003","ISSN":"00346667","note":"publisher: Elsevier B.V.\nISBN: 0034-6667","page":"66-74","title":"Estimates of relative pollen productivity (RPP) for selected taxa from southern Greenland: A pragmatic solution","URL":"http://dx.doi.org/10.1016/j.revpalbo.2012.11.003","volume":"190","author":[{"family":"Bunting","given":"M. Jane"},{"family":"Schofield","given":"J. Edward"},{"family":"Edwards","given":"Kevin J."}],"issued":{"date-parts":[["2013"]]}}},{"id":1827,"uris":["http://zotero.org/users/10290022/items/ED7XSPWL"],"itemData":{"id":1827,"type":"article-journal","abstract":"Understanding the characteristics of pollen dispersal and deposition of different plant taxa is crucial to accurately reconstructing past landscapes using fossil pollen data. Quantitative reconstruction of past landscapes from pollen data using the Prentice-Sugita approach requires estimates of fall speed and relative pollen productivity for all taxa modelled. This study presents estimates of pollen productivity and fall speeds for key southern African savanna taxa, providing a basis for the improved interpretation of fossil pollen records from this extensive and heterogeneous biome. The work was carried out in 5 steps. (1) Modern pollen assemblages from 34 surface sediment samples were analysed. (2) Vegetation around each sampling site was surveyed in concentric circles to a radius of 50 m, and data from existing park surveys were analysed to extend the survey distance to 5 km. (3) Fall speeds for the main pollen taxa were estimated using Stoke's Law of particle settling velocity. (4) Vegetation data were weighted using three different distance-weightings, one incorporating the different particle fall speeds. (5) Extended R-Value analysis was carried out on the pollen and distance-weighted plant abundance datasets using HUMPOL software to estimate relevant source area and relative pollen productivity for the main pollen taxa present. Results showed the Relevant Source Area of Pollen surrounding the sites to be 600-900 m radius, and Poaceae/Cyperaceae were found to be twice as productive (PPE 2.03) as the arboreal taxa analysed (PPE 0.50-0.99). The problems encountered in calculating pollen productivity estimates in savanna environments are discussed and improvements for future studies are suggested.","container-title":"Vegetation History and Archaeobotany","DOI":"10.1007/s00334-007-0101-2","ISSN":"09396314","issue":"5","note":"ISBN: 0939-6314","page":"507-525","title":"Relative pollen productivity and fall speed estimates for southern African savanna taxa","volume":"17","author":[{"family":"Duffin","given":"Kristina I."},{"family":"Bunting","given":"M. Jane"}],"issued":{"date-parts":[["2008"]]}}},{"id":3190,"uris":["http://zotero.org/users/10290022/items/4NHJS9NP"],"itemData":{"id":3190,"type":"article-journal","abstract":"Quantitative pollen-based reconstruction of Holocene plant abundance has not been attempted in the tropics so far. Tropical vegetation is characterized by a large number of entomophilous species and pollen-vegetation modelling for such plants is widely considered too problematic. However, there is a pressing need for quantitative reconstructions of Holocene plant cover in tropical regions to better assess climate- and human-induced environmental crises over time. Of particular note is the environmental crisis at the end of the ‘African Humid Period’ (c. 3 thousand years before present [ka BP]) which remains unquantified. Here, we present results from a pilot study in the Cameroon highlands including estimates of relative pollen productivity (RPP) for major taxa of the Afromontane forests and grasslands using the Extended R-Value (ERV) model, and the first reconstructions of past regional and local Holocene plant cover using the Landscape Reconstruction Algorithm (LRA). RPP estimates were obtained for 12 taxa. We found that Celtis, Alchornea, Syzygium, Macaranga/Mallotus, Nuxia type, and Schefflera have RPPs larger than Poaceae, and Moraceae, Combretaceae/Melastomataceae, Prunus africana/Rubus pinnatus, Cyperaceae, and Podocarpus lower RPPs than Poaceae. The LRA was applied to three Holocene pollen records from Cameroon (Bambili, Mbi, Mbalang) and one from Nigeria (Tilla). The results confirm the abruptness of the forest collapse in Cameroon at 3 ka BP, and suggest that it was faster and of larger magnitude than earlier anticipated. The LRA reconstruction also indicates that the regional landscape in the mountain region was more open than uncorrected pollen percentages alone suggest. Moreover, it supports the earlier interpretation of a dense forest at Bambili 11–3.5 ka BP and the local occurrence of Afromontane forest taxa at Mbalang in the Mid-Holocene.","container-title":"Quaternary Vegetation Dynamics – The African Pollen Database","DOI":"10.1201/9781003162766-12","note":"publisher: CRC Press\nISBN: 9781003162766","page":"183-206","title":"The challenge of pollen-based quantitative reconstruction of Holocene plant cover in tropical regions: A pilot study in Cameroon","URL":"https://www.taylorfrancis.com/chapters/oa-edit/10.1201/9781003162766-12/challenge-pollen-based-quantitative-reconstruction-holocene-plant-cover-tropical-regions-pilot-study-cameroon-marie-jos%C3%A9-gaillard-esther-githumbi-gaston-achoundong-anne-marie-l%C3%A9zine-christelle-h%C3%A9ly-judica%C3%ABl-lebamba-laurent-marquer-florence-mazier-furong-li-shinya-sugita","author":[{"family":"Gaillard","given":"Marie-José"},{"family":"Githumbi","given":"Esther"},{"family":"Achoundong","given":"Gaston"},{"family":"Lézine","given":"Anne-Marie"},{"family":"Hély","given":"Christelle"},{"family":"Lebamba","given":"Judicaël"},{"family":"Marquer","given":"Laurent"},{"family":"Mazier","given":"Florence"},{"family":"Li","given":"Furong"},{"family":"Sugita","given":"Shinya"}],"accessed":{"date-parts":[["2022",9,27]]},"issued":{"date-parts":[["2021",11,28]]}}},{"id":3092,"uris":["http://zotero.org/users/10290022/items/MB4P4H4D"],"itemData":{"id":3092,"type":"article-journal","abstract":"Quantitative reconstructions of past land cover are necessary to determine the processes involved in climate-human-land-cover interactions. We present the first temporally continuous and most spatially extensive pollen-based land-cover reconstruction for Europe over the Holocene (last 11 700 cal yr BP). We describe how vegetation cover has been quantified from pollen records at a 1 • × 1 • spatial scale using the \"Regional Estimates of VEgetation Abundance from Large Sites\" (REVEALS) model. REVEALS calculates estimates of past regional vegetation cover in proportions or percentages. REVEALS has been applied to 1128 pollen records across Europe and part of the eastern Mediterranean-Black Sea-Caspian corridor (30-75 • N, 25 • W-50 • E) to reconstruct the percentage cover of 31 plant taxa assigned to 12 plant functional types (PFTs) and 3 land-cover types (LCTs). A new synthesis of relative pollen productivities (RPPs) for European plant taxa was performed for this reconstruction. It includes multiple RPP values (≥ 2 values) for 39 taxa and single values for 15 taxa Published by Copernicus Publications. 1582 E. Githumbi et al.: European pollen-based REVEALS land-cover reconstructions for the Holocene (total of 54 taxa). To illustrate this, we present distribution maps for five taxa (Calluna vulgaris, Cerealia type (t)., Picea abies, deciduous Quercus t. and evergreen Quercus t.) and three land-cover types (open land, OL; evergreen trees, ETs; and summer-green trees, STs) for eight selected time windows. The reliability of the REVEALS reconstructions and issues related to the interpretation of the results in terms of landscape openness and human-induced vegetation change are discussed. This is followed by a review of the current use of this reconstruction and its future potential utility and development. REVEALS data quality are primarily determined by pollen count data (pollen count and sample, pollen identification, and chronology) and site type and number (lake or bog, large or small, one site vs. multiple sites) used for REVEALS analysis (for each grid cell). A large number of sites with high-quality pollen count data will produce more reliable land-cover estimates with lower standard errors compared to a low number of sites with lower-quality pollen count data. The REVEALS data presented here can be downloaded from https://doi.org/10.1594/PANGAEA.937075 (Fyfe et al., 2022).","container-title":"Earth Syst. Sci. Data","DOI":"10.5194/essd-14-1581-2022","page":"1581-1619","title":"European pollen-based REVEALS land-cover reconstructions for the Holocene: methodology, mapping and potentials","URL":"https://doi.org/10.5194/essd-14-1581-2022","volume":"14","author":[{"family":"Githumbi","given":"Esther"},{"family":"Fyfe","given":"Ralph"},{"family":"Gaillard","given":"Marie-Jose"},{"family":"Trondman","given":"Anna-Kari"},{"family":"Mazier","given":"Florence"},{"family":"Nielsen","given":"Anne-Birgitte"},{"family":"Poska","given":"Anneli"},{"family":"Sugita","given":"Shinya"},{"family":"Woodbridge","given":"Jessie"},{"family":"Azuara","given":"Julien"},{"family":"Feurdean","given":"Angelica"},{"family":"Grindean","given":"Roxana"},{"family":"Lebreton","given":"Vincent"},{"family":"Marquer","given":"Laurent"},{"family":"Nebout-Combourieu","given":"Nathalie"},{"family":"Stančikaitė","given":"Miglė"},{"family":"Tanţău","given":"Ioan"},{"family":"Tonkov","given":"Spassimir"},{"family":"Shumilovskikh","given":"Lyudmila"},{"family":"LandClimII Data contributors","given":""}],"accessed":{"date-parts":[["2022",6,8]]},"issued":{"date-parts":[["2022"]]}}},{"id":3062,"uris":["http://zotero.org/users/10290022/items/RDCCIABF"],"itemData":{"id":3062,"type":"article-journal","abstract":"Model-based quantitative reconstruction of past plant cover in Europe has shown great potential for: (i) testing hypotheses related to Holocene vegetation dynamics, biodiversity, and their relationships with climate and land use; (ii) studying long term interactions between climate and land use. Similar model-based quantitative reconstruction of plant cover in China has been restricted due to the lack of standardized datasets of existing estimates of relative pollen productivity (RPP). This study presents the first synthesis of all RPP values available to date for 39 major plant taxa from temperate China and proposes standardized RPP datasets that can be used for model-based quantitative reconstructions of past plant cover using fossil pollen records for the region. We review 11 RPP studies in temperate China based on modern pollen and related vegetation data around the pollen samples. The study areas include meadow, steppe and desert vegetation, various woodland types, and cultural landscapes. We evaluate the strategies of each study in terms of selection of study areas and distribution of study sites; pollen- and vegetation-data collection in field; vegetation-data collection from satellite images and vegetation maps; and data analysis. We compare all available RPP estimates, select values based on precise rules and calculate mean RPP estimates. We propose two standardized RPP datasets for 31 (Alt1) and 29 (Alt2) plant taxa. The ranking of mean RPPs (Alt-2) relative to Poaceae (= 1) for eight major taxa is: Artemisia (21) &gt; Pinus (18.4) &gt; Betula (12.5) &gt; Castanea (11.5) &gt; Elaeagnaceae (8.8) &gt; Juglans (7.5) &gt; Compositae (4.5) &gt; Amaranthaceae/Chenopodiaceae (4). We conclude that although RPPs are comparable between Europe and China for some genera and families, they can differ very significantly, e.g., Artemisia, Compositae, and Amaranthaceae/Chenopodiaceae. For some taxa, we present the first RPP estimates e.g. Castanea, Elaeagnaceae, and Juglans. The proposed standardized RPP datasets are essential for model-based reconstructions of past plant cover using fossil pollen records from temperate China.","container-title":"Frontiers in Plant Science","DOI":"10.3389/FPLS.2018.01214/BIBTEX","ISSN":"1664462X","note":"publisher: Frontiers Media S.A.","page":"1214","title":"A review of relative pollen productivity estimates from temperate China for pollen-based quantitative reconstruction of past plant cover","volume":"9","author":[{"family":"Li","given":"Furong"},{"family":"Gaillard","given":"Marie José"},{"family":"Xu","given":"Qinghai"},{"family":"Bunting","given":"Mairi J."},{"family":"Li","given":"Yuecong"},{"family":"Li","given":"Jie"},{"family":"Mu","given":"Huishuang"},{"family":"Lu","given":"Jingyao"},{"family":"Zhang","given":"Panpan"},{"family":"Zhang","given":"Shengrui"},{"family":"Cui","given":"Qiaoyu"},{"family":"Zhang","given":"Yahong"},{"family":"Shen","given":"Wei"}],"accessed":{"date-parts":[["2022",2,17]]},"issued":{"date-parts":[["2018",9,5]]}}},{"id":3252,"uris":["http://zotero.org/users/10290022/items/43HWU2P7"],"itemData":{"id":3252,"type":"article-journal","abstract":"Relative pollen productivity (RPP) estimates are fractionate values, often in relation to Poaceae, that allow vegetation cover to be estimated from pollen counts with the help of models. RPP estimates are especially used in the scientiﬁc community in Europe and China, with a few studies in North America. Here we present a comprehensive compilation of available northern hemispheric RPP studies and their results arising from 51 publications with 60 sites and 131 taxa. This compilation allows scientists to identify data gaps in need of further RPP analyses but can also aid them in ﬁnding an RPP set for their study region. We also present a taxonomically harmonised, uniﬁed RPP dataset for the Northern Hemisphere and subsets for North America (including Greenland), Europe (including arctic Russia), and China, which we generated from the available studies. The uniﬁed dataset gives the mean RPP for 55 harmonised taxa as well as fall speeds, which are necessary to reconstruct vegetation cover from pollen counts and RPP values. Data are openly available at https://doi.org/10.1594/PANGAEA.922661 (Wieczorek and Herzschuh, 2020).","container-title":"Earth System Science Data","DOI":"10.5194/essd-12-3515-2020","ISSN":"1866-3516","issue":"4","journalAbbreviation":"Earth Syst. Sci. Data","language":"en","page":"3515-3528","source":"DOI.org (Crossref)","title":"Compilation of relative pollen productivity (RPP) estimates and taxonomically harmonised RPP datasets for single continents and Northern Hemisphere extratropics","URL":"https://essd.copernicus.org/articles/12/3515/2020/","volume":"12","author":[{"family":"Wieczorek","given":"Mareike"},{"family":"Herzschuh","given":"Ulrike"}],"accessed":{"date-parts":[["2023",1,25]]},"issued":{"date-parts":[["2020",12,18]]}}}],"schema":"https://github.com/citation-style-language/schema/raw/master/csl-citation.json"} </w:instrText>
      </w:r>
      <w:r w:rsidR="005A31DE" w:rsidRPr="00941F74">
        <w:rPr>
          <w:lang w:val="en-GB"/>
        </w:rPr>
        <w:fldChar w:fldCharType="separate"/>
      </w:r>
      <w:r w:rsidR="003B1EC2" w:rsidRPr="003B1EC2">
        <w:rPr>
          <w:rFonts w:ascii="Calibri" w:hAnsi="Calibri" w:cs="Calibri"/>
          <w:lang w:val="en-US"/>
        </w:rPr>
        <w:t>(Bunting et al., 2013; Duffin and Bunting, 2008; Gaillard et al., 2021; Githumbi et al., 2022; Li et al., 2018; Wieczorek and Herzschuh, 2020)</w:t>
      </w:r>
      <w:r w:rsidR="005A31DE" w:rsidRPr="00941F74">
        <w:rPr>
          <w:lang w:val="en-GB"/>
        </w:rPr>
        <w:fldChar w:fldCharType="end"/>
      </w:r>
      <w:r w:rsidRPr="00941F74">
        <w:rPr>
          <w:lang w:val="en-GB"/>
        </w:rPr>
        <w:t xml:space="preserve">, although these data </w:t>
      </w:r>
      <w:r w:rsidRPr="00941F74">
        <w:rPr>
          <w:rFonts w:cstheme="minorHAnsi"/>
          <w:lang w:val="en-GB"/>
        </w:rPr>
        <w:t xml:space="preserve">are currently mainly provided for </w:t>
      </w:r>
      <w:r w:rsidR="00E36674" w:rsidRPr="00941F74">
        <w:rPr>
          <w:rFonts w:cstheme="minorHAnsi"/>
          <w:lang w:val="en-US"/>
        </w:rPr>
        <w:t xml:space="preserve">central/northern European and Chinese </w:t>
      </w:r>
      <w:r w:rsidRPr="00941F74">
        <w:rPr>
          <w:rFonts w:cstheme="minorHAnsi"/>
          <w:lang w:val="en-GB"/>
        </w:rPr>
        <w:t>plant taxa</w:t>
      </w:r>
      <w:r w:rsidR="00E36674" w:rsidRPr="00941F74">
        <w:rPr>
          <w:rFonts w:cstheme="minorHAnsi"/>
          <w:lang w:val="en-GB"/>
        </w:rPr>
        <w:t xml:space="preserve"> </w:t>
      </w:r>
      <w:r w:rsidR="00E36674" w:rsidRPr="00941F74">
        <w:rPr>
          <w:rFonts w:cstheme="minorHAnsi"/>
          <w:lang w:val="en-GB"/>
        </w:rPr>
        <w:fldChar w:fldCharType="begin"/>
      </w:r>
      <w:r w:rsidR="003B1EC2">
        <w:rPr>
          <w:rFonts w:cstheme="minorHAnsi"/>
          <w:lang w:val="en-GB"/>
        </w:rPr>
        <w:instrText xml:space="preserve"> ADDIN ZOTERO_ITEM CSL_CITATION {"citationID":"ey5KH3T7","properties":{"formattedCitation":"(Wieczorek and Herzschuh, 2020)","plainCitation":"(Wieczorek and Herzschuh, 2020)","noteIndex":0},"citationItems":[{"id":3252,"uris":["http://zotero.org/users/10290022/items/43HWU2P7"],"itemData":{"id":3252,"type":"article-journal","abstract":"Relative pollen productivity (RPP) estimates are fractionate values, often in relation to Poaceae, that allow vegetation cover to be estimated from pollen counts with the help of models. RPP estimates are especially used in the scientiﬁc community in Europe and China, with a few studies in North America. Here we present a comprehensive compilation of available northern hemispheric RPP studies and their results arising from 51 publications with 60 sites and 131 taxa. This compilation allows scientists to identify data gaps in need of further RPP analyses but can also aid them in ﬁnding an RPP set for their study region. We also present a taxonomically harmonised, uniﬁed RPP dataset for the Northern Hemisphere and subsets for North America (including Greenland), Europe (including arctic Russia), and China, which we generated from the available studies. The uniﬁed dataset gives the mean RPP for 55 harmonised taxa as well as fall speeds, which are necessary to reconstruct vegetation cover from pollen counts and RPP values. Data are openly available at https://doi.org/10.1594/PANGAEA.922661 (Wieczorek and Herzschuh, 2020).","container-title":"Earth System Science Data","DOI":"10.5194/essd-12-3515-2020","ISSN":"1866-3516","issue":"4","journalAbbreviation":"Earth Syst. Sci. Data","language":"en","page":"3515-3528","source":"DOI.org (Crossref)","title":"Compilation of relative pollen productivity (RPP) estimates and taxonomically harmonised RPP datasets for single continents and Northern Hemisphere extratropics","URL":"https://essd.copernicus.org/articles/12/3515/2020/","volume":"12","author":[{"family":"Wieczorek","given":"Mareike"},{"family":"Herzschuh","given":"Ulrike"}],"accessed":{"date-parts":[["2023",1,25]]},"issued":{"date-parts":[["2020",12,18]]}}}],"schema":"https://github.com/citation-style-language/schema/raw/master/csl-citation.json"} </w:instrText>
      </w:r>
      <w:r w:rsidR="00E36674" w:rsidRPr="00941F74">
        <w:rPr>
          <w:rFonts w:cstheme="minorHAnsi"/>
          <w:lang w:val="en-GB"/>
        </w:rPr>
        <w:fldChar w:fldCharType="separate"/>
      </w:r>
      <w:r w:rsidR="003B1EC2" w:rsidRPr="003B1EC2">
        <w:rPr>
          <w:rFonts w:ascii="Calibri" w:hAnsi="Calibri" w:cs="Calibri"/>
          <w:lang w:val="en-US"/>
        </w:rPr>
        <w:t>(Wieczorek and Herzschuh, 2020)</w:t>
      </w:r>
      <w:r w:rsidR="00E36674" w:rsidRPr="00941F74">
        <w:rPr>
          <w:rFonts w:cstheme="minorHAnsi"/>
          <w:lang w:val="en-GB"/>
        </w:rPr>
        <w:fldChar w:fldCharType="end"/>
      </w:r>
      <w:r w:rsidRPr="00941F74">
        <w:rPr>
          <w:rFonts w:cstheme="minorHAnsi"/>
          <w:lang w:val="en-GB"/>
        </w:rPr>
        <w:t>.  Furthermore, the BACKLAND approach</w:t>
      </w:r>
      <w:r w:rsidRPr="00941F74">
        <w:rPr>
          <w:lang w:val="en-GB"/>
        </w:rPr>
        <w:t xml:space="preserve"> relies on the redundancy of information between L</w:t>
      </w:r>
      <w:r w:rsidR="00CD1108" w:rsidRPr="00941F74">
        <w:rPr>
          <w:lang w:val="en-GB"/>
        </w:rPr>
        <w:t>OVE</w:t>
      </w:r>
      <w:r w:rsidR="00A60751" w:rsidRPr="00941F74">
        <w:rPr>
          <w:lang w:val="en-GB"/>
        </w:rPr>
        <w:t xml:space="preserve"> </w:t>
      </w:r>
      <w:r w:rsidRPr="00941F74">
        <w:rPr>
          <w:lang w:val="en-GB"/>
        </w:rPr>
        <w:t xml:space="preserve">estimates to provide continuous maps of </w:t>
      </w:r>
      <w:r w:rsidR="00CD1108" w:rsidRPr="00941F74">
        <w:rPr>
          <w:lang w:val="en-GB"/>
        </w:rPr>
        <w:t>LOVE-Inferred</w:t>
      </w:r>
      <w:r w:rsidRPr="00941F74">
        <w:rPr>
          <w:lang w:val="en-GB"/>
        </w:rPr>
        <w:t xml:space="preserve"> taxa </w:t>
      </w:r>
      <w:r w:rsidR="00CD1108" w:rsidRPr="00941F74">
        <w:rPr>
          <w:lang w:val="en-GB"/>
        </w:rPr>
        <w:t>D</w:t>
      </w:r>
      <w:r w:rsidRPr="00941F74">
        <w:rPr>
          <w:lang w:val="en-GB"/>
        </w:rPr>
        <w:t>istribution (LIDs). It is therefore necessary to target a study area comprising sedimentary sites that are sufficiently close</w:t>
      </w:r>
      <w:r w:rsidR="00CD1108" w:rsidRPr="00941F74">
        <w:rPr>
          <w:lang w:val="en-GB"/>
        </w:rPr>
        <w:t xml:space="preserve"> to each other so that their RSAP</w:t>
      </w:r>
      <w:r w:rsidRPr="00941F74">
        <w:rPr>
          <w:lang w:val="en-GB"/>
        </w:rPr>
        <w:t>s overlap as much as possible. Therefore areas with a dense network of lakes and peat bogs, such as mountain areas with a bedrock of magmatic rocks or boreal regions</w:t>
      </w:r>
      <w:r w:rsidR="00BC3842" w:rsidRPr="00941F74">
        <w:rPr>
          <w:lang w:val="en-GB"/>
        </w:rPr>
        <w:t xml:space="preserve"> </w:t>
      </w:r>
      <w:r w:rsidR="00BC3842" w:rsidRPr="00941F74">
        <w:rPr>
          <w:lang w:val="en-GB"/>
        </w:rPr>
        <w:fldChar w:fldCharType="begin"/>
      </w:r>
      <w:r w:rsidR="003B1EC2">
        <w:rPr>
          <w:lang w:val="en-GB"/>
        </w:rPr>
        <w:instrText xml:space="preserve"> ADDIN ZOTERO_ITEM CSL_CITATION {"citationID":"E3MtAaVr","properties":{"formattedCitation":"(Peiry, 2015)","plainCitation":"(Peiry, 2015)","noteIndex":0},"citationItems":[{"id":3186,"uris":["http://zotero.org/users/10290022/items/H9F5CRTS"],"itemData":{"id":3186,"type":"chapter","container-title":"L'eau à découvert","event-place":"Paris","note":"DOI: 10.1071/MF99098","page":"108-109","publisher-place":"Paris","title":"Zones humides et marais d'eau douce","URL":"http://dx.doi.org/10.1071/MF99098","author":[{"family":"Peiry","given":"Jean-Luc"}],"accessed":{"date-parts":[["2022",9,27]]},"issued":{"date-parts":[["2015"]]}}}],"schema":"https://github.com/citation-style-language/schema/raw/master/csl-citation.json"} </w:instrText>
      </w:r>
      <w:r w:rsidR="00BC3842" w:rsidRPr="00941F74">
        <w:rPr>
          <w:lang w:val="en-GB"/>
        </w:rPr>
        <w:fldChar w:fldCharType="separate"/>
      </w:r>
      <w:r w:rsidR="003B1EC2" w:rsidRPr="003B1EC2">
        <w:rPr>
          <w:rFonts w:ascii="Calibri" w:hAnsi="Calibri" w:cs="Calibri"/>
          <w:lang w:val="en-US"/>
        </w:rPr>
        <w:t>(Peiry, 2015)</w:t>
      </w:r>
      <w:r w:rsidR="00BC3842" w:rsidRPr="00941F74">
        <w:rPr>
          <w:lang w:val="en-GB"/>
        </w:rPr>
        <w:fldChar w:fldCharType="end"/>
      </w:r>
      <w:r w:rsidRPr="00941F74">
        <w:rPr>
          <w:lang w:val="en-GB"/>
        </w:rPr>
        <w:t>, should be particularly suitable if well-preserved sediments and reliable chronologies are available.</w:t>
      </w:r>
      <w:r w:rsidR="00EF111D" w:rsidRPr="00941F74">
        <w:rPr>
          <w:lang w:val="en-GB"/>
        </w:rPr>
        <w:t xml:space="preserve"> </w:t>
      </w:r>
    </w:p>
    <w:p w14:paraId="36F4FD1B" w14:textId="12AAA084" w:rsidR="00EA0A6E" w:rsidRPr="00941F74" w:rsidRDefault="001D21A4">
      <w:pPr>
        <w:spacing w:line="480" w:lineRule="auto"/>
        <w:contextualSpacing/>
        <w:rPr>
          <w:rFonts w:cstheme="minorHAnsi"/>
          <w:lang w:val="en-GB"/>
        </w:rPr>
      </w:pPr>
      <w:r w:rsidRPr="00941F74">
        <w:rPr>
          <w:rFonts w:cstheme="minorHAnsi"/>
          <w:lang w:val="en-GB"/>
        </w:rPr>
        <w:t>In addition</w:t>
      </w:r>
      <w:r w:rsidR="00EA0A6E" w:rsidRPr="00941F74">
        <w:rPr>
          <w:rFonts w:cstheme="minorHAnsi"/>
          <w:lang w:val="en-GB"/>
        </w:rPr>
        <w:t>, BACKLAND</w:t>
      </w:r>
      <w:r w:rsidR="000E3BCF" w:rsidRPr="00941F74">
        <w:rPr>
          <w:rFonts w:cstheme="minorHAnsi"/>
          <w:lang w:val="en-GB"/>
        </w:rPr>
        <w:t xml:space="preserve"> requires a pair of </w:t>
      </w:r>
      <w:r w:rsidR="001E1B43" w:rsidRPr="00941F74">
        <w:rPr>
          <w:rFonts w:cstheme="minorHAnsi"/>
          <w:lang w:val="en-GB"/>
        </w:rPr>
        <w:t>recent</w:t>
      </w:r>
      <w:r w:rsidR="000E3BCF" w:rsidRPr="00941F74">
        <w:rPr>
          <w:rFonts w:cstheme="minorHAnsi"/>
          <w:lang w:val="en-GB"/>
        </w:rPr>
        <w:t xml:space="preserve"> and past land-cover map</w:t>
      </w:r>
      <w:r w:rsidR="001E1B43" w:rsidRPr="00941F74">
        <w:rPr>
          <w:rFonts w:cstheme="minorHAnsi"/>
          <w:lang w:val="en-GB"/>
        </w:rPr>
        <w:t xml:space="preserve">s characterising the land-cover mosaic of the studied landscape with the same LCT </w:t>
      </w:r>
      <w:r w:rsidR="000E3BCF" w:rsidRPr="00941F74">
        <w:rPr>
          <w:rFonts w:cstheme="minorHAnsi"/>
          <w:lang w:val="en-GB"/>
        </w:rPr>
        <w:t>classification</w:t>
      </w:r>
      <w:r w:rsidR="001E1B43" w:rsidRPr="00941F74">
        <w:rPr>
          <w:rFonts w:cstheme="minorHAnsi"/>
          <w:lang w:val="en-GB"/>
        </w:rPr>
        <w:t xml:space="preserve">. The past land-cover map must be </w:t>
      </w:r>
      <w:r w:rsidR="000E3BCF" w:rsidRPr="00941F74">
        <w:rPr>
          <w:rFonts w:cstheme="minorHAnsi"/>
          <w:lang w:val="en-GB"/>
        </w:rPr>
        <w:lastRenderedPageBreak/>
        <w:t>within the</w:t>
      </w:r>
      <w:r w:rsidR="001E1B43" w:rsidRPr="00941F74">
        <w:rPr>
          <w:rFonts w:cstheme="minorHAnsi"/>
          <w:lang w:val="en-GB"/>
        </w:rPr>
        <w:t xml:space="preserve"> time-</w:t>
      </w:r>
      <w:r w:rsidR="000E3BCF" w:rsidRPr="00941F74">
        <w:rPr>
          <w:rFonts w:cstheme="minorHAnsi"/>
          <w:lang w:val="en-GB"/>
        </w:rPr>
        <w:t xml:space="preserve">window </w:t>
      </w:r>
      <w:r w:rsidR="001E1B43" w:rsidRPr="00941F74">
        <w:rPr>
          <w:rFonts w:cstheme="minorHAnsi"/>
          <w:lang w:val="en-GB"/>
        </w:rPr>
        <w:t>of the LOVE estimates.</w:t>
      </w:r>
      <w:r w:rsidR="008269F3" w:rsidRPr="00941F74">
        <w:rPr>
          <w:rFonts w:cstheme="minorHAnsi"/>
          <w:lang w:val="en-GB"/>
        </w:rPr>
        <w:t xml:space="preserve"> </w:t>
      </w:r>
      <w:r w:rsidR="008269F3" w:rsidRPr="00941F74">
        <w:rPr>
          <w:lang w:val="en-US"/>
        </w:rPr>
        <w:t xml:space="preserve">The spatial resolution and classification of LCTs achieved by BACKLAND reconstructions depends on their definition on the land-cover maps used for training. Moreover, the more the landscape contains rare or highly fragmented LCTs, the finer the spatial resolution required to integrate these types into the models, which can generate excessive computation times. In this study, we opted for a spatial resolution of 20m, allowing all LCTs to be modelled for reasonable computation times. </w:t>
      </w:r>
      <w:r w:rsidR="00EA0A6E" w:rsidRPr="00941F74">
        <w:rPr>
          <w:rFonts w:cstheme="minorHAnsi"/>
          <w:lang w:val="en-GB"/>
        </w:rPr>
        <w:t>A</w:t>
      </w:r>
      <w:r w:rsidR="00875ECB" w:rsidRPr="00941F74">
        <w:rPr>
          <w:rFonts w:cstheme="minorHAnsi"/>
          <w:lang w:val="en-GB"/>
        </w:rPr>
        <w:t>dditional maps</w:t>
      </w:r>
      <w:r w:rsidR="00EA0A6E" w:rsidRPr="00941F74">
        <w:rPr>
          <w:rFonts w:cstheme="minorHAnsi"/>
          <w:lang w:val="en-GB"/>
        </w:rPr>
        <w:t xml:space="preserve"> </w:t>
      </w:r>
      <w:r w:rsidR="00B376ED" w:rsidRPr="00941F74">
        <w:rPr>
          <w:rFonts w:cstheme="minorHAnsi"/>
          <w:lang w:val="en-GB"/>
        </w:rPr>
        <w:t xml:space="preserve">may </w:t>
      </w:r>
      <w:r w:rsidR="00EA0A6E" w:rsidRPr="00941F74">
        <w:rPr>
          <w:rFonts w:cstheme="minorHAnsi"/>
          <w:lang w:val="en-GB"/>
        </w:rPr>
        <w:t xml:space="preserve">also </w:t>
      </w:r>
      <w:r w:rsidR="00B376ED" w:rsidRPr="00941F74">
        <w:rPr>
          <w:rFonts w:cstheme="minorHAnsi"/>
          <w:lang w:val="en-GB"/>
        </w:rPr>
        <w:t xml:space="preserve">be </w:t>
      </w:r>
      <w:r w:rsidR="00EA0A6E" w:rsidRPr="00941F74">
        <w:rPr>
          <w:rFonts w:cstheme="minorHAnsi"/>
          <w:lang w:val="en-GB"/>
        </w:rPr>
        <w:t xml:space="preserve">needed </w:t>
      </w:r>
      <w:r w:rsidR="00A81846">
        <w:rPr>
          <w:rFonts w:cstheme="minorHAnsi"/>
          <w:lang w:val="en-GB"/>
        </w:rPr>
        <w:t>to extract</w:t>
      </w:r>
      <w:r w:rsidR="00B376ED" w:rsidRPr="00941F74">
        <w:rPr>
          <w:rFonts w:cstheme="minorHAnsi"/>
          <w:lang w:val="en-GB"/>
        </w:rPr>
        <w:t xml:space="preserve"> a</w:t>
      </w:r>
      <w:r w:rsidR="00EA0A6E" w:rsidRPr="00941F74">
        <w:rPr>
          <w:rFonts w:cstheme="minorHAnsi"/>
          <w:lang w:val="en-GB"/>
        </w:rPr>
        <w:t>uxiliary variables</w:t>
      </w:r>
      <w:r w:rsidR="00B376ED" w:rsidRPr="00941F74">
        <w:rPr>
          <w:rFonts w:cstheme="minorHAnsi"/>
          <w:lang w:val="en-GB"/>
        </w:rPr>
        <w:t xml:space="preserve"> </w:t>
      </w:r>
      <w:r w:rsidR="00A81846">
        <w:rPr>
          <w:lang w:val="en-US"/>
        </w:rPr>
        <w:t>depending on</w:t>
      </w:r>
      <w:r w:rsidR="00B376ED" w:rsidRPr="00941F74">
        <w:rPr>
          <w:lang w:val="en-US"/>
        </w:rPr>
        <w:t xml:space="preserve"> the studied landscapes and the environmental constraints influencing their vegetation distribution</w:t>
      </w:r>
      <w:r w:rsidR="009D67A2" w:rsidRPr="00941F74">
        <w:rPr>
          <w:rFonts w:cstheme="minorHAnsi"/>
          <w:lang w:val="en-GB"/>
        </w:rPr>
        <w:t>.</w:t>
      </w:r>
      <w:r w:rsidR="00322D0A" w:rsidRPr="00941F74">
        <w:rPr>
          <w:rFonts w:cstheme="minorHAnsi"/>
          <w:lang w:val="en-GB"/>
        </w:rPr>
        <w:t xml:space="preserve"> </w:t>
      </w:r>
      <w:r w:rsidR="00322D0A" w:rsidRPr="00941F74">
        <w:rPr>
          <w:lang w:val="en-US"/>
        </w:rPr>
        <w:t xml:space="preserve">A digital elevation model was used </w:t>
      </w:r>
      <w:r w:rsidR="00B376ED" w:rsidRPr="00941F74">
        <w:rPr>
          <w:lang w:val="en-US"/>
        </w:rPr>
        <w:t xml:space="preserve">here </w:t>
      </w:r>
      <w:r w:rsidR="00A81846">
        <w:rPr>
          <w:lang w:val="en-US"/>
        </w:rPr>
        <w:t>to extract</w:t>
      </w:r>
      <w:r w:rsidR="00B376ED" w:rsidRPr="00941F74">
        <w:rPr>
          <w:lang w:val="en-US"/>
        </w:rPr>
        <w:t xml:space="preserve"> </w:t>
      </w:r>
      <w:r w:rsidR="00322D0A" w:rsidRPr="00941F74">
        <w:rPr>
          <w:lang w:val="en-US"/>
        </w:rPr>
        <w:t>altitude, exposure, slope</w:t>
      </w:r>
      <w:r w:rsidR="00B376ED" w:rsidRPr="00941F74">
        <w:rPr>
          <w:lang w:val="en-US"/>
        </w:rPr>
        <w:t xml:space="preserve"> and </w:t>
      </w:r>
      <w:r w:rsidR="00322D0A" w:rsidRPr="00941F74">
        <w:rPr>
          <w:lang w:val="en-US"/>
        </w:rPr>
        <w:t>curvature</w:t>
      </w:r>
      <w:r w:rsidR="00B376ED" w:rsidRPr="00941F74">
        <w:rPr>
          <w:lang w:val="en-US"/>
        </w:rPr>
        <w:t xml:space="preserve"> variables</w:t>
      </w:r>
      <w:r w:rsidR="00322D0A" w:rsidRPr="00941F74">
        <w:rPr>
          <w:lang w:val="en-US"/>
        </w:rPr>
        <w:t>. The distance to the nearest water point, a significant auxiliary variable for all LCTs here, was extracted from the recent land-cover map, but other sources providing information on the hydrographic network can be considered.</w:t>
      </w:r>
    </w:p>
    <w:p w14:paraId="38F1DE1E" w14:textId="38FBC059" w:rsidR="00FE600A" w:rsidRPr="00941F74" w:rsidRDefault="008269F3">
      <w:pPr>
        <w:spacing w:line="480" w:lineRule="auto"/>
        <w:contextualSpacing/>
        <w:rPr>
          <w:rFonts w:cstheme="minorHAnsi"/>
          <w:lang w:val="en-GB"/>
        </w:rPr>
      </w:pPr>
      <w:r w:rsidRPr="00941F74">
        <w:rPr>
          <w:rFonts w:cstheme="minorHAnsi"/>
          <w:lang w:val="en-GB"/>
        </w:rPr>
        <w:t xml:space="preserve">Finally, botanical data should provide information on the recent floristic composition of the LCTs. The species reported by these inventories must be converted according to the key taxa modelled by LOVE, which are considered to represent 100% of the vegetation cover. </w:t>
      </w:r>
      <w:r w:rsidR="000B551C" w:rsidRPr="00941F74">
        <w:rPr>
          <w:rFonts w:cstheme="minorHAnsi"/>
          <w:lang w:val="en-GB"/>
        </w:rPr>
        <w:t>These data are then combined in different steps by several simple methods to produce the backward landscape prediction, detailed in the next section.</w:t>
      </w:r>
    </w:p>
    <w:p w14:paraId="24812F49" w14:textId="581B4C80" w:rsidR="00AC048C" w:rsidRPr="00941F74" w:rsidRDefault="003B21C4">
      <w:pPr>
        <w:pStyle w:val="Titre3"/>
        <w:spacing w:line="480" w:lineRule="auto"/>
        <w:rPr>
          <w:rFonts w:asciiTheme="minorHAnsi" w:hAnsiTheme="minorHAnsi" w:cstheme="minorHAnsi"/>
          <w:b/>
          <w:sz w:val="22"/>
          <w:szCs w:val="22"/>
          <w:lang w:val="en-US"/>
        </w:rPr>
      </w:pPr>
      <w:r w:rsidRPr="00941F74">
        <w:rPr>
          <w:rFonts w:asciiTheme="minorHAnsi" w:hAnsiTheme="minorHAnsi" w:cstheme="minorHAnsi"/>
          <w:b/>
          <w:sz w:val="22"/>
          <w:szCs w:val="22"/>
          <w:lang w:val="en-US"/>
        </w:rPr>
        <w:t xml:space="preserve">5.1.2. </w:t>
      </w:r>
      <w:r w:rsidR="00A81846">
        <w:rPr>
          <w:rFonts w:asciiTheme="minorHAnsi" w:hAnsiTheme="minorHAnsi" w:cstheme="minorHAnsi"/>
          <w:b/>
          <w:sz w:val="22"/>
          <w:szCs w:val="22"/>
          <w:lang w:val="en-US"/>
        </w:rPr>
        <w:t>O</w:t>
      </w:r>
      <w:r w:rsidR="00AC048C" w:rsidRPr="00941F74">
        <w:rPr>
          <w:rFonts w:asciiTheme="minorHAnsi" w:hAnsiTheme="minorHAnsi" w:cstheme="minorHAnsi"/>
          <w:b/>
          <w:sz w:val="22"/>
          <w:szCs w:val="22"/>
          <w:lang w:val="en-US"/>
        </w:rPr>
        <w:t>riginality</w:t>
      </w:r>
      <w:r w:rsidR="007B7D46" w:rsidRPr="00941F74">
        <w:rPr>
          <w:rFonts w:asciiTheme="minorHAnsi" w:hAnsiTheme="minorHAnsi" w:cstheme="minorHAnsi"/>
          <w:b/>
          <w:sz w:val="22"/>
          <w:szCs w:val="22"/>
          <w:lang w:val="en-US"/>
        </w:rPr>
        <w:t xml:space="preserve"> and assumptions</w:t>
      </w:r>
      <w:r w:rsidR="00A81846">
        <w:rPr>
          <w:rFonts w:asciiTheme="minorHAnsi" w:hAnsiTheme="minorHAnsi" w:cstheme="minorHAnsi"/>
          <w:b/>
          <w:sz w:val="22"/>
          <w:szCs w:val="22"/>
          <w:lang w:val="en-US"/>
        </w:rPr>
        <w:t xml:space="preserve"> of the </w:t>
      </w:r>
      <w:r w:rsidR="00433E02">
        <w:rPr>
          <w:rFonts w:asciiTheme="minorHAnsi" w:hAnsiTheme="minorHAnsi" w:cstheme="minorHAnsi"/>
          <w:b/>
          <w:sz w:val="22"/>
          <w:szCs w:val="22"/>
          <w:lang w:val="en-US"/>
        </w:rPr>
        <w:t>BACKLAND approach</w:t>
      </w:r>
    </w:p>
    <w:p w14:paraId="0A092272" w14:textId="16A0B38F" w:rsidR="00AC048C" w:rsidRPr="00941F74" w:rsidRDefault="00AC048C">
      <w:pPr>
        <w:spacing w:line="480" w:lineRule="auto"/>
        <w:rPr>
          <w:rFonts w:cstheme="minorHAnsi"/>
          <w:lang w:val="en-GB"/>
        </w:rPr>
      </w:pPr>
      <w:r w:rsidRPr="00941F74">
        <w:rPr>
          <w:rFonts w:cstheme="minorHAnsi"/>
          <w:lang w:val="en-GB"/>
        </w:rPr>
        <w:t>In stage A of the approach, the recent land-cover map and botanical data are combined into Map-Inferred ta</w:t>
      </w:r>
      <w:r w:rsidR="00F2104E" w:rsidRPr="00941F74">
        <w:rPr>
          <w:rFonts w:cstheme="minorHAnsi"/>
          <w:lang w:val="en-GB"/>
        </w:rPr>
        <w:t xml:space="preserve">xon Distributions (MIDs, </w:t>
      </w:r>
      <w:r w:rsidR="00F2104E" w:rsidRPr="00941F74">
        <w:rPr>
          <w:rFonts w:cstheme="minorHAnsi"/>
          <w:color w:val="FF0000"/>
          <w:lang w:val="en-GB"/>
        </w:rPr>
        <w:t>Fig. 4a</w:t>
      </w:r>
      <w:r w:rsidRPr="00941F74">
        <w:rPr>
          <w:rFonts w:cstheme="minorHAnsi"/>
          <w:lang w:val="en-GB"/>
        </w:rPr>
        <w:t xml:space="preserve">) by the use of the Multiscale Heterogeneity Map software (MHM, </w:t>
      </w:r>
      <w:r w:rsidR="00C551CA" w:rsidRPr="00941F74">
        <w:rPr>
          <w:rFonts w:cstheme="minorHAnsi"/>
          <w:lang w:val="en-GB"/>
        </w:rPr>
        <w:fldChar w:fldCharType="begin"/>
      </w:r>
      <w:r w:rsidR="0051009B">
        <w:rPr>
          <w:rFonts w:cstheme="minorHAnsi"/>
          <w:lang w:val="en-GB"/>
        </w:rPr>
        <w:instrText xml:space="preserve"> ADDIN ZOTERO_ITEM CSL_CITATION {"citationID":"8Ed2222M","properties":{"formattedCitation":"(Gaucherel, 2007)","plainCitation":"(Gaucherel, 2007)","dontUpdate":true,"noteIndex":0},"citationItems":[{"id":2714,"uris":["http://www.mendeley.com/documents/?uuid=7073ad5e-449d-484d-89d2-d6c338a15884","http://zotero.org/users/10290022/items/PXRY69SU"],"itemData":{"id":2714,"type":"article-journal","abstract":"Spatial heterogeneity, in the wide sense of pattern complexity and variability, appears to be one of the dominant influences of ecological functions and processes. The most widely used quantification of heterogeneity in environmental studies is based on derived Shannon information theory indices. Yet, such heterogeneity index is not able to quantify the surface patterns of a landscape with a fully explicit scheme at each place and scale of the landscape. The objective of this work is to propose a methodology to bypass this disadvantage and to capture the local and scaling variations of the landscape. The method developed here combines a multiscale heterogeneity map (MHM) with a heterogeneity profile (HP) averaging at each place (respectively, at each scale) the spatial information contained in the landscape. Confidence levels have been estimated on the basis of a simple neutral landscape model to detect significant non-random heterogeneity fluctuations. This methodology is illustrated on both categorical (patchy) and continuous (pixelised) real landscapes: a heterogeneous agricultural landscape in Brittany and a spring phytoplankton bloom in north Atlantic. Heterogeneity analyses of both image types can simultaneously reveal subtle quantitative and qualitative features (gradients, boundaries, random or patchy patterns at successive scales) linked to ecological processes. © 2007 Elsevier B.V. All rights reserved.","container-title":"Landscape and Urban Planning","DOI":"10.1016/j.landurbplan.2007.01.022","ISSN":"01692046","issue":"3","page":"95-102","title":"Multiscale heterogeneity map and associated scaling profile for landscape analysis","volume":"82","author":[{"family":"Gaucherel","given":"C."}],"issued":{"date-parts":[["2007"]]}}}],"schema":"https://github.com/citation-style-language/schema/raw/master/csl-citation.json"} </w:instrText>
      </w:r>
      <w:r w:rsidR="00C551CA" w:rsidRPr="00941F74">
        <w:rPr>
          <w:rFonts w:cstheme="minorHAnsi"/>
          <w:lang w:val="en-GB"/>
        </w:rPr>
        <w:fldChar w:fldCharType="separate"/>
      </w:r>
      <w:r w:rsidR="00C551CA" w:rsidRPr="00941F74">
        <w:rPr>
          <w:rFonts w:ascii="Calibri" w:hAnsi="Calibri" w:cs="Calibri"/>
          <w:lang w:val="en-US"/>
        </w:rPr>
        <w:t>Gaucherel, 2007)</w:t>
      </w:r>
      <w:r w:rsidR="00C551CA" w:rsidRPr="00941F74">
        <w:rPr>
          <w:rFonts w:cstheme="minorHAnsi"/>
          <w:lang w:val="en-GB"/>
        </w:rPr>
        <w:fldChar w:fldCharType="end"/>
      </w:r>
      <w:r w:rsidRPr="00941F74">
        <w:rPr>
          <w:rFonts w:cstheme="minorHAnsi"/>
          <w:lang w:val="en-GB"/>
        </w:rPr>
        <w:t>. MHM density analysis takes into account the heterogeneity and the multiscale</w:t>
      </w:r>
      <w:r w:rsidRPr="00941F74">
        <w:rPr>
          <w:rFonts w:cstheme="minorHAnsi"/>
          <w:lang w:val="en-US"/>
        </w:rPr>
        <w:t xml:space="preserve"> </w:t>
      </w:r>
      <w:r w:rsidR="00D2193F" w:rsidRPr="00941F74">
        <w:rPr>
          <w:rFonts w:cstheme="minorHAnsi"/>
          <w:lang w:val="en-US"/>
        </w:rPr>
        <w:t xml:space="preserve">distribution of </w:t>
      </w:r>
      <w:r w:rsidR="00701F19" w:rsidRPr="00941F74">
        <w:rPr>
          <w:rFonts w:cstheme="minorHAnsi"/>
          <w:lang w:val="en-US"/>
        </w:rPr>
        <w:t>species</w:t>
      </w:r>
      <w:r w:rsidR="00004996" w:rsidRPr="00941F74">
        <w:rPr>
          <w:rFonts w:cstheme="minorHAnsi"/>
          <w:lang w:val="en-US"/>
        </w:rPr>
        <w:t xml:space="preserve"> </w:t>
      </w:r>
      <w:r w:rsidR="00701F19" w:rsidRPr="00941F74">
        <w:rPr>
          <w:rFonts w:cstheme="minorHAnsi"/>
          <w:lang w:val="en-GB"/>
        </w:rPr>
        <w:fldChar w:fldCharType="begin"/>
      </w:r>
      <w:r w:rsidR="003B1EC2">
        <w:rPr>
          <w:rFonts w:cstheme="minorHAnsi"/>
          <w:lang w:val="en-GB"/>
        </w:rPr>
        <w:instrText xml:space="preserve"> ADDIN ZOTERO_ITEM CSL_CITATION {"citationID":"JeoRJhNF","properties":{"formattedCitation":"(Chen et al., 2005; Dray et al., 2012; Gaucherel et al., 2007; Lemly and Cooper, 2011; Viers et al., 2012)","plainCitation":"(Chen et al., 2005; Dray et al., 2012; Gaucherel et al., 2007; Lemly and Cooper, 2011; Viers et al., 2012)","noteIndex":0},"citationItems":[{"id":3280,"uris":["http://zotero.org/users/10290022/items/LT59TKZZ"],"itemData":{"id":3280,"type":"article-journal","abstract":"Monitoring multiple species and their interactions at multiple scales is critical for any useful habitat conservation plans and for adaptive ecosystem management programs. Viability of single species can be understood only in the context of ecological interactions with other species at multiple spatial and temporal scales. Here, we present a case study of the spatial and temporal dynamics for two perennial grasses, Bouteloua eriopoda and B. gracilis, by using long-term, high resolution transect data from 1989 to 1998 at two sites in the Sevilleta National Wildlife Refuge (Deep Well and Five Points) in central New Mexico, USA. Information entropy was used to describe the spatial distribution of each species and the fractal dimension of information entropy was used to characterize the complexity of species dynamics across scales. When considered individually, the spatial distribution of each species was scale-invariant. However, species joint occurrences changed as scale of resolution increased at both sites. Interactions changed at scales less than 3.2 m at Deep Well and less than 1.6 m at Five Points. Across years, the interactions of these species at Deep Well were signiﬁcantly diﬀerent in 1989 from all other years. Our results argue that monitoring multiple species at multiple spatial and temporal scales is necessary to better understand multispecies interactions and community dynamics both of which have important conservation implications under changing environmental conditions.","container-title":"Plant Ecology","DOI":"10.1007/s11258-004-6802-z","ISSN":"1385-0237, 1573-5052","issue":"2","journalAbbreviation":"Plant Ecol","language":"en","page":"149-154","source":"DOI.org (Crossref)","title":"Multiscale monitoring of a multispecies case study: two grass species at Sevilleta","title-short":"Multiscale monitoring of a multispecies case study","URL":"http://link.springer.com/10.1007/s11258-004-6802-z","volume":"179","author":[{"family":"Chen","given":"Xiongwen"},{"family":"Li","given":"Bai-lian"},{"family":"Collins","given":"Scott L."}],"accessed":{"date-parts":[["2023",2,4]]},"issued":{"date-parts":[["2005",8]]}}},{"id":3274,"uris":["http://zotero.org/users/10290022/items/Q62EU2LD"],"itemData":{"id":3274,"type":"article-journal","abstract":"Species spatial distributions are the result of population demography, behavioral traits, and species interactions in spatially heterogeneous environmental conditions. Hence the composition of species assemblages is an integrative response variable, and its variability can be explained by the complex interplay among several structuring factors. The thorough analysis of spatial variation in species assemblages may help infer processes shaping ecological communities. We suggest that ecological studies would benefit from the combined use of the classical statistical models of community composition data, such as constrained or unconstrained multivariate analyses of site-by-species abundance tables, with rapidly emerging and diversifying methods of spatial pattern analysis. Doing so allows one to deal with spatially explicit ecological models of beta diversity in a biogeographic context through the multiscale analysis of spatial patterns in original species data tables, including spatial characterization of fitted or residual variation from environmental models. We summarize here the recent progress for specifying spatial features through spatial weighting matrices and spatial eigenfunctions in order to define spatially constrained or scale-explicit multivariate analyses. Through a worked example on tropical tree communities, we also show the potential of the overall approach to identify significant residual spatial patterns that could arise from the omission of important unmeasured explanatory variables or processes.","container-title":"Ecological Monographs","DOI":"10.1890/11-1183.1","ISSN":"1557-7015","issue":"3","language":"en","note":"_eprint: https://onlinelibrary.wiley.com/doi/pdf/10.1890/11-1183.1","page":"257-275","source":"Wiley Online Library","title":"Community ecology in the age of multivariate multiscale spatial analysis","URL":"https://onlinelibrary.wiley.com/doi/abs/10.1890/11-1183.1","volume":"82","author":[{"family":"Dray","given":"S."},{"family":"Pélissier","given":"R."},{"family":"Couteron","given":"P."},{"family":"Fortin","given":"M.-J."},{"family":"Legendre","given":"P."},{"family":"Peres-Neto","given":"P. R."},{"family":"Bellier","given":"E."},{"family":"Bivand","given":"R."},{"family":"Blanchet","given":"F. G."},{"family":"De Cáceres","given":"M."},{"family":"Dufour","given":"A.-B."},{"family":"Heegaard","given":"E."},{"family":"Jombart","given":"T."},{"family":"Munoz","given":"F."},{"family":"Oksanen","given":"J."},{"family":"Thioulouse","given":"J."},{"family":"Wagner","given":"H. H."}],"accessed":{"date-parts":[["2023",2,4]]},"issued":{"date-parts":[["2012"]]}}},{"id":3272,"uris":["http://zotero.org/users/10290022/items/9RLW3WIL"],"itemData":{"id":3272,"type":"article-journal","abstract":"It has been often shown that spatial distribution of species can be related to the main characteristics of their habitat. Usually, such relationships refer to point pattern analysis and try to determine whether the distribution of species is conditioned by their surroundings or not. They often seek correlations at a given place, date and scale and neglect the information potentially extracted from detailed surface pattern analyses that would require extended data. This study investigated the impact of landscape pattern and landscape context (of habitats) on carabid beetles assemblages in each place and on a continuous range of scales of a landscape. For this purpose, we develop a tool able to visualize and quantify the spatial variations of indices commonly used in point pattern analyses, such as contagion (heterogeneity) of a landscape and abundance (counts) of species. Using moving windows, we plotted contagion maps of two Brittany sites (France) and cross-correlation maps between the latter and carabid beetles spatial distributions, in order to study their local relationships. Associated landscape and insect index scaling proﬁles helped to interpret the correlations found. A rather good agreement with landscape ecology predictions over both sites has been found: signiﬁcant relationships between land cover contagion and total carabid abundance on one hand, between agricultural intensiﬁcation (mainly maize ﬁelds) and carabid body size on the other hand, have been observed. Nevertheless, detailed surface pattern analyses over a wide range of scales show quite high deviations from empirical results with no correlation, or even negative correlation, in some places between otherwise correlated indices.","container-title":"Ecological Indicators","DOI":"10.1016/j.ecolind.2006.07.002","ISSN":"1470160X","issue":"3","journalAbbreviation":"Ecological Indicators","language":"en","page":"598-609","source":"DOI.org (Crossref)","title":"Multiscale and surface pattern analysis of the effect of landscape pattern on carabid beetles distribution","URL":"https://linkinghub.elsevier.com/retrieve/pii/S1470160X06000653","volume":"7","author":[{"family":"Gaucherel","given":"C."},{"family":"Burel","given":"F."},{"family":"Baudry","given":"J."}],"accessed":{"date-parts":[["2023",2,4]]},"issued":{"date-parts":[["2007",7]]}}},{"id":3276,"uris":["http://zotero.org/users/10290022/items/A2LZ8NY7"],"itemData":{"id":3276,"type":"article-journal","abstract":"We studied the vegetation of 166 fens in Yellowstone National Park, USA, to determine the relationship between species distribution in mountain peatlands and regional-, landscape-, and local-scale environmental variables. Plant communities were identified through hierarchical agglomerative cluster analysis, patterns in species distribution were explored using nonmetric multidimensional scaling, and the relative importance of variables was assessed though partial canonical correspondence analysis. Five major bedrock types influenced groundwater feeding fens: three volcanic types, a glacial till complex, and rock altered by acidic geothermal activity. Ionic concentrations generally increased with pH, but acidic geothermal fens had very low pH and high electrical conductivity. Bryophyte distribution was controlled by groundwater chemistry, while vascular plants responded to a broader range of variables. When partitioned by spatial scale, landscape variables accounted for &gt;60% of the variation explained. When partitioned categorically, geochemical and topographic variables were more important than geographic factors. For fens in mountainous regions, the primary gradient is site-level water chemistry, which is strongly linked to regional bedrock geology. Site- and stand-level topography represent a secondary gradient. Most mountain fens fit within the established poor–rich gradient; however, geochemical acid production creates a distinct category outside the conventional paradigm.","container-title":"Botany","DOI":"10.1139/b11-040","ISSN":"1916-2790, 1916-2804","issue":"10","journalAbbreviation":"Botany","language":"en","page":"689-713","source":"DOI.org (Crossref)","title":"Multiscale factors control community and species distribution in mountain peatlands","URL":"http://www.nrcresearchpress.com/doi/10.1139/b11-040","volume":"89","author":[{"family":"Lemly","given":"Joanna M."},{"family":"Cooper","given":"David J."}],"accessed":{"date-parts":[["2023",2,4]]},"issued":{"date-parts":[["2011",10]]}}},{"id":3279,"uris":["http://zotero.org/users/10290022/items/DJNL4MQ2"],"itemData":{"id":3279,"type":"article-journal","abstract":"Planning riparian restoration to resemble historic reference conditions requires an understanding of both local and regional patterns of plant species diversity. Thus, understanding species distributions at multiple spatial scales is essential to improve restoration planting success, to enhance long-term ecosystem functioning, and to match restoration planting designs with historic biogeographic distributions. To inform restoration planning, we examined the biogeographic patterns of riparian plant diversity at local and regional scales within a major western U.S.A. drainage, California's Sacramento—San Joaquin Valley. We analyzed patterns of species richness and complementarity (β-diversity) across two scales: the watershed scale and the floodplain scale. At the watershed scale, spatial patterns of native riparian richness were driven by herbaceous species, whereas woody species were largely co</w:instrText>
      </w:r>
      <w:r w:rsidR="003B1EC2" w:rsidRPr="003B1EC2">
        <w:rPr>
          <w:rFonts w:cstheme="minorHAnsi"/>
        </w:rPr>
        <w:instrText xml:space="preserve">smopolitan across the nearly 38,000 km2 study area. At the floodplain scale, riparian floras reflected species richness and dissimilarity patterns related to hydrological and disturbance-driven successional sequences. These findings reinforce the importance of concurrently evaluating both local and regional processes that promote species diversity and distribution of native riparian flora. Furthermore, as restoration activities become more prevalent across the landscape, strategies for restoration outcomes should emulate the patterns of species diversity and biogeographic distributions found at regional scales.","container-title":"Restoration Ecology","DOI":"10.1111/j.1526-100X.2011.00787.x","ISSN":"1526-100X","issue":"2","language":"en","note":"_eprint: https://onlinelibrary.wiley.com/doi/pdf/10.1111/j.1526-100X.2011.00787.x","page":"160-169","source":"Wiley Online Library","title":"Multiscale Patterns of Riparian Plant Diversity and Implications for Restoration","URL":"https://onlinelibrary.wiley.com/doi/abs/10.1111/j.1526-100X.2011.00787.x","volume":"20","author":[{"family":"Viers","given":"Joshua H."},{"family":"Fremier","given":"Alexander K."},{"family":"Hutchinson","given":"Rachel A."},{"family":"Quinn","given":"James F."},{"family":"Thorne","given":"James H."},{"family":"Vaghti","given":"Mehrey G."}],"accessed":{"date-parts":[["2023",2,4]]},"issued":{"date-parts":[["2012"]]}}}],"schema":"https://github.com/citation-style-language/schema/raw/master/csl-citation.json"} </w:instrText>
      </w:r>
      <w:r w:rsidR="00701F19" w:rsidRPr="00941F74">
        <w:rPr>
          <w:rFonts w:cstheme="minorHAnsi"/>
          <w:lang w:val="en-GB"/>
        </w:rPr>
        <w:fldChar w:fldCharType="separate"/>
      </w:r>
      <w:r w:rsidR="003B1EC2" w:rsidRPr="003B1EC2">
        <w:rPr>
          <w:rFonts w:ascii="Calibri" w:hAnsi="Calibri" w:cs="Calibri"/>
        </w:rPr>
        <w:t>(Chen et al., 2005; Dray et al., 2012; Gaucherel et al., 2007; Lemly and Cooper, 2011; Viers et al., 2012)</w:t>
      </w:r>
      <w:r w:rsidR="00701F19" w:rsidRPr="00941F74">
        <w:rPr>
          <w:rFonts w:cstheme="minorHAnsi"/>
          <w:lang w:val="en-GB"/>
        </w:rPr>
        <w:fldChar w:fldCharType="end"/>
      </w:r>
      <w:r w:rsidRPr="00941F74">
        <w:rPr>
          <w:rFonts w:cstheme="minorHAnsi"/>
        </w:rPr>
        <w:t xml:space="preserve">. </w:t>
      </w:r>
      <w:r w:rsidRPr="00941F74">
        <w:rPr>
          <w:rFonts w:cstheme="minorHAnsi"/>
          <w:lang w:val="en-GB"/>
        </w:rPr>
        <w:t xml:space="preserve">In Bassiès, </w:t>
      </w:r>
      <w:r w:rsidR="00701F19" w:rsidRPr="00941F74">
        <w:rPr>
          <w:rFonts w:cstheme="minorHAnsi"/>
          <w:lang w:val="en-GB"/>
        </w:rPr>
        <w:t xml:space="preserve">plant </w:t>
      </w:r>
      <w:r w:rsidRPr="00941F74">
        <w:rPr>
          <w:rFonts w:cstheme="minorHAnsi"/>
          <w:lang w:val="en-GB"/>
        </w:rPr>
        <w:t xml:space="preserve">taxa are </w:t>
      </w:r>
      <w:r w:rsidR="00296D80" w:rsidRPr="00941F74">
        <w:rPr>
          <w:rFonts w:cstheme="minorHAnsi"/>
          <w:lang w:val="en-GB"/>
        </w:rPr>
        <w:t>mainly</w:t>
      </w:r>
      <w:r w:rsidR="00860BC3" w:rsidRPr="00941F74">
        <w:rPr>
          <w:rFonts w:cstheme="minorHAnsi"/>
          <w:lang w:val="en-GB"/>
        </w:rPr>
        <w:t xml:space="preserve"> </w:t>
      </w:r>
      <w:r w:rsidRPr="00941F74">
        <w:rPr>
          <w:rFonts w:cstheme="minorHAnsi"/>
          <w:lang w:val="en-GB"/>
        </w:rPr>
        <w:t xml:space="preserve">ubiquitous </w:t>
      </w:r>
      <w:r w:rsidR="00296D80" w:rsidRPr="00941F74">
        <w:rPr>
          <w:rFonts w:cstheme="minorHAnsi"/>
          <w:lang w:val="en-GB"/>
        </w:rPr>
        <w:t xml:space="preserve">and are found </w:t>
      </w:r>
      <w:r w:rsidRPr="00941F74">
        <w:rPr>
          <w:rFonts w:cstheme="minorHAnsi"/>
          <w:lang w:val="en-GB"/>
        </w:rPr>
        <w:t>in various proportions in</w:t>
      </w:r>
      <w:r w:rsidR="00296D80" w:rsidRPr="00941F74">
        <w:rPr>
          <w:rFonts w:cstheme="minorHAnsi"/>
          <w:lang w:val="en-GB"/>
        </w:rPr>
        <w:t xml:space="preserve"> several</w:t>
      </w:r>
      <w:r w:rsidRPr="00941F74">
        <w:rPr>
          <w:rFonts w:cstheme="minorHAnsi"/>
          <w:lang w:val="en-GB"/>
        </w:rPr>
        <w:t xml:space="preserve"> </w:t>
      </w:r>
      <w:r w:rsidR="008E5CC5" w:rsidRPr="00941F74">
        <w:rPr>
          <w:rFonts w:cstheme="minorHAnsi"/>
          <w:lang w:val="en-GB"/>
        </w:rPr>
        <w:t>LCTs</w:t>
      </w:r>
      <w:r w:rsidRPr="00941F74">
        <w:rPr>
          <w:rFonts w:cstheme="minorHAnsi"/>
          <w:lang w:val="en-GB"/>
        </w:rPr>
        <w:t>, thus justifying the use of a multiscale tool (</w:t>
      </w:r>
      <w:r w:rsidRPr="00941F74">
        <w:rPr>
          <w:rFonts w:cstheme="minorHAnsi"/>
          <w:color w:val="FF0000"/>
          <w:lang w:val="en-GB"/>
        </w:rPr>
        <w:t>Fig. 4</w:t>
      </w:r>
      <w:r w:rsidR="00701F19" w:rsidRPr="00941F74">
        <w:rPr>
          <w:rFonts w:cstheme="minorHAnsi"/>
          <w:color w:val="FF0000"/>
          <w:lang w:val="en-GB"/>
        </w:rPr>
        <w:t>a</w:t>
      </w:r>
      <w:r w:rsidRPr="00941F74">
        <w:rPr>
          <w:rFonts w:cstheme="minorHAnsi"/>
          <w:lang w:val="en-GB"/>
        </w:rPr>
        <w:t>).</w:t>
      </w:r>
      <w:r w:rsidR="00BB5E56" w:rsidRPr="00941F74">
        <w:rPr>
          <w:rFonts w:cstheme="minorHAnsi"/>
          <w:lang w:val="en-GB"/>
        </w:rPr>
        <w:t xml:space="preserve"> By combining botanical data and multiscale density maps, we assume that (1) land-cover densities influence linearly and with equal weight </w:t>
      </w:r>
      <w:r w:rsidR="005835FD">
        <w:rPr>
          <w:rFonts w:cstheme="minorHAnsi"/>
          <w:lang w:val="en-GB"/>
        </w:rPr>
        <w:t xml:space="preserve">the </w:t>
      </w:r>
      <w:r w:rsidR="00BB5E56" w:rsidRPr="00941F74">
        <w:rPr>
          <w:rFonts w:cstheme="minorHAnsi"/>
          <w:lang w:val="en-GB"/>
        </w:rPr>
        <w:t xml:space="preserve">taxon proportion for the production of Map-Inferred taxon Distributions (MIDs). In the absence of any contradictory evidence, </w:t>
      </w:r>
      <w:r w:rsidR="00C17638">
        <w:rPr>
          <w:rFonts w:cstheme="minorHAnsi"/>
          <w:lang w:val="en-GB"/>
        </w:rPr>
        <w:t>this</w:t>
      </w:r>
      <w:r w:rsidR="00C17638" w:rsidRPr="00941F74">
        <w:rPr>
          <w:rFonts w:cstheme="minorHAnsi"/>
          <w:lang w:val="en-GB"/>
        </w:rPr>
        <w:t xml:space="preserve"> </w:t>
      </w:r>
      <w:r w:rsidR="00BB5E56" w:rsidRPr="00941F74">
        <w:rPr>
          <w:rFonts w:cstheme="minorHAnsi"/>
          <w:lang w:val="en-GB"/>
        </w:rPr>
        <w:t>seems to be a reasonable assumption.</w:t>
      </w:r>
      <w:r w:rsidR="00D2193F" w:rsidRPr="00941F74">
        <w:rPr>
          <w:rFonts w:cstheme="minorHAnsi"/>
          <w:lang w:val="en-GB"/>
        </w:rPr>
        <w:t xml:space="preserve"> </w:t>
      </w:r>
      <w:r w:rsidR="00D2193F" w:rsidRPr="00941F74">
        <w:rPr>
          <w:lang w:val="en-US"/>
        </w:rPr>
        <w:t xml:space="preserve">These MIDs </w:t>
      </w:r>
      <w:r w:rsidR="00D2193F" w:rsidRPr="00941F74">
        <w:rPr>
          <w:lang w:val="en-US"/>
        </w:rPr>
        <w:lastRenderedPageBreak/>
        <w:t xml:space="preserve">form one of the two categories of intermediate taxon distribution maps and are used in step B of the BACKLAND approach to retroactively integrate spatiotemporal autocorrelation into the distribution of taxa estimated at the past time window. The other category of intermediate distribution maps </w:t>
      </w:r>
      <w:r w:rsidR="005835FD">
        <w:rPr>
          <w:lang w:val="en-US"/>
        </w:rPr>
        <w:t>is</w:t>
      </w:r>
      <w:r w:rsidR="005835FD" w:rsidRPr="00941F74">
        <w:rPr>
          <w:lang w:val="en-US"/>
        </w:rPr>
        <w:t xml:space="preserve"> </w:t>
      </w:r>
      <w:r w:rsidR="00D2193F" w:rsidRPr="00941F74">
        <w:rPr>
          <w:lang w:val="en-US"/>
        </w:rPr>
        <w:t xml:space="preserve">LOVE Inferred taxon Distributions (LIDs), which are a main originality of the BACKLAND approach. They are formed by the combination of </w:t>
      </w:r>
      <w:r w:rsidRPr="00941F74">
        <w:rPr>
          <w:rFonts w:cstheme="minorHAnsi"/>
          <w:lang w:val="en-GB"/>
        </w:rPr>
        <w:t xml:space="preserve">Probability Density Functions (PDFs, </w:t>
      </w:r>
      <w:r w:rsidR="00F61687" w:rsidRPr="00941F74">
        <w:rPr>
          <w:rFonts w:cstheme="minorHAnsi"/>
          <w:lang w:val="en-GB"/>
        </w:rPr>
        <w:fldChar w:fldCharType="begin"/>
      </w:r>
      <w:r w:rsidR="000E0FBE">
        <w:rPr>
          <w:rFonts w:cstheme="minorHAnsi"/>
          <w:lang w:val="en-GB"/>
        </w:rPr>
        <w:instrText xml:space="preserve"> ADDIN ZOTERO_ITEM CSL_CITATION {"citationID":"9GTChRUh","properties":{"formattedCitation":"(K\\uc0\\u252{}hl et al., 2002)","plainCitation":"(Kühl et al., 2002)","dontUpdate":true,"noteIndex":0},"citationItems":[{"id":2602,"uris":["http://zotero.org/users/10290022/items/NVYRW4FA"],"itemData":{"id":2602,"type":"article-journal","abstract":"We present a new procedure, the pdf method ( pdf =probability density function), for reconstructing Quaternary climate utilizing botanical data. The procedure includes the advantages of the indicator species method by considering the fossil and modern presence and absence of taxa rather than their frequencies, thus avoiding the need for modern analog plant communities. Overcoming the problematic use of absolute limits to describe climate response ranges is the main progress of the pdf method in comparison to the indicator species method. This advantage results from estimating probability density functions ( pdf s) for monthly mean January and July temperature conditional on the present day occurrence of single taxa. Gaussian distributions sufficiently approximate pdf s of many, although not all, studied taxa. On the assumption of statistical independence, the procedure calculates a joint pdf as the product of the pdf s of the individual taxa. This algorithm weights each taxon according to the extent of its climate response range expressed by its covariance structure. We interpret the maximum of the resulting pdf as the most likely climate and its confidence interval as the uncertainty range. To avoid an artificial reduction of uncertainty arising from the use of numerous similar pdf s, a preselection method is proposed based on the Mahalanobis distance between pdf s. The pdf method was applied to the Carpinus phase of a profile from Gröbern, Germany, that spans the last interglaciation (Eemian). The reconstructed most probable January and July temperatures of about 0.0°C and 18.4°C barely differ from the modern values of −0.5°C and 18.3°C.","container-title":"Quaternary Research","DOI":"10.1006/qres.2002.2380","ISSN":"0033-5894","issue":"03","note":"ISBN: 0033-5894","page":"381-392","title":"Probability Density Functions as Botanical-Climatological Transfer Functions for Climate Reconstruction","URL":"https://www.cambridge.org/core/product/identifier/S0033589400011534/type/journal_article","volume":"58","author":[{"family":"Kühl","given":"Norbert"},{"family":"Gebhardt","given":"Christoph"},{"family":"Litt","given":"Thomas"},{"family":"Hense","given":"Andreas"}],"issued":{"date-parts":[["2002"]]}}}],"schema":"https://github.com/citation-style-language/schema/raw/master/csl-citation.json"} </w:instrText>
      </w:r>
      <w:r w:rsidR="00F61687" w:rsidRPr="00941F74">
        <w:rPr>
          <w:rFonts w:cstheme="minorHAnsi"/>
          <w:lang w:val="en-GB"/>
        </w:rPr>
        <w:fldChar w:fldCharType="separate"/>
      </w:r>
      <w:r w:rsidR="00F61687" w:rsidRPr="00941F74">
        <w:rPr>
          <w:rFonts w:ascii="Calibri" w:hAnsi="Calibri" w:cs="Calibri"/>
          <w:szCs w:val="24"/>
          <w:lang w:val="en-US"/>
        </w:rPr>
        <w:t>Kühl et al., 2002)</w:t>
      </w:r>
      <w:r w:rsidR="00F61687" w:rsidRPr="00941F74">
        <w:rPr>
          <w:rFonts w:cstheme="minorHAnsi"/>
          <w:lang w:val="en-GB"/>
        </w:rPr>
        <w:fldChar w:fldCharType="end"/>
      </w:r>
      <w:r w:rsidRPr="00941F74">
        <w:rPr>
          <w:rFonts w:cstheme="minorHAnsi"/>
          <w:lang w:val="en-GB"/>
        </w:rPr>
        <w:t xml:space="preserve"> </w:t>
      </w:r>
      <w:r w:rsidR="009A3C76" w:rsidRPr="00941F74">
        <w:rPr>
          <w:rFonts w:cstheme="minorHAnsi"/>
          <w:lang w:val="en-GB"/>
        </w:rPr>
        <w:t xml:space="preserve">with </w:t>
      </w:r>
      <w:r w:rsidRPr="00941F74">
        <w:rPr>
          <w:rFonts w:cstheme="minorHAnsi"/>
          <w:lang w:val="en-GB"/>
        </w:rPr>
        <w:t xml:space="preserve">LOVE estimates </w:t>
      </w:r>
      <w:r w:rsidR="009446A9" w:rsidRPr="00941F74">
        <w:rPr>
          <w:rFonts w:cstheme="minorHAnsi"/>
          <w:lang w:val="en-GB"/>
        </w:rPr>
        <w:t xml:space="preserve">from </w:t>
      </w:r>
      <w:r w:rsidR="00BF604B" w:rsidRPr="00941F74">
        <w:rPr>
          <w:rFonts w:cstheme="minorHAnsi"/>
          <w:lang w:val="en-GB"/>
        </w:rPr>
        <w:t>nearby sedimentary sites.</w:t>
      </w:r>
      <w:r w:rsidR="00BB5E56" w:rsidRPr="00941F74">
        <w:rPr>
          <w:rFonts w:cstheme="minorHAnsi"/>
          <w:lang w:val="en-GB"/>
        </w:rPr>
        <w:t xml:space="preserve"> For this step, we assumed</w:t>
      </w:r>
      <w:r w:rsidR="009F43FA" w:rsidRPr="00941F74">
        <w:rPr>
          <w:rFonts w:cstheme="minorHAnsi"/>
          <w:lang w:val="en-GB"/>
        </w:rPr>
        <w:t xml:space="preserve"> (2) a bivariate Gaussian distribution of taxon occurrence probability around pollen sites, with (3) 99% probability that a taxon is present within the RSAPs.</w:t>
      </w:r>
      <w:r w:rsidR="00A50A0D" w:rsidRPr="00941F74">
        <w:rPr>
          <w:rFonts w:cstheme="minorHAnsi"/>
          <w:lang w:val="en-GB"/>
        </w:rPr>
        <w:t xml:space="preserve"> While elevation co-kriging has been advocated for </w:t>
      </w:r>
      <w:r w:rsidR="005835FD">
        <w:rPr>
          <w:rFonts w:cstheme="minorHAnsi"/>
          <w:lang w:val="en-GB"/>
        </w:rPr>
        <w:t xml:space="preserve">the </w:t>
      </w:r>
      <w:r w:rsidR="00A50A0D" w:rsidRPr="00941F74">
        <w:rPr>
          <w:rFonts w:cstheme="minorHAnsi"/>
          <w:lang w:val="en-GB"/>
        </w:rPr>
        <w:t>spatial interpolation of LRA estimates beyond RSAPs</w:t>
      </w:r>
      <w:r w:rsidR="00CA0766" w:rsidRPr="00941F74">
        <w:rPr>
          <w:rFonts w:cstheme="minorHAnsi"/>
          <w:lang w:val="en-GB"/>
        </w:rPr>
        <w:t xml:space="preserve"> </w:t>
      </w:r>
      <w:r w:rsidR="00CA0766" w:rsidRPr="00941F74">
        <w:rPr>
          <w:rFonts w:cstheme="minorHAnsi"/>
          <w:lang w:val="en-GB"/>
        </w:rPr>
        <w:fldChar w:fldCharType="begin"/>
      </w:r>
      <w:r w:rsidR="000E0FBE">
        <w:rPr>
          <w:rFonts w:cstheme="minorHAnsi"/>
          <w:lang w:val="en-GB"/>
        </w:rPr>
        <w:instrText xml:space="preserve"> ADDIN ZOTERO_ITEM CSL_CITATION {"citationID":"W1uD3txH","properties":{"formattedCitation":"(O\\uc0\\u8217{}dwyer et al., 2021)","plainCitation":"(O’dwyer et al., 2021)","dontUpdate":true,"noteIndex":0},"citationItems":[{"id":3168,"uris":["http://zotero.org/users/10290022/items/GIY2ERFP"],"itemData":{"id":3168,"type":"article-journal","abstract":"Climate change and human activities influence the development of ecosystems, with human demand of ecosystem services altering both land use and land cover. Fossil pollen records provide time series of vegetation characteristics, and the aim of this study was to create spatially continuous reconstructions of land cover through the Holocene in southern Sweden. The Landscape Reconstruction Algorithm (LRA) was applied to obtain quantitative reconstructions of pollen-based vegetation cover at local scales, accounting for pollen production, dispersal , and deposition mechanisms. Pollen-based local vegetation estimates were produced from 41 fossil pollen records available for the region. A comparison of 17 interpolation methods was made and evaluated by comparing with current land cover. Simple kriging with cokriging using elevation was selected to interpolate the local characteristics of past land cover, to generate more detailed reconstructions of trends and degree of variability in time and space than previous studies based on pollen data representing the regional scale. Since the Mesolithic, two main processes have acted to reshape the land cover of southern Sweden, originally mostly covered by broad-leaved forests. The natural distribution limit of coniferous forest has moved southward during periods with colder climate and retracted northward during warmer periods, and human expansion in the area and agrotechnological developments has led to a gradually more open landscape, reaching maximum openness at the beginning of the 20th century. The recent intensification of agriculture has led to abandonment of less fertile agricultural fields and afforestation with conifer forest.","container-title":"Ecosystems","DOI":"10.1007/s10021-020-00594-5","page":"1450-1467","title":"Spatially Continuous Land-Cover Reconstructions Through the Holocene in Southern Sweden","URL":"https://doi.org/10.1007/s10021-020-00594-5","volume":"24","author":[{"family":"O'Dwyer","given":"Robert"},{"family":"Marquer","given":"Laurent"},{"family":"Trondman","given":"Anna-Kari"},{"family":"Jönsson","given":"Anna Maria"}],"issued":{"date-parts":[["2021"]]}}}],"schema":"https://github.com/citation-style-language/schema/raw/master/csl-citation.json"} </w:instrText>
      </w:r>
      <w:r w:rsidR="00CA0766" w:rsidRPr="00941F74">
        <w:rPr>
          <w:rFonts w:cstheme="minorHAnsi"/>
          <w:lang w:val="en-GB"/>
        </w:rPr>
        <w:fldChar w:fldCharType="separate"/>
      </w:r>
      <w:r w:rsidR="00CA0766" w:rsidRPr="00941F74">
        <w:rPr>
          <w:rFonts w:ascii="Calibri" w:hAnsi="Calibri" w:cs="Calibri"/>
          <w:szCs w:val="24"/>
          <w:lang w:val="en-US"/>
        </w:rPr>
        <w:t>(O’</w:t>
      </w:r>
      <w:r w:rsidR="005835FD">
        <w:rPr>
          <w:rFonts w:ascii="Calibri" w:hAnsi="Calibri" w:cs="Calibri"/>
          <w:szCs w:val="24"/>
          <w:lang w:val="en-US"/>
        </w:rPr>
        <w:t>D</w:t>
      </w:r>
      <w:r w:rsidR="00CA0766" w:rsidRPr="00941F74">
        <w:rPr>
          <w:rFonts w:ascii="Calibri" w:hAnsi="Calibri" w:cs="Calibri"/>
          <w:szCs w:val="24"/>
          <w:lang w:val="en-US"/>
        </w:rPr>
        <w:t>wyer et al., 2021)</w:t>
      </w:r>
      <w:r w:rsidR="00CA0766" w:rsidRPr="00941F74">
        <w:rPr>
          <w:rFonts w:cstheme="minorHAnsi"/>
          <w:lang w:val="en-GB"/>
        </w:rPr>
        <w:fldChar w:fldCharType="end"/>
      </w:r>
      <w:r w:rsidR="00A50A0D" w:rsidRPr="00941F74">
        <w:rPr>
          <w:rFonts w:cstheme="minorHAnsi"/>
          <w:lang w:val="en-GB"/>
        </w:rPr>
        <w:t xml:space="preserve">, these two assumptions in line with the Gaussian dispersion of pollen grains around the study sites </w:t>
      </w:r>
      <w:r w:rsidR="00F61687" w:rsidRPr="00941F74">
        <w:rPr>
          <w:rFonts w:cstheme="minorHAnsi"/>
          <w:lang w:val="en-GB"/>
        </w:rPr>
        <w:fldChar w:fldCharType="begin"/>
      </w:r>
      <w:r w:rsidR="003B1EC2">
        <w:rPr>
          <w:rFonts w:cstheme="minorHAnsi"/>
          <w:lang w:val="en-GB"/>
        </w:rPr>
        <w:instrText xml:space="preserve"> ADDIN ZOTERO_ITEM CSL_CITATION {"citationID":"99793jrv","properties":{"formattedCitation":"(Prentice, 1985)","plainCitation":"(Prentice, 1985)","noteIndex":0},"citationItems":[{"id":81,"uris":["http://www.mendeley.com/documents/?uuid=74df980b-d0f7-4e74-a7c4-826b39363b1a","http://zotero.org/users/10290022/items/BD7HZZA9"],"itemData":{"id":81,"type":"article-journal","abstract":"The concepts of pollen source area and of production and dispersal biases in pollen representation are quantified by means of a simple theoretical model. Source areas and relative pollen representation are shown to depend on basin size according to functions that describe the amount of pollen remaining airborne at increasing distances from single pollen sources. The form of these functions is determined by physical processes. Standard formulas for elevated sources do not apply, but the integrated form of Sutton's equation for particle dispersal from a ground-level source gives useful approximations applicable to pollen transport over a forest canopy. Simulations using this equation yielded source areas that increased realistically with basin size, showed substantial differences between source areas for pollen grains with different deposition velocities, and predicted that lighter pollen grains should become better represented with increasing basin size. All of these predictions are qualitatively consistent with present knowledge of the characteristics of pollen assemblages in different depositional environments. The model further allows parameters that can be estimated by statistical calibration methods to be predicted from underlying physical quantities. This extension suggests procedures for testing the theory with quantitative data on surface pollen and forest composition. Preliminary results showed reasonable agreement between estimated and predicted values of dispersal indices for the most abundant taxa in pollen spectra from the northern midwestern United States. ?? 1985.","container-title":"Quaternary Research","DOI":"10.1016/0033-5894(85)90073-0","ISSN":"10960287","issue":"1","note":"ISBN: 0033-5894","page":"76-86","title":"Pollen representation, source area, and basin size: Toward a unified theory of pollen analysis","volume":"23","author":[{"family":"Prentice","given":"I Colin"}],"issued":{"date-parts":[["1985"]]}}}],"schema":"https://github.com/citation-style-language/schema/raw/master/csl-citation.json"} </w:instrText>
      </w:r>
      <w:r w:rsidR="00F61687" w:rsidRPr="00941F74">
        <w:rPr>
          <w:rFonts w:cstheme="minorHAnsi"/>
          <w:lang w:val="en-GB"/>
        </w:rPr>
        <w:fldChar w:fldCharType="separate"/>
      </w:r>
      <w:r w:rsidR="003B1EC2" w:rsidRPr="003B1EC2">
        <w:rPr>
          <w:rFonts w:ascii="Calibri" w:hAnsi="Calibri" w:cs="Calibri"/>
          <w:lang w:val="en-US"/>
        </w:rPr>
        <w:t>(Prentice, 1985)</w:t>
      </w:r>
      <w:r w:rsidR="00F61687" w:rsidRPr="00941F74">
        <w:rPr>
          <w:rFonts w:cstheme="minorHAnsi"/>
          <w:lang w:val="en-GB"/>
        </w:rPr>
        <w:fldChar w:fldCharType="end"/>
      </w:r>
      <w:r w:rsidR="00A50A0D" w:rsidRPr="00941F74">
        <w:rPr>
          <w:rFonts w:cstheme="minorHAnsi"/>
          <w:lang w:val="en-GB"/>
        </w:rPr>
        <w:t xml:space="preserve"> make the method proposed here both more parsimonious and more suitable for LOVE spatiali</w:t>
      </w:r>
      <w:r w:rsidR="007C12AF" w:rsidRPr="00941F74">
        <w:rPr>
          <w:rFonts w:cstheme="minorHAnsi"/>
          <w:lang w:val="en-GB"/>
        </w:rPr>
        <w:t>s</w:t>
      </w:r>
      <w:r w:rsidR="00A50A0D" w:rsidRPr="00941F74">
        <w:rPr>
          <w:rFonts w:cstheme="minorHAnsi"/>
          <w:lang w:val="en-GB"/>
        </w:rPr>
        <w:t xml:space="preserve">ation when RSAPs overlap. Moreover, this method revealed smooth LOVE compositional gradients, which would have been difficult with kriging </w:t>
      </w:r>
      <w:r w:rsidR="005835FD">
        <w:rPr>
          <w:rFonts w:cstheme="minorHAnsi"/>
          <w:lang w:val="en-GB"/>
        </w:rPr>
        <w:t>as the latter performs</w:t>
      </w:r>
      <w:r w:rsidR="005835FD" w:rsidRPr="00941F74">
        <w:rPr>
          <w:rFonts w:cstheme="minorHAnsi"/>
          <w:lang w:val="en-GB"/>
        </w:rPr>
        <w:t xml:space="preserve"> </w:t>
      </w:r>
      <w:r w:rsidR="00A50A0D" w:rsidRPr="00941F74">
        <w:rPr>
          <w:rFonts w:cstheme="minorHAnsi"/>
          <w:lang w:val="en-GB"/>
        </w:rPr>
        <w:t xml:space="preserve">poorly </w:t>
      </w:r>
      <w:r w:rsidR="00433E02" w:rsidRPr="00433E02">
        <w:rPr>
          <w:lang w:val="en-US"/>
        </w:rPr>
        <w:t xml:space="preserve">when it is necessary to extrapolate </w:t>
      </w:r>
      <w:r w:rsidR="00A50A0D" w:rsidRPr="00941F74">
        <w:rPr>
          <w:rFonts w:cstheme="minorHAnsi"/>
          <w:lang w:val="en-GB"/>
        </w:rPr>
        <w:t xml:space="preserve">estimates beyond the sedimentary sites over the entire study area (not shown). </w:t>
      </w:r>
      <w:r w:rsidR="00BF604B" w:rsidRPr="00941F74">
        <w:rPr>
          <w:rFonts w:cstheme="minorHAnsi"/>
          <w:lang w:val="en-GB"/>
        </w:rPr>
        <w:t xml:space="preserve">PDFs </w:t>
      </w:r>
      <w:r w:rsidR="00165AE6" w:rsidRPr="00941F74">
        <w:rPr>
          <w:rFonts w:cstheme="minorHAnsi"/>
          <w:lang w:val="en-GB"/>
        </w:rPr>
        <w:t xml:space="preserve">are </w:t>
      </w:r>
      <w:r w:rsidRPr="00941F74">
        <w:rPr>
          <w:rFonts w:cstheme="minorHAnsi"/>
          <w:lang w:val="en-GB"/>
        </w:rPr>
        <w:t xml:space="preserve">already used in palaeoecology </w:t>
      </w:r>
      <w:r w:rsidR="00BF604B" w:rsidRPr="00941F74">
        <w:rPr>
          <w:rFonts w:cstheme="minorHAnsi"/>
          <w:lang w:val="en-GB"/>
        </w:rPr>
        <w:t xml:space="preserve">at regional </w:t>
      </w:r>
      <w:r w:rsidR="009446A9" w:rsidRPr="00941F74">
        <w:rPr>
          <w:rFonts w:cstheme="minorHAnsi"/>
          <w:lang w:val="en-GB"/>
        </w:rPr>
        <w:t xml:space="preserve">to </w:t>
      </w:r>
      <w:r w:rsidR="00BF604B" w:rsidRPr="00941F74">
        <w:rPr>
          <w:rFonts w:cstheme="minorHAnsi"/>
          <w:lang w:val="en-GB"/>
        </w:rPr>
        <w:t>continental scales to infer broad</w:t>
      </w:r>
      <w:r w:rsidR="00950B38" w:rsidRPr="00941F74">
        <w:rPr>
          <w:rFonts w:cstheme="minorHAnsi"/>
          <w:lang w:val="en-GB"/>
        </w:rPr>
        <w:t xml:space="preserve"> and long-term</w:t>
      </w:r>
      <w:r w:rsidR="00BF604B" w:rsidRPr="00941F74">
        <w:rPr>
          <w:rFonts w:cstheme="minorHAnsi"/>
          <w:lang w:val="en-GB"/>
        </w:rPr>
        <w:t xml:space="preserve"> vegetation changes based </w:t>
      </w:r>
      <w:r w:rsidRPr="00941F74">
        <w:rPr>
          <w:rFonts w:cstheme="minorHAnsi"/>
          <w:lang w:val="en-GB"/>
        </w:rPr>
        <w:t xml:space="preserve">on pollen </w:t>
      </w:r>
      <w:r w:rsidR="003C6AA7" w:rsidRPr="00941F74">
        <w:rPr>
          <w:rFonts w:cstheme="minorHAnsi"/>
          <w:lang w:val="en-GB"/>
        </w:rPr>
        <w:t xml:space="preserve">percentage </w:t>
      </w:r>
      <w:r w:rsidRPr="00941F74">
        <w:rPr>
          <w:rFonts w:cstheme="minorHAnsi"/>
          <w:lang w:val="en-GB"/>
        </w:rPr>
        <w:t>data</w:t>
      </w:r>
      <w:r w:rsidR="00CA0766" w:rsidRPr="00941F74">
        <w:rPr>
          <w:rFonts w:cstheme="minorHAnsi"/>
          <w:lang w:val="en-GB"/>
        </w:rPr>
        <w:t xml:space="preserve"> </w:t>
      </w:r>
      <w:r w:rsidR="00CA0766" w:rsidRPr="00941F74">
        <w:rPr>
          <w:rFonts w:cstheme="minorHAnsi"/>
          <w:lang w:val="en-GB"/>
        </w:rPr>
        <w:fldChar w:fldCharType="begin"/>
      </w:r>
      <w:r w:rsidR="003B1EC2">
        <w:rPr>
          <w:rFonts w:cstheme="minorHAnsi"/>
          <w:lang w:val="en-GB"/>
        </w:rPr>
        <w:instrText xml:space="preserve"> ADDIN ZOTERO_ITEM CSL_CITATION {"citationID":"jNwuzgOa","properties":{"formattedCitation":"(H\\uc0\\u233{}ly and L\\uc0\\u233{}zine, 2014; Ledru et al., 2016)","plainCitation":"(Hély and Lézine, 2014; Ledru et al., 2016)","noteIndex":0},"citationItems":[{"id":590,"uris":["http://zotero.org/users/10290022/items/EEMBGK8C"],"itemData":{"id":590,"type":"article-journal","container-title":"Climate of the Past","DOI":"10.5194/cp-10-681-2014","page":"681-686","title":"Holocene changes in African vegetation : tradeoff between climate and water availability","volume":"10","author":[{"family":"Hély","given":"Christelle"},{"family":"Lézine","given":"Anne Marie"}],"issued":{"date-parts":[["2014"]]}}},{"id":401,"uris":["http://zotero.org/users/10290022/items/Q5TVR2ZB"],"itemData":{"id":401,"type":"article-journal","abstract":"The aim of this study is to represent simultaneously changes in the spatial distribution of the Atlantic forest during the last 17,000 years. To characterize such changes, here we focused on three different forest physiognomies, evergreen, semi-deciduous, and Araucaria, and we provide a list of indicator taxa for each class retrieved from the original published datasets. A review of the published fossil pollen records allowed us to classify regional behaviors in three main areas of distribution, north of 15°S, between 15° and 23°S and south of 23°S latitude that correspond to three climatic geographical barriers. Statistical probability density function method was used to illustrate changes in forest physiognomies throughout the three distribution areas. We show that the three modern barriers also functioned through the past. Asynchronous patterns of forest physiognomies are linked to an antiphasing pattern of monsoon precipitation between the northern and central area, whereas in the southern area, it is linked to the frequency and intensity of the polar advection in the sub-tropics. Our results attest to strong climate forcing on forest distribution between the late glacial and the interglacial period. They call into question the common reference to the last glacial maximum as a major (and sometimes as the only) driver of forest-related vicari-ance and genetic diversity patterns, but suggest that instead, orbital cycles were the main drivers of the successive expansion/contraction of the Atlantic forest throughout the Quaternary. Abstract in Portuguese is available with online material.","container-title":"Biotropica","DOI":"10.1111/btp.12266","ISSN":"00063606","issue":"2","page":"159-169","title":"Long-term Spatial Changes in the Distribution of the Brazilian Atlantic Forest","volume":"48","author":[{"family":"Ledru","given":"Marie-pierre"},{"family":"Montade","given":"Vincent"},{"family":"Cedex","given":"Montpellier"},{"family":"Cedex","given":"Montpellier"},{"family":"Pratique","given":"Ecole"}],"issued":{"date-parts":[["2016"]]}}}],"schema":"https://github.com/citation-style-language/schema/raw/master/csl-citation.json"} </w:instrText>
      </w:r>
      <w:r w:rsidR="00CA0766" w:rsidRPr="00941F74">
        <w:rPr>
          <w:rFonts w:cstheme="minorHAnsi"/>
          <w:lang w:val="en-GB"/>
        </w:rPr>
        <w:fldChar w:fldCharType="separate"/>
      </w:r>
      <w:r w:rsidR="003B1EC2" w:rsidRPr="003B1EC2">
        <w:rPr>
          <w:rFonts w:ascii="Calibri" w:hAnsi="Calibri" w:cs="Calibri"/>
          <w:szCs w:val="24"/>
          <w:lang w:val="en-US"/>
        </w:rPr>
        <w:t>(Hély and Lézine, 2014; Ledru et al., 2016)</w:t>
      </w:r>
      <w:r w:rsidR="00CA0766" w:rsidRPr="00941F74">
        <w:rPr>
          <w:rFonts w:cstheme="minorHAnsi"/>
          <w:lang w:val="en-GB"/>
        </w:rPr>
        <w:fldChar w:fldCharType="end"/>
      </w:r>
      <w:r w:rsidR="00BF604B" w:rsidRPr="00941F74">
        <w:rPr>
          <w:rFonts w:cstheme="minorHAnsi"/>
          <w:lang w:val="en-GB"/>
        </w:rPr>
        <w:t>.</w:t>
      </w:r>
      <w:r w:rsidR="00A50A0D" w:rsidRPr="00941F74">
        <w:rPr>
          <w:rFonts w:cstheme="minorHAnsi"/>
          <w:lang w:val="en-GB"/>
        </w:rPr>
        <w:t xml:space="preserve"> </w:t>
      </w:r>
      <w:r w:rsidR="00D2193F" w:rsidRPr="00941F74">
        <w:rPr>
          <w:rFonts w:cstheme="minorHAnsi"/>
          <w:lang w:val="en-GB"/>
        </w:rPr>
        <w:t>Here, they</w:t>
      </w:r>
      <w:r w:rsidR="009E16CC" w:rsidRPr="00941F74">
        <w:rPr>
          <w:rFonts w:cstheme="minorHAnsi"/>
          <w:lang w:val="en-GB"/>
        </w:rPr>
        <w:t xml:space="preserve"> allowed the construction of distribution maps of pollen taxa whose abundance gradients are determined both by variations in their LOVE estimates between each site and by their probability of occurrence within the</w:t>
      </w:r>
      <w:r w:rsidR="00D2193F" w:rsidRPr="00941F74">
        <w:rPr>
          <w:rFonts w:cstheme="minorHAnsi"/>
          <w:lang w:val="en-GB"/>
        </w:rPr>
        <w:t xml:space="preserve"> 9km²</w:t>
      </w:r>
      <w:r w:rsidR="009E16CC" w:rsidRPr="00941F74">
        <w:rPr>
          <w:rFonts w:cstheme="minorHAnsi"/>
          <w:lang w:val="en-GB"/>
        </w:rPr>
        <w:t xml:space="preserve"> study area, taking into account the overlapping RSAPs.</w:t>
      </w:r>
      <w:r w:rsidR="00D2193F" w:rsidRPr="00941F74">
        <w:rPr>
          <w:rFonts w:cstheme="minorHAnsi"/>
          <w:lang w:val="en-GB"/>
        </w:rPr>
        <w:t xml:space="preserve"> </w:t>
      </w:r>
      <w:r w:rsidR="00950B38" w:rsidRPr="00941F74">
        <w:rPr>
          <w:rFonts w:cstheme="minorHAnsi"/>
          <w:lang w:val="en-GB"/>
        </w:rPr>
        <w:t xml:space="preserve">Such </w:t>
      </w:r>
      <w:r w:rsidR="00165AE6" w:rsidRPr="00941F74">
        <w:rPr>
          <w:rFonts w:cstheme="minorHAnsi"/>
          <w:lang w:val="en-GB"/>
        </w:rPr>
        <w:t xml:space="preserve">local </w:t>
      </w:r>
      <w:r w:rsidR="00950B38" w:rsidRPr="00941F74">
        <w:rPr>
          <w:rFonts w:cstheme="minorHAnsi"/>
          <w:lang w:val="en-GB"/>
        </w:rPr>
        <w:t>gradients would not have been revealed using raw pollen percentages</w:t>
      </w:r>
      <w:r w:rsidR="008006EB" w:rsidRPr="00941F74">
        <w:rPr>
          <w:rFonts w:cstheme="minorHAnsi"/>
          <w:lang w:val="en-GB"/>
        </w:rPr>
        <w:t xml:space="preserve"> that</w:t>
      </w:r>
      <w:r w:rsidR="00950B38" w:rsidRPr="00941F74">
        <w:rPr>
          <w:rFonts w:cstheme="minorHAnsi"/>
          <w:lang w:val="en-GB"/>
        </w:rPr>
        <w:t xml:space="preserve"> show less spatial variability than </w:t>
      </w:r>
      <w:r w:rsidR="008006EB" w:rsidRPr="00941F74">
        <w:rPr>
          <w:rFonts w:cstheme="minorHAnsi"/>
          <w:lang w:val="en-GB"/>
        </w:rPr>
        <w:t xml:space="preserve">the </w:t>
      </w:r>
      <w:r w:rsidR="00950B38" w:rsidRPr="00941F74">
        <w:rPr>
          <w:rFonts w:cstheme="minorHAnsi"/>
          <w:lang w:val="en-GB"/>
        </w:rPr>
        <w:t>LOVE estimates</w:t>
      </w:r>
      <w:r w:rsidR="00CA0766" w:rsidRPr="00941F74">
        <w:rPr>
          <w:rFonts w:cstheme="minorHAnsi"/>
          <w:lang w:val="en-GB"/>
        </w:rPr>
        <w:t xml:space="preserve"> </w:t>
      </w:r>
      <w:r w:rsidR="00CA0766" w:rsidRPr="00941F74">
        <w:rPr>
          <w:rFonts w:cstheme="minorHAnsi"/>
          <w:lang w:val="en-GB"/>
        </w:rPr>
        <w:fldChar w:fldCharType="begin"/>
      </w:r>
      <w:r w:rsidR="003B1EC2">
        <w:rPr>
          <w:rFonts w:cstheme="minorHAnsi"/>
          <w:lang w:val="en-GB"/>
        </w:rPr>
        <w:instrText xml:space="preserve"> ADDIN ZOTERO_ITEM CSL_CITATION {"citationID":"e1aelwTr","properties":{"formattedCitation":"(Plancher et al., 2022)","plainCitation":"(Plancher et al., 2022)","noteIndex":0},"citationItems":[{"id":3227,"uris":["http://zotero.org/users/10290022/items/T4Q5CY5M"],"itemData":{"id":3227,"type":"article-journal","container-title":"Quaternary Science Reviews","DOI":"https://doi.org/10.1016/j.quascirev.2022.107753","page":"107753","title":"Spatial and temporal patterns of upland vegetation over the last 200 years in the northern pyrenees: Example from the Bassiès valley, Ariège, France","volume":"294","author":[{"family":"Plancher","given":"Clara"},{"family":"Galop","given":"Didier"},{"family":"Houet","given":"Thomas"},{"family":"Lerigoleur","given":"Emile"},{"family":"Marquer","given":"Laurent"},{"family":"Sugita","given":"Shinya"},{"family":"Mazier","given":"Florence"}],"issued":{"date-parts":[["2022"]]}}}],"schema":"https://github.com/citation-style-language/schema/raw/master/csl-citation.json"} </w:instrText>
      </w:r>
      <w:r w:rsidR="00CA0766" w:rsidRPr="00941F74">
        <w:rPr>
          <w:rFonts w:cstheme="minorHAnsi"/>
          <w:lang w:val="en-GB"/>
        </w:rPr>
        <w:fldChar w:fldCharType="separate"/>
      </w:r>
      <w:r w:rsidR="003B1EC2" w:rsidRPr="003B1EC2">
        <w:rPr>
          <w:rFonts w:ascii="Calibri" w:hAnsi="Calibri" w:cs="Calibri"/>
          <w:lang w:val="en-US"/>
        </w:rPr>
        <w:t>(Plancher et al., 2022)</w:t>
      </w:r>
      <w:r w:rsidR="00CA0766" w:rsidRPr="00941F74">
        <w:rPr>
          <w:rFonts w:cstheme="minorHAnsi"/>
          <w:lang w:val="en-GB"/>
        </w:rPr>
        <w:fldChar w:fldCharType="end"/>
      </w:r>
      <w:r w:rsidR="00950B38" w:rsidRPr="00941F74">
        <w:rPr>
          <w:rFonts w:cstheme="minorHAnsi"/>
          <w:lang w:val="en-GB"/>
        </w:rPr>
        <w:t>.</w:t>
      </w:r>
      <w:r w:rsidR="00950B38" w:rsidRPr="00941F74">
        <w:rPr>
          <w:rFonts w:cstheme="minorHAnsi"/>
          <w:lang w:val="en-US"/>
        </w:rPr>
        <w:t xml:space="preserve"> </w:t>
      </w:r>
      <w:r w:rsidR="00BC54B2" w:rsidRPr="00941F74">
        <w:rPr>
          <w:rFonts w:cstheme="minorHAnsi"/>
          <w:lang w:val="en-US"/>
        </w:rPr>
        <w:t xml:space="preserve">The LOVE-Inferred Distributions (LIDs) are intermediate results that </w:t>
      </w:r>
      <w:r w:rsidR="00B44539" w:rsidRPr="00941F74">
        <w:rPr>
          <w:rFonts w:cstheme="minorHAnsi"/>
          <w:lang w:val="en-US"/>
        </w:rPr>
        <w:t xml:space="preserve">could </w:t>
      </w:r>
      <w:r w:rsidR="008006EB" w:rsidRPr="00941F74">
        <w:rPr>
          <w:rFonts w:cstheme="minorHAnsi"/>
          <w:lang w:val="en-US"/>
        </w:rPr>
        <w:t>also</w:t>
      </w:r>
      <w:r w:rsidR="00B44539" w:rsidRPr="00941F74">
        <w:rPr>
          <w:rFonts w:cstheme="minorHAnsi"/>
          <w:lang w:val="en-US"/>
        </w:rPr>
        <w:t xml:space="preserve"> be</w:t>
      </w:r>
      <w:r w:rsidR="008006EB" w:rsidRPr="00941F74">
        <w:rPr>
          <w:rFonts w:cstheme="minorHAnsi"/>
          <w:lang w:val="en-US"/>
        </w:rPr>
        <w:t xml:space="preserve"> </w:t>
      </w:r>
      <w:r w:rsidR="00BC54B2" w:rsidRPr="00941F74">
        <w:rPr>
          <w:rFonts w:cstheme="minorHAnsi"/>
          <w:lang w:val="en-US"/>
        </w:rPr>
        <w:t>of interest for</w:t>
      </w:r>
      <w:r w:rsidR="008006EB" w:rsidRPr="00941F74">
        <w:rPr>
          <w:rFonts w:cstheme="minorHAnsi"/>
          <w:lang w:val="en-US"/>
        </w:rPr>
        <w:t xml:space="preserve"> studies on past plant distributions</w:t>
      </w:r>
      <w:r w:rsidR="00950B38" w:rsidRPr="00941F74">
        <w:rPr>
          <w:rFonts w:cstheme="minorHAnsi"/>
          <w:lang w:val="en-GB"/>
        </w:rPr>
        <w:t xml:space="preserve">. </w:t>
      </w:r>
    </w:p>
    <w:p w14:paraId="1B8E0188" w14:textId="374E27A4" w:rsidR="00707925" w:rsidRPr="00941F74" w:rsidRDefault="00AC048C">
      <w:pPr>
        <w:spacing w:line="480" w:lineRule="auto"/>
        <w:rPr>
          <w:rFonts w:cstheme="minorHAnsi"/>
          <w:lang w:val="en-GB"/>
        </w:rPr>
      </w:pPr>
      <w:r w:rsidRPr="00941F74">
        <w:rPr>
          <w:rFonts w:cstheme="minorHAnsi"/>
          <w:lang w:val="en-GB"/>
        </w:rPr>
        <w:t>In stage B, we used MHM density maps to smooth past (1993) land-cover distributions and make their spatial variability comparable to continuous</w:t>
      </w:r>
      <w:r w:rsidR="00F2104E" w:rsidRPr="00941F74">
        <w:rPr>
          <w:rFonts w:cstheme="minorHAnsi"/>
          <w:lang w:val="en-GB"/>
        </w:rPr>
        <w:t xml:space="preserve"> explanatory variables (</w:t>
      </w:r>
      <w:r w:rsidR="00F2104E" w:rsidRPr="00941F74">
        <w:rPr>
          <w:rFonts w:cstheme="minorHAnsi"/>
          <w:color w:val="FF0000"/>
          <w:lang w:val="en-GB"/>
        </w:rPr>
        <w:t>Fig. 3b</w:t>
      </w:r>
      <w:r w:rsidRPr="00941F74">
        <w:rPr>
          <w:rFonts w:cstheme="minorHAnsi"/>
          <w:lang w:val="en-GB"/>
        </w:rPr>
        <w:t xml:space="preserve">). The land-cover explanatory variables included environmental variables </w:t>
      </w:r>
      <w:r w:rsidR="005C712A" w:rsidRPr="00941F74">
        <w:rPr>
          <w:rFonts w:cstheme="minorHAnsi"/>
          <w:lang w:val="en-GB"/>
        </w:rPr>
        <w:t xml:space="preserve">(EVs) </w:t>
      </w:r>
      <w:r w:rsidRPr="00941F74">
        <w:rPr>
          <w:rFonts w:cstheme="minorHAnsi"/>
          <w:lang w:val="en-GB"/>
        </w:rPr>
        <w:t xml:space="preserve">as well as a set of estimated taxon distributions at TW1995 (EDs), according to </w:t>
      </w:r>
      <w:r w:rsidR="00B83A2E" w:rsidRPr="00941F74">
        <w:rPr>
          <w:rFonts w:cstheme="minorHAnsi"/>
          <w:lang w:val="en-GB"/>
        </w:rPr>
        <w:t xml:space="preserve">each LCT </w:t>
      </w:r>
      <w:r w:rsidRPr="00941F74">
        <w:rPr>
          <w:rFonts w:cstheme="minorHAnsi"/>
          <w:lang w:val="en-GB"/>
        </w:rPr>
        <w:t xml:space="preserve">botanical composition. </w:t>
      </w:r>
      <w:r w:rsidR="005C712A" w:rsidRPr="00941F74">
        <w:rPr>
          <w:rFonts w:cstheme="minorHAnsi"/>
          <w:lang w:val="en-GB"/>
        </w:rPr>
        <w:t xml:space="preserve">The choice of auxiliary EVs depends on </w:t>
      </w:r>
      <w:r w:rsidR="005C712A" w:rsidRPr="00941F74">
        <w:rPr>
          <w:rFonts w:cstheme="minorHAnsi"/>
          <w:lang w:val="en-GB"/>
        </w:rPr>
        <w:lastRenderedPageBreak/>
        <w:t xml:space="preserve">the study area and it could be relevant to integrate others, such as pedological or geological data, which have not been integrated here as they were not available. The </w:t>
      </w:r>
      <w:r w:rsidRPr="00941F74">
        <w:rPr>
          <w:rFonts w:cstheme="minorHAnsi"/>
          <w:lang w:val="en-GB"/>
        </w:rPr>
        <w:t>EDs are the result of averaging LIDs and MIDs to incorporate the land-cover spatiotemporal autocorrelation directly into explanatory variables</w:t>
      </w:r>
      <w:r w:rsidR="000767D0" w:rsidRPr="00941F74">
        <w:rPr>
          <w:rFonts w:cstheme="minorHAnsi"/>
          <w:lang w:val="en-GB"/>
        </w:rPr>
        <w:t xml:space="preserve">. </w:t>
      </w:r>
      <w:r w:rsidRPr="00941F74">
        <w:rPr>
          <w:rFonts w:cstheme="minorHAnsi"/>
          <w:lang w:val="en-GB"/>
        </w:rPr>
        <w:t xml:space="preserve">This straightforward and exploratory </w:t>
      </w:r>
      <w:r w:rsidR="00B83A2E" w:rsidRPr="00941F74">
        <w:rPr>
          <w:rFonts w:cstheme="minorHAnsi"/>
          <w:lang w:val="en-GB"/>
        </w:rPr>
        <w:t xml:space="preserve">way </w:t>
      </w:r>
      <w:r w:rsidRPr="00941F74">
        <w:rPr>
          <w:rFonts w:cstheme="minorHAnsi"/>
          <w:lang w:val="en-GB"/>
        </w:rPr>
        <w:t xml:space="preserve">to integrate spatiotemporal autocorrelation resulted in EDs consistent with 2008 taxon distributions and </w:t>
      </w:r>
      <w:r w:rsidR="0053014C">
        <w:rPr>
          <w:rFonts w:cstheme="minorHAnsi"/>
          <w:lang w:val="en-GB"/>
        </w:rPr>
        <w:t xml:space="preserve">that </w:t>
      </w:r>
      <w:r w:rsidR="005835FD">
        <w:rPr>
          <w:rFonts w:cstheme="minorHAnsi"/>
          <w:lang w:val="en-GB"/>
        </w:rPr>
        <w:t>revealed</w:t>
      </w:r>
      <w:r w:rsidR="005835FD" w:rsidRPr="00941F74">
        <w:rPr>
          <w:rFonts w:cstheme="minorHAnsi"/>
          <w:lang w:val="en-GB"/>
        </w:rPr>
        <w:t xml:space="preserve"> </w:t>
      </w:r>
      <w:r w:rsidRPr="00941F74">
        <w:rPr>
          <w:rFonts w:cstheme="minorHAnsi"/>
          <w:lang w:val="en-GB"/>
        </w:rPr>
        <w:t>TW1995 LOVE-based gradients (</w:t>
      </w:r>
      <w:r w:rsidRPr="00941F74">
        <w:rPr>
          <w:rFonts w:cstheme="minorHAnsi"/>
          <w:color w:val="FF0000"/>
          <w:lang w:val="en-GB"/>
        </w:rPr>
        <w:t>Fig. 4</w:t>
      </w:r>
      <w:r w:rsidR="005276EE" w:rsidRPr="00941F74">
        <w:rPr>
          <w:rFonts w:cstheme="minorHAnsi"/>
          <w:color w:val="FF0000"/>
          <w:lang w:val="en-GB"/>
        </w:rPr>
        <w:t>c</w:t>
      </w:r>
      <w:r w:rsidRPr="00941F74">
        <w:rPr>
          <w:rFonts w:cstheme="minorHAnsi"/>
          <w:lang w:val="en-GB"/>
        </w:rPr>
        <w:t xml:space="preserve">), while </w:t>
      </w:r>
      <w:r w:rsidR="00C17638">
        <w:rPr>
          <w:rFonts w:cstheme="minorHAnsi"/>
          <w:lang w:val="en-GB"/>
        </w:rPr>
        <w:t>using</w:t>
      </w:r>
      <w:r w:rsidRPr="00941F74">
        <w:rPr>
          <w:rFonts w:cstheme="minorHAnsi"/>
          <w:lang w:val="en-GB"/>
        </w:rPr>
        <w:t xml:space="preserve"> residual autocorrelation </w:t>
      </w:r>
      <w:r w:rsidR="00E02D2E" w:rsidRPr="00941F74">
        <w:rPr>
          <w:rFonts w:cstheme="minorHAnsi"/>
          <w:lang w:val="en-GB"/>
        </w:rPr>
        <w:fldChar w:fldCharType="begin"/>
      </w:r>
      <w:r w:rsidR="003B1EC2">
        <w:rPr>
          <w:rFonts w:cstheme="minorHAnsi"/>
          <w:lang w:val="en-GB"/>
        </w:rPr>
        <w:instrText xml:space="preserve"> ADDIN ZOTERO_ITEM CSL_CITATION {"citationID":"czCEvyBY","properties":{"formattedCitation":"(Crase et al., 2012)","plainCitation":"(Crase et al., 2012)","noteIndex":0},"citationItems":[{"id":2553,"uris":["http://zotero.org/users/10290022/items/EZZPTYFX"],"itemData":{"id":2553,"type":"article-journal","abstract":"Species distribution modelling (SDM) is a widely used tool and has many applications in ecology and conservation biology. Spatial autocorrelation (SAC), a pattern in which observations are related to one another by their geographic distance, is common in georeferenced ecological data. SAC in the residuals of SDMs violates the ‘independent errors’ assumption required to justify the use of statistical models in modelling species’ distributions. The autologistic modelling approach accounts for SAC by including an additional term (the autocovariate) representing the similarity between the value of the response variable at a location and neighbouring locations. However, autologistic models have been found to introduce bias in the estimation of parameters describing the influence of explanatory variables on habitat occupancy. To address this problem we developed an extension to the autologistic approach by calculating the autocovariate on SAC in residuals (the RAC approach). Performance of the new approach was tested on simulated data with a known spatial structure and on strongly autocorrelated mangrove species’ distribution data collected in northern Australia. The RAC approach was implemented as generalized linear models (GLMs) and boosted regression tree (BRT) models. We found that the BRT models with only environmental explanatory variables can account for some SAC, but applying the standard autologistic or RAC approaches further reduced SAC in model residuals and substantially improved model predictive performance. The RAC approach showed stronger inferential performance than the standard autologistic approach, as parameter estimates were more accurate and statistically significant variables were accurately identified. The new RAC approach presented here has the potential to account for spatial autocorrelation while maintaining strong predictive and inferential performance, and can be implemented across a range of modelling approaches.","container-title":"Ecography","DOI":"10.1111/j.1600-0587.2011.07138.x","ISSN":"09067590","issue":"10","note":"PMID: 25246403\narXiv: 1011.1669v3\nISBN: 1600-0587","page":"879-888","title":"A new method for dealing with residual spatial autocorrelation in species distribution models","URL":"https://www.researchgate.net/profile/Beth_Crase/publication/260098187_A_new_method_for_dealing_with_residual_spatial_autocorrelation_in_species_distribution_models/links/59f01e16a6fdcce2096dd116/A-new-method-for-dealing-with-residual-spatial-autocorrelati","volume":"35","author":[{"family":"Crase","given":"Beth"},{"family":"Liedloff","given":"Adam C."},{"family":"Wintle","given":"Brendan A."}],"accessed":{"date-parts":[["2018",4,27]]},"issued":{"date-parts":[["2012"]]}}}],"schema":"https://github.com/citation-style-language/schema/raw/master/csl-citation.json"} </w:instrText>
      </w:r>
      <w:r w:rsidR="00E02D2E" w:rsidRPr="00941F74">
        <w:rPr>
          <w:rFonts w:cstheme="minorHAnsi"/>
          <w:lang w:val="en-GB"/>
        </w:rPr>
        <w:fldChar w:fldCharType="separate"/>
      </w:r>
      <w:r w:rsidR="003B1EC2" w:rsidRPr="003B1EC2">
        <w:rPr>
          <w:rFonts w:ascii="Calibri" w:hAnsi="Calibri" w:cs="Calibri"/>
          <w:lang w:val="en-US"/>
        </w:rPr>
        <w:t>(Crase et al., 2012)</w:t>
      </w:r>
      <w:r w:rsidR="00E02D2E" w:rsidRPr="00941F74">
        <w:rPr>
          <w:rFonts w:cstheme="minorHAnsi"/>
          <w:lang w:val="en-GB"/>
        </w:rPr>
        <w:fldChar w:fldCharType="end"/>
      </w:r>
      <w:r w:rsidR="00E02D2E" w:rsidRPr="00941F74">
        <w:rPr>
          <w:rFonts w:cstheme="minorHAnsi"/>
          <w:lang w:val="en-GB"/>
        </w:rPr>
        <w:t xml:space="preserve"> </w:t>
      </w:r>
      <w:r w:rsidRPr="00941F74">
        <w:rPr>
          <w:rFonts w:cstheme="minorHAnsi"/>
          <w:lang w:val="en-GB"/>
        </w:rPr>
        <w:t xml:space="preserve">would drive the results towards the sole landscape autocorrelation, </w:t>
      </w:r>
      <w:r w:rsidR="005835FD">
        <w:rPr>
          <w:rFonts w:cstheme="minorHAnsi"/>
          <w:lang w:val="en-GB"/>
        </w:rPr>
        <w:t>preventing</w:t>
      </w:r>
      <w:r w:rsidR="005835FD" w:rsidRPr="00941F74">
        <w:rPr>
          <w:rFonts w:cstheme="minorHAnsi"/>
          <w:lang w:val="en-GB"/>
        </w:rPr>
        <w:t xml:space="preserve"> </w:t>
      </w:r>
      <w:r w:rsidRPr="00941F74">
        <w:rPr>
          <w:rFonts w:cstheme="minorHAnsi"/>
          <w:lang w:val="en-GB"/>
        </w:rPr>
        <w:t xml:space="preserve">LOVE-based variations </w:t>
      </w:r>
      <w:r w:rsidR="005835FD">
        <w:rPr>
          <w:rFonts w:cstheme="minorHAnsi"/>
          <w:lang w:val="en-GB"/>
        </w:rPr>
        <w:t>from being</w:t>
      </w:r>
      <w:r w:rsidRPr="00941F74">
        <w:rPr>
          <w:rFonts w:cstheme="minorHAnsi"/>
          <w:lang w:val="en-GB"/>
        </w:rPr>
        <w:t xml:space="preserve"> revealed</w:t>
      </w:r>
      <w:r w:rsidR="00284167" w:rsidRPr="00941F74">
        <w:rPr>
          <w:rFonts w:cstheme="minorHAnsi"/>
          <w:lang w:val="en-GB"/>
        </w:rPr>
        <w:t xml:space="preserve"> (not shown)</w:t>
      </w:r>
      <w:r w:rsidRPr="00941F74">
        <w:rPr>
          <w:rFonts w:cstheme="minorHAnsi"/>
          <w:lang w:val="en-GB"/>
        </w:rPr>
        <w:t xml:space="preserve">. </w:t>
      </w:r>
      <w:r w:rsidR="000767D0" w:rsidRPr="00941F74">
        <w:rPr>
          <w:rFonts w:cstheme="minorHAnsi"/>
          <w:lang w:val="en-GB"/>
        </w:rPr>
        <w:t xml:space="preserve">The production of EDs is based on two assumptions. First, due to the integration of MIDs, it is assumed that </w:t>
      </w:r>
      <w:r w:rsidR="00707925" w:rsidRPr="00941F74">
        <w:rPr>
          <w:rFonts w:cstheme="minorHAnsi"/>
          <w:lang w:val="en-GB"/>
        </w:rPr>
        <w:t xml:space="preserve">(4) </w:t>
      </w:r>
      <w:r w:rsidR="000767D0" w:rsidRPr="00941F74">
        <w:rPr>
          <w:rFonts w:cstheme="minorHAnsi"/>
          <w:lang w:val="en-GB"/>
        </w:rPr>
        <w:t>the same LCTs were present during the study period and that their composition remained constant. This imposes a limited temporal perspective</w:t>
      </w:r>
      <w:r w:rsidR="00707925" w:rsidRPr="00941F74">
        <w:rPr>
          <w:rFonts w:cstheme="minorHAnsi"/>
          <w:lang w:val="en-GB"/>
        </w:rPr>
        <w:t xml:space="preserve"> on </w:t>
      </w:r>
      <w:r w:rsidR="005835FD">
        <w:rPr>
          <w:rFonts w:cstheme="minorHAnsi"/>
          <w:lang w:val="en-GB"/>
        </w:rPr>
        <w:t xml:space="preserve">the application of </w:t>
      </w:r>
      <w:r w:rsidR="00707925" w:rsidRPr="00941F74">
        <w:rPr>
          <w:rFonts w:cstheme="minorHAnsi"/>
          <w:lang w:val="en-GB"/>
        </w:rPr>
        <w:t>BACKLAND, since the older the time window targeted</w:t>
      </w:r>
      <w:r w:rsidR="000767D0" w:rsidRPr="00941F74">
        <w:rPr>
          <w:rFonts w:cstheme="minorHAnsi"/>
          <w:lang w:val="en-GB"/>
        </w:rPr>
        <w:t>, the less reasonable this assumption is</w:t>
      </w:r>
      <w:r w:rsidR="00707925" w:rsidRPr="00941F74">
        <w:rPr>
          <w:rFonts w:cstheme="minorHAnsi"/>
          <w:lang w:val="en-GB"/>
        </w:rPr>
        <w:t xml:space="preserve">. Then, the incorporation of spatiotemporal autocorrelation in the EDs assumes (5) an influence of equal weight between MIDs and LIDs through averaging. The relative influences of MIDs and LIDs could be estimated based on independent data indicating environmental or societal changes that may have sharply modified vegetation composition and/or patterns, and thus the influence of autocorrelation between two target periods (e.g. proxies related to local fire events or grazing activities). There is currently no way of estimating such weighting factors, so their use would require additional assumptions about </w:t>
      </w:r>
      <w:r w:rsidR="005835FD">
        <w:rPr>
          <w:rFonts w:cstheme="minorHAnsi"/>
          <w:lang w:val="en-GB"/>
        </w:rPr>
        <w:t xml:space="preserve">the </w:t>
      </w:r>
      <w:r w:rsidR="00707925" w:rsidRPr="00941F74">
        <w:rPr>
          <w:rFonts w:cstheme="minorHAnsi"/>
          <w:lang w:val="en-GB"/>
        </w:rPr>
        <w:t>stationarity of taxon distributions over time. Our approach, although involving a strong and arbitrary hypothesis, remains parsimonious.</w:t>
      </w:r>
    </w:p>
    <w:p w14:paraId="2B89E62D" w14:textId="01EAA748" w:rsidR="00FD56B0" w:rsidRPr="00941F74" w:rsidRDefault="00AC048C">
      <w:pPr>
        <w:spacing w:line="480" w:lineRule="auto"/>
        <w:rPr>
          <w:rFonts w:cstheme="minorHAnsi"/>
          <w:lang w:val="en-GB"/>
        </w:rPr>
      </w:pPr>
      <w:r w:rsidRPr="00941F74">
        <w:rPr>
          <w:rFonts w:cstheme="minorHAnsi"/>
          <w:lang w:val="en-GB"/>
        </w:rPr>
        <w:t xml:space="preserve">In stage C, traditional and easy-to-use multiple linear models (LMs) were employed for the backward modelling of a TW1995 land-cover map. </w:t>
      </w:r>
      <w:r w:rsidR="0005697D">
        <w:rPr>
          <w:rFonts w:cstheme="minorHAnsi"/>
          <w:lang w:val="en-GB"/>
        </w:rPr>
        <w:t>We</w:t>
      </w:r>
      <w:r w:rsidR="007A4478" w:rsidRPr="00941F74">
        <w:rPr>
          <w:rFonts w:cstheme="minorHAnsi"/>
          <w:lang w:val="en-GB"/>
        </w:rPr>
        <w:t xml:space="preserve"> therefore assumed (6) a linear relationship between LCT densities and explanatory variables. Such conditions are not fully met in our datasets, but large sample sizes limit departures from this assumption. Transforming the data or using more complex and non-linear models (e.g. Generalized Additive Models, </w:t>
      </w:r>
      <w:r w:rsidR="00E02D2E" w:rsidRPr="00941F74">
        <w:rPr>
          <w:rFonts w:cstheme="minorHAnsi"/>
          <w:lang w:val="en-GB"/>
        </w:rPr>
        <w:fldChar w:fldCharType="begin"/>
      </w:r>
      <w:r w:rsidR="000E0FBE">
        <w:rPr>
          <w:rFonts w:cstheme="minorHAnsi"/>
          <w:lang w:val="en-GB"/>
        </w:rPr>
        <w:instrText xml:space="preserve"> ADDIN ZOTERO_ITEM CSL_CITATION {"citationID":"Ue9hd7G7","properties":{"formattedCitation":"(Hastie &amp; Tibshirani, 1987)","plainCitation":"(Hastie &amp; Tibshirani, 1987)","dontUpdate":true,"noteIndex":0},"citationItems":[{"id":3283,"uris":["http://zotero.org/users/10290022/items/PW3MW4MH"],"itemData":{"id":3283,"type":"article-journal","abstract":"Generalized additive models have the form η(x) = α + σ fj (x j ), where η might be the regression function in a multiple regression or the logistic transformation of the posterior probability Pr(y = 1 | x) in a logistic regression. In fact, these models generalize the whole family of generalized linear models η(x) = β′x, where η(x) = g(μ(x)) is some transformation of the regression function. We use the local scoring algorithm to estimate the functions fj (xj ) nonparametrically, using a scatterplot smoother as a building block. We demonstrate the models in two different analyses: a nonparametric analysis of covariance and a logistic regression. The procedure can be used as a diagnostic tool for identifying parametric transformations of the covariates in a standard linear analysis. A variety of inferential tools have been developed to aid the analyst in assessing the relevance and significance of the estimated functions: these include confidence curves, degrees of freedom estimates, and approximate hypothesis tests. The local scoring algorithm is analogous to the iterative reweighted least squares algorithm for solving likelihood and nonlinear regression equations. At each iteration, an adjusted dependent variable is formed and an additive regression model is fit using the backfitting algorithm. The backfitting algorithm cycles through the variables and estimates each coordinated function by smoothing the partial residuals.","container-title":"Journal of the American Statistical Association","DOI":"10.1080/01621459.1987.10478440","ISSN":"0162-1459","issue":"398","note":"publisher: Taylor &amp; Francis\n_eprint: https://www.tandfonline.com/doi/pdf/10.1080/01621459.1987.10478440","page":"371-386","source":"Taylor and Francis+NEJM","title":"Generalized Additive Models: Some Applications","title-short":"Generalized Additive Models","URL":"https://www.tandfonline.com/doi/abs/10.1080/01621459.1987.10478440","volume":"82","author":[{"family":"Hastie","given":"Trevor"},{"family":"Tibshirani","given":"Robert"}],"accessed":{"date-parts":[["2023",2,4]]},"issued":{"date-parts":[["1987"]]}}}],"schema":"https://github.com/citation-style-language/schema/raw/master/csl-citation.json"} </w:instrText>
      </w:r>
      <w:r w:rsidR="00E02D2E" w:rsidRPr="00941F74">
        <w:rPr>
          <w:rFonts w:cstheme="minorHAnsi"/>
          <w:lang w:val="en-GB"/>
        </w:rPr>
        <w:fldChar w:fldCharType="separate"/>
      </w:r>
      <w:r w:rsidR="00E02D2E" w:rsidRPr="00941F74">
        <w:rPr>
          <w:rFonts w:ascii="Calibri" w:hAnsi="Calibri" w:cs="Calibri"/>
          <w:lang w:val="en-US"/>
        </w:rPr>
        <w:t>Hastie &amp; Tibshirani, 1987)</w:t>
      </w:r>
      <w:r w:rsidR="00E02D2E" w:rsidRPr="00941F74">
        <w:rPr>
          <w:rFonts w:cstheme="minorHAnsi"/>
          <w:lang w:val="en-GB"/>
        </w:rPr>
        <w:fldChar w:fldCharType="end"/>
      </w:r>
      <w:r w:rsidR="007A4478" w:rsidRPr="00941F74">
        <w:rPr>
          <w:rFonts w:cstheme="minorHAnsi"/>
          <w:lang w:val="en-GB"/>
        </w:rPr>
        <w:t xml:space="preserve"> did not change the quality of the results (not shown). Untransformed land-cover densities, as well as linear models less prone to overfitting to the training data than other less straightforward or non-linear models, were therefore </w:t>
      </w:r>
      <w:r w:rsidR="007A4478" w:rsidRPr="00941F74">
        <w:rPr>
          <w:rFonts w:cstheme="minorHAnsi"/>
          <w:lang w:val="en-GB"/>
        </w:rPr>
        <w:lastRenderedPageBreak/>
        <w:t>preferred, especially since they revealed a good fit to the predictors and an overall high accuracy (</w:t>
      </w:r>
      <w:r w:rsidR="007A4478" w:rsidRPr="00941F74">
        <w:rPr>
          <w:rFonts w:cstheme="minorHAnsi"/>
          <w:color w:val="FF0000"/>
          <w:lang w:val="en-GB"/>
        </w:rPr>
        <w:t>Fig. 5</w:t>
      </w:r>
      <w:r w:rsidR="007A4478" w:rsidRPr="00941F74">
        <w:rPr>
          <w:rFonts w:cstheme="minorHAnsi"/>
          <w:lang w:val="en-GB"/>
        </w:rPr>
        <w:t xml:space="preserve">). </w:t>
      </w:r>
      <w:r w:rsidRPr="00941F74">
        <w:rPr>
          <w:rFonts w:cstheme="minorHAnsi"/>
          <w:lang w:val="en-GB"/>
        </w:rPr>
        <w:t>First, the stepwise regression and cross-validation training of the linear models identified statistically significant relationships between all 1993 land-cover density maps and explanatory variables (</w:t>
      </w:r>
      <w:r w:rsidR="00950157" w:rsidRPr="00941F74">
        <w:rPr>
          <w:rFonts w:cstheme="minorHAnsi"/>
          <w:color w:val="4BACC6" w:themeColor="accent5"/>
          <w:lang w:val="en-GB"/>
        </w:rPr>
        <w:t>Table 4</w:t>
      </w:r>
      <w:r w:rsidRPr="00941F74">
        <w:rPr>
          <w:rFonts w:cstheme="minorHAnsi"/>
          <w:lang w:val="en-GB"/>
        </w:rPr>
        <w:t>).</w:t>
      </w:r>
      <w:r w:rsidR="005A59AF" w:rsidRPr="00941F74">
        <w:rPr>
          <w:rFonts w:cstheme="minorHAnsi"/>
          <w:lang w:val="en-GB"/>
        </w:rPr>
        <w:t xml:space="preserve"> </w:t>
      </w:r>
      <w:r w:rsidRPr="00941F74">
        <w:rPr>
          <w:rFonts w:cstheme="minorHAnsi"/>
          <w:lang w:val="en-GB"/>
        </w:rPr>
        <w:t xml:space="preserve">The estimation of negative coefficients associated with some EDs, despite their integration on a botanical basis, is evidence of the </w:t>
      </w:r>
      <w:r w:rsidR="000D45AD" w:rsidRPr="00941F74">
        <w:rPr>
          <w:rFonts w:cstheme="minorHAnsi"/>
          <w:lang w:val="en-GB"/>
        </w:rPr>
        <w:t xml:space="preserve">taxon distribution </w:t>
      </w:r>
      <w:r w:rsidRPr="00941F74">
        <w:rPr>
          <w:rFonts w:cstheme="minorHAnsi"/>
          <w:lang w:val="en-GB"/>
        </w:rPr>
        <w:t>heterogene</w:t>
      </w:r>
      <w:r w:rsidR="000D45AD" w:rsidRPr="00941F74">
        <w:rPr>
          <w:rFonts w:cstheme="minorHAnsi"/>
          <w:lang w:val="en-GB"/>
        </w:rPr>
        <w:t>ity</w:t>
      </w:r>
      <w:r w:rsidRPr="00941F74">
        <w:rPr>
          <w:rFonts w:cstheme="minorHAnsi"/>
          <w:lang w:val="en-GB"/>
        </w:rPr>
        <w:t xml:space="preserve">, as most taxa are found in all </w:t>
      </w:r>
      <w:r w:rsidR="00523727" w:rsidRPr="00941F74">
        <w:rPr>
          <w:rFonts w:cstheme="minorHAnsi"/>
          <w:lang w:val="en-GB"/>
        </w:rPr>
        <w:t>LCTs</w:t>
      </w:r>
      <w:r w:rsidRPr="00941F74">
        <w:rPr>
          <w:rFonts w:cstheme="minorHAnsi"/>
          <w:lang w:val="en-GB"/>
        </w:rPr>
        <w:t xml:space="preserve"> in varying proportions</w:t>
      </w:r>
      <w:r w:rsidR="0055090A" w:rsidRPr="00941F74">
        <w:rPr>
          <w:rFonts w:cstheme="minorHAnsi"/>
          <w:lang w:val="en-GB"/>
        </w:rPr>
        <w:t xml:space="preserve"> (</w:t>
      </w:r>
      <w:r w:rsidR="0055090A" w:rsidRPr="00941F74">
        <w:rPr>
          <w:rFonts w:cstheme="minorHAnsi"/>
          <w:color w:val="4BACC6" w:themeColor="accent5"/>
          <w:lang w:val="en-GB"/>
        </w:rPr>
        <w:t>Table 4</w:t>
      </w:r>
      <w:r w:rsidR="0055090A" w:rsidRPr="00941F74">
        <w:rPr>
          <w:rFonts w:cstheme="minorHAnsi"/>
          <w:lang w:val="en-GB"/>
        </w:rPr>
        <w:t>)</w:t>
      </w:r>
      <w:r w:rsidRPr="00941F74">
        <w:rPr>
          <w:rFonts w:cstheme="minorHAnsi"/>
          <w:lang w:val="en-GB"/>
        </w:rPr>
        <w:t xml:space="preserve">. </w:t>
      </w:r>
      <w:r w:rsidR="002E6144" w:rsidRPr="00941F74">
        <w:rPr>
          <w:lang w:val="en-US"/>
        </w:rPr>
        <w:t xml:space="preserve">The significant influence of EVs on the distribution of all LCTs is evidence of the environmental constraints in the Bassiès </w:t>
      </w:r>
      <w:r w:rsidR="005C712A" w:rsidRPr="00941F74">
        <w:rPr>
          <w:lang w:val="en-US"/>
        </w:rPr>
        <w:t>vegetation distribution</w:t>
      </w:r>
      <w:r w:rsidR="002E6144" w:rsidRPr="00941F74">
        <w:rPr>
          <w:lang w:val="en-US"/>
        </w:rPr>
        <w:t xml:space="preserve">. Nevertheless, the signs of these environmental influences must be </w:t>
      </w:r>
      <w:r w:rsidR="0053014C">
        <w:rPr>
          <w:lang w:val="en-US"/>
        </w:rPr>
        <w:t>interpreted</w:t>
      </w:r>
      <w:r w:rsidR="0053014C" w:rsidRPr="00941F74">
        <w:rPr>
          <w:lang w:val="en-US"/>
        </w:rPr>
        <w:t xml:space="preserve"> </w:t>
      </w:r>
      <w:r w:rsidR="002E6144" w:rsidRPr="00941F74">
        <w:rPr>
          <w:lang w:val="en-US"/>
        </w:rPr>
        <w:t xml:space="preserve">with </w:t>
      </w:r>
      <w:r w:rsidR="0053014C">
        <w:rPr>
          <w:lang w:val="en-US"/>
        </w:rPr>
        <w:t>caution, as</w:t>
      </w:r>
      <w:r w:rsidR="002E6144" w:rsidRPr="00941F74">
        <w:rPr>
          <w:lang w:val="en-US"/>
        </w:rPr>
        <w:t xml:space="preserve"> statistical relationships can be estimated by the models through interactions with other variables not included in the models. Here, the positive influence of altitude and southern exposure on the BF patch density could be due to the presence of scree (</w:t>
      </w:r>
      <w:r w:rsidR="0053014C">
        <w:rPr>
          <w:lang w:val="en-US"/>
        </w:rPr>
        <w:t xml:space="preserve">a </w:t>
      </w:r>
      <w:r w:rsidR="002E6144" w:rsidRPr="00941F74">
        <w:rPr>
          <w:lang w:val="en-US"/>
        </w:rPr>
        <w:t>non-pollen</w:t>
      </w:r>
      <w:r w:rsidR="0005697D">
        <w:rPr>
          <w:lang w:val="en-US"/>
        </w:rPr>
        <w:t>-</w:t>
      </w:r>
      <w:r w:rsidR="002E6144" w:rsidRPr="00941F74">
        <w:rPr>
          <w:lang w:val="en-US"/>
        </w:rPr>
        <w:t>producing area excluded from analyses) located on the northern slope underlying LEG, thus reducing the density of the forest patch mainly in its lowest part.</w:t>
      </w:r>
      <w:r w:rsidR="005C712A" w:rsidRPr="00941F74">
        <w:rPr>
          <w:rFonts w:cstheme="minorHAnsi"/>
          <w:lang w:val="en-GB"/>
        </w:rPr>
        <w:t xml:space="preserve"> </w:t>
      </w:r>
      <w:r w:rsidRPr="00941F74">
        <w:rPr>
          <w:rFonts w:cstheme="minorHAnsi"/>
          <w:lang w:val="en-GB"/>
        </w:rPr>
        <w:t xml:space="preserve">The variability in prediction accuracy between </w:t>
      </w:r>
      <w:r w:rsidR="00523727" w:rsidRPr="00941F74">
        <w:rPr>
          <w:rFonts w:cstheme="minorHAnsi"/>
          <w:lang w:val="en-GB"/>
        </w:rPr>
        <w:t>LCTs</w:t>
      </w:r>
      <w:r w:rsidRPr="00941F74">
        <w:rPr>
          <w:rFonts w:cstheme="minorHAnsi"/>
          <w:lang w:val="en-GB"/>
        </w:rPr>
        <w:t xml:space="preserve"> revealed a weakness in modelling the most heterogeneous and rarest </w:t>
      </w:r>
      <w:r w:rsidR="00523727" w:rsidRPr="00941F74">
        <w:rPr>
          <w:rFonts w:cstheme="minorHAnsi"/>
          <w:lang w:val="en-GB"/>
        </w:rPr>
        <w:t>ones</w:t>
      </w:r>
      <w:r w:rsidRPr="00941F74">
        <w:rPr>
          <w:rFonts w:cstheme="minorHAnsi"/>
          <w:lang w:val="en-GB"/>
        </w:rPr>
        <w:t xml:space="preserve"> in the study area (here Mixed Forest, Pine Forest and Festuca Grasslands, </w:t>
      </w:r>
      <w:r w:rsidRPr="00941F74">
        <w:rPr>
          <w:rFonts w:cstheme="minorHAnsi"/>
          <w:color w:val="FF0000"/>
          <w:lang w:val="en-GB"/>
        </w:rPr>
        <w:t>Fig. 5</w:t>
      </w:r>
      <w:r w:rsidR="007C050E" w:rsidRPr="00941F74">
        <w:rPr>
          <w:rFonts w:cstheme="minorHAnsi"/>
          <w:color w:val="FF0000"/>
          <w:lang w:val="en-GB"/>
        </w:rPr>
        <w:t>b</w:t>
      </w:r>
      <w:r w:rsidRPr="00941F74">
        <w:rPr>
          <w:rFonts w:cstheme="minorHAnsi"/>
          <w:lang w:val="en-GB"/>
        </w:rPr>
        <w:t xml:space="preserve">, </w:t>
      </w:r>
      <w:r w:rsidRPr="00941F74">
        <w:rPr>
          <w:rFonts w:cstheme="minorHAnsi"/>
          <w:color w:val="FF0000"/>
          <w:lang w:val="en-GB"/>
        </w:rPr>
        <w:t>Fig.6</w:t>
      </w:r>
      <w:r w:rsidRPr="00941F74">
        <w:rPr>
          <w:rFonts w:cstheme="minorHAnsi"/>
          <w:lang w:val="en-GB"/>
        </w:rPr>
        <w:t xml:space="preserve">, </w:t>
      </w:r>
      <w:r w:rsidRPr="00941F74">
        <w:rPr>
          <w:rFonts w:cstheme="minorHAnsi"/>
          <w:color w:val="FF0000"/>
          <w:lang w:val="en-GB"/>
        </w:rPr>
        <w:t>Fig. 7</w:t>
      </w:r>
      <w:r w:rsidRPr="00941F74">
        <w:rPr>
          <w:rFonts w:cstheme="minorHAnsi"/>
          <w:lang w:val="en-GB"/>
        </w:rPr>
        <w:t xml:space="preserve">). The greater difference in spatial variability between explanatory variables and rare land-cover distributions </w:t>
      </w:r>
      <w:r w:rsidR="005C712A" w:rsidRPr="00941F74">
        <w:rPr>
          <w:rFonts w:cstheme="minorHAnsi"/>
          <w:lang w:val="en-GB"/>
        </w:rPr>
        <w:t>(</w:t>
      </w:r>
      <w:r w:rsidRPr="00941F74">
        <w:rPr>
          <w:rFonts w:cstheme="minorHAnsi"/>
          <w:lang w:val="en-GB"/>
        </w:rPr>
        <w:t>which have low densities across the whole landscape</w:t>
      </w:r>
      <w:r w:rsidR="005C712A" w:rsidRPr="00941F74">
        <w:rPr>
          <w:rFonts w:cstheme="minorHAnsi"/>
          <w:lang w:val="en-GB"/>
        </w:rPr>
        <w:t>)</w:t>
      </w:r>
      <w:r w:rsidRPr="00941F74">
        <w:rPr>
          <w:rFonts w:cstheme="minorHAnsi"/>
          <w:lang w:val="en-GB"/>
        </w:rPr>
        <w:t xml:space="preserve"> made it more difficult to establish a linear relationship between them than for the more abundant </w:t>
      </w:r>
      <w:r w:rsidR="00523727" w:rsidRPr="00941F74">
        <w:rPr>
          <w:rFonts w:cstheme="minorHAnsi"/>
          <w:lang w:val="en-GB"/>
        </w:rPr>
        <w:t>LCTs</w:t>
      </w:r>
      <w:r w:rsidRPr="00941F74">
        <w:rPr>
          <w:rFonts w:cstheme="minorHAnsi"/>
          <w:lang w:val="en-GB"/>
        </w:rPr>
        <w:t xml:space="preserve"> in the study area. </w:t>
      </w:r>
      <w:r w:rsidR="00825F70" w:rsidRPr="00941F74">
        <w:rPr>
          <w:rFonts w:cstheme="minorHAnsi"/>
          <w:lang w:val="en-GB"/>
        </w:rPr>
        <w:t xml:space="preserve">We thus expect BACKLAND to have difficulty representing the rarest and </w:t>
      </w:r>
      <w:r w:rsidR="00666504" w:rsidRPr="00941F74">
        <w:rPr>
          <w:rFonts w:cstheme="minorHAnsi"/>
          <w:lang w:val="en-GB"/>
        </w:rPr>
        <w:t xml:space="preserve">most fragmented </w:t>
      </w:r>
      <w:r w:rsidR="00523727" w:rsidRPr="00941F74">
        <w:rPr>
          <w:rFonts w:cstheme="minorHAnsi"/>
          <w:lang w:val="en-GB"/>
        </w:rPr>
        <w:t>LCTs</w:t>
      </w:r>
      <w:r w:rsidR="00666504" w:rsidRPr="00941F74">
        <w:rPr>
          <w:rFonts w:cstheme="minorHAnsi"/>
          <w:lang w:val="en-GB"/>
        </w:rPr>
        <w:t>. The ideal landscape on which this approach could be applied would be a land-cover mosaic with high equitability and aggregation indexes</w:t>
      </w:r>
      <w:r w:rsidR="00D77680" w:rsidRPr="00941F74">
        <w:rPr>
          <w:rFonts w:cstheme="minorHAnsi"/>
          <w:lang w:val="en-GB"/>
        </w:rPr>
        <w:t>, thus avoiding representation biases that disadvantage the sparsest or most fragmented LCTs</w:t>
      </w:r>
      <w:r w:rsidR="00666504" w:rsidRPr="00941F74">
        <w:rPr>
          <w:rFonts w:cstheme="minorHAnsi"/>
          <w:lang w:val="en-GB"/>
        </w:rPr>
        <w:t xml:space="preserve">. </w:t>
      </w:r>
      <w:r w:rsidRPr="00941F74">
        <w:rPr>
          <w:rFonts w:cstheme="minorHAnsi"/>
          <w:lang w:val="en-GB"/>
        </w:rPr>
        <w:t xml:space="preserve">Nevertheless, BACKLAND produced a land-cover map representing the </w:t>
      </w:r>
      <w:r w:rsidR="00110F69" w:rsidRPr="00941F74">
        <w:rPr>
          <w:rFonts w:cstheme="minorHAnsi"/>
          <w:lang w:val="en-GB"/>
        </w:rPr>
        <w:t xml:space="preserve">eight </w:t>
      </w:r>
      <w:r w:rsidRPr="00941F74">
        <w:rPr>
          <w:rFonts w:cstheme="minorHAnsi"/>
          <w:lang w:val="en-GB"/>
        </w:rPr>
        <w:t xml:space="preserve">targeted </w:t>
      </w:r>
      <w:r w:rsidR="00523727" w:rsidRPr="00941F74">
        <w:rPr>
          <w:rFonts w:cstheme="minorHAnsi"/>
          <w:lang w:val="en-GB"/>
        </w:rPr>
        <w:t>LCTs</w:t>
      </w:r>
      <w:r w:rsidRPr="00941F74">
        <w:rPr>
          <w:rFonts w:cstheme="minorHAnsi"/>
          <w:lang w:val="en-GB"/>
        </w:rPr>
        <w:t xml:space="preserve"> with a strong </w:t>
      </w:r>
      <w:r w:rsidR="00681F5E" w:rsidRPr="00941F74">
        <w:rPr>
          <w:rFonts w:cstheme="minorHAnsi"/>
          <w:lang w:val="en-GB"/>
        </w:rPr>
        <w:t>similarity with the reference map of 1993</w:t>
      </w:r>
      <w:r w:rsidR="00FE600A" w:rsidRPr="00941F74">
        <w:rPr>
          <w:rFonts w:cstheme="minorHAnsi"/>
          <w:lang w:val="en-GB"/>
        </w:rPr>
        <w:t xml:space="preserve"> (Average Kappa=0.65</w:t>
      </w:r>
      <w:r w:rsidR="00F0330D">
        <w:rPr>
          <w:rFonts w:cstheme="minorHAnsi"/>
          <w:lang w:val="en-GB"/>
        </w:rPr>
        <w:t>&gt;0.6</w:t>
      </w:r>
      <w:r w:rsidR="00E42EB3" w:rsidRPr="00941F74">
        <w:rPr>
          <w:rFonts w:cstheme="minorHAnsi"/>
          <w:lang w:val="en-GB"/>
        </w:rPr>
        <w:t xml:space="preserve">, </w:t>
      </w:r>
      <w:r w:rsidR="00E42EB3" w:rsidRPr="00941F74">
        <w:rPr>
          <w:rFonts w:cstheme="minorHAnsi"/>
          <w:lang w:val="en-GB"/>
        </w:rPr>
        <w:fldChar w:fldCharType="begin"/>
      </w:r>
      <w:r w:rsidR="000E0FBE">
        <w:rPr>
          <w:rFonts w:cstheme="minorHAnsi"/>
          <w:lang w:val="en-GB"/>
        </w:rPr>
        <w:instrText xml:space="preserve"> ADDIN ZOTERO_ITEM CSL_CITATION {"citationID":"pdkHG9Wx","properties":{"formattedCitation":"(Landis &amp; Koch, 1977)","plainCitation":"(Landis &amp; Koch, 1977)","dontUpdate":true,"noteIndex":0},"citationItems":[{"id":731,"uris":["http://zotero.org/users/10290022/items/CJJCU6AJ"],"itemData":{"id":731,"type":"article-journal","container-title":"Biometrics","DOI":"10.2307/2529310","ISSN":"0006341X","issue":"1","page":"159","title":"The Measurement of Observer Agreement for Categorical Data","URL":"https://www.jstor.org/stable/2529310?origin=crossref","volume":"33","author":[{"family":"Landis","given":"J. Richard"},{"family":"Koch","given":"Gary G."}],"accessed":{"date-parts":[["2018",5,18]]},"issued":{"date-parts":[["1977",3]]}}}],"schema":"https://github.com/citation-style-language/schema/raw/master/csl-citation.json"} </w:instrText>
      </w:r>
      <w:r w:rsidR="00E42EB3" w:rsidRPr="00941F74">
        <w:rPr>
          <w:rFonts w:cstheme="minorHAnsi"/>
          <w:lang w:val="en-GB"/>
        </w:rPr>
        <w:fldChar w:fldCharType="separate"/>
      </w:r>
      <w:r w:rsidR="00E42EB3" w:rsidRPr="00941F74">
        <w:rPr>
          <w:rFonts w:ascii="Calibri" w:hAnsi="Calibri" w:cs="Calibri"/>
          <w:lang w:val="en-US"/>
        </w:rPr>
        <w:t>Landis &amp; Koch, 1977)</w:t>
      </w:r>
      <w:r w:rsidR="00E42EB3" w:rsidRPr="00941F74">
        <w:rPr>
          <w:rFonts w:cstheme="minorHAnsi"/>
          <w:lang w:val="en-GB"/>
        </w:rPr>
        <w:fldChar w:fldCharType="end"/>
      </w:r>
      <w:r w:rsidRPr="00941F74">
        <w:rPr>
          <w:rFonts w:cstheme="minorHAnsi"/>
          <w:lang w:val="en-GB"/>
        </w:rPr>
        <w:t xml:space="preserve">, </w:t>
      </w:r>
      <w:r w:rsidR="009446A9" w:rsidRPr="00941F74">
        <w:rPr>
          <w:rFonts w:cstheme="minorHAnsi"/>
          <w:lang w:val="en-GB"/>
        </w:rPr>
        <w:t>attesting</w:t>
      </w:r>
      <w:r w:rsidRPr="00941F74">
        <w:rPr>
          <w:rFonts w:cstheme="minorHAnsi"/>
          <w:lang w:val="en-GB"/>
        </w:rPr>
        <w:t xml:space="preserve"> the potential of this approach for the reconstruction of past landscapes.</w:t>
      </w:r>
      <w:r w:rsidR="005A59AF" w:rsidRPr="00941F74">
        <w:rPr>
          <w:rFonts w:cstheme="minorHAnsi"/>
          <w:lang w:val="en-GB"/>
        </w:rPr>
        <w:t xml:space="preserve"> </w:t>
      </w:r>
      <w:r w:rsidR="004A7FD9" w:rsidRPr="00941F74">
        <w:rPr>
          <w:rFonts w:cstheme="minorHAnsi"/>
          <w:lang w:val="en-GB"/>
        </w:rPr>
        <w:t xml:space="preserve">Such precision in terms of nomenclature and spatial resolution together with simple and parsimonious working assumptions (1-6) make the BACKLAND method original and fully complementary to previous attempts </w:t>
      </w:r>
      <w:r w:rsidR="0053014C">
        <w:rPr>
          <w:rFonts w:cstheme="minorHAnsi"/>
          <w:lang w:val="en-GB"/>
        </w:rPr>
        <w:t>at</w:t>
      </w:r>
      <w:r w:rsidR="0053014C" w:rsidRPr="00941F74">
        <w:rPr>
          <w:rFonts w:cstheme="minorHAnsi"/>
          <w:lang w:val="en-GB"/>
        </w:rPr>
        <w:t xml:space="preserve"> </w:t>
      </w:r>
      <w:r w:rsidR="004A7FD9" w:rsidRPr="00941F74">
        <w:rPr>
          <w:rFonts w:cstheme="minorHAnsi"/>
          <w:lang w:val="en-GB"/>
        </w:rPr>
        <w:t xml:space="preserve">pollen-based landscape reconstructions. </w:t>
      </w:r>
    </w:p>
    <w:p w14:paraId="13462182" w14:textId="7EE963FE" w:rsidR="00FD56B0" w:rsidRPr="00941F74" w:rsidRDefault="004A7FD9">
      <w:pPr>
        <w:spacing w:line="480" w:lineRule="auto"/>
        <w:contextualSpacing/>
        <w:rPr>
          <w:rFonts w:cstheme="minorHAnsi"/>
          <w:lang w:val="en-GB"/>
        </w:rPr>
      </w:pPr>
      <w:r w:rsidRPr="00941F74">
        <w:rPr>
          <w:rFonts w:cstheme="minorHAnsi"/>
          <w:lang w:val="en-GB"/>
        </w:rPr>
        <w:lastRenderedPageBreak/>
        <w:t>In addition</w:t>
      </w:r>
      <w:r w:rsidR="00FD56B0" w:rsidRPr="00941F74">
        <w:rPr>
          <w:rFonts w:cstheme="minorHAnsi"/>
          <w:lang w:val="en-GB"/>
        </w:rPr>
        <w:t xml:space="preserve">, </w:t>
      </w:r>
      <w:r w:rsidR="00EF6029" w:rsidRPr="00941F74">
        <w:rPr>
          <w:rFonts w:cstheme="minorHAnsi"/>
          <w:lang w:val="en-GB"/>
        </w:rPr>
        <w:t xml:space="preserve">BACKLAND is designed to reconstruct past landscapes at a local scale but it is </w:t>
      </w:r>
      <w:r w:rsidRPr="00941F74">
        <w:rPr>
          <w:rFonts w:cstheme="minorHAnsi"/>
          <w:lang w:val="en-GB"/>
        </w:rPr>
        <w:t xml:space="preserve">technically </w:t>
      </w:r>
      <w:r w:rsidR="00EF6029" w:rsidRPr="00941F74">
        <w:rPr>
          <w:rFonts w:cstheme="minorHAnsi"/>
          <w:lang w:val="en-GB"/>
        </w:rPr>
        <w:t>not tied to the spatial scale of RSAPs. Indeed, as long as the application conditions are met (section 5.1.1), it could also be applied at a regional scale using REVEALS estimates from sites with overlapping regional vegetation reconstruction areas.</w:t>
      </w:r>
      <w:r w:rsidRPr="00941F74">
        <w:rPr>
          <w:rFonts w:cstheme="minorHAnsi"/>
          <w:lang w:val="en-GB"/>
        </w:rPr>
        <w:t xml:space="preserve"> </w:t>
      </w:r>
      <w:r w:rsidR="00FD56B0" w:rsidRPr="00941F74">
        <w:rPr>
          <w:rFonts w:cstheme="minorHAnsi"/>
          <w:lang w:val="en-GB"/>
        </w:rPr>
        <w:t xml:space="preserve">Although several large-scale approaches already exist to spatialize land-covers </w:t>
      </w:r>
      <w:r w:rsidR="0055090A" w:rsidRPr="00941F74">
        <w:rPr>
          <w:rFonts w:cstheme="minorHAnsi"/>
          <w:lang w:val="en-GB"/>
        </w:rPr>
        <w:t xml:space="preserve">at a continental scale based on 1°x1° </w:t>
      </w:r>
      <w:r w:rsidR="00FD56B0" w:rsidRPr="00941F74">
        <w:rPr>
          <w:rFonts w:cstheme="minorHAnsi"/>
          <w:lang w:val="en-GB"/>
        </w:rPr>
        <w:t>cells covered by REVEALS estimates</w:t>
      </w:r>
      <w:r w:rsidR="00C15E7E" w:rsidRPr="00941F74">
        <w:rPr>
          <w:rFonts w:cstheme="minorHAnsi"/>
          <w:lang w:val="en-GB"/>
        </w:rPr>
        <w:t xml:space="preserve"> </w:t>
      </w:r>
      <w:r w:rsidR="0055090A" w:rsidRPr="00941F74">
        <w:rPr>
          <w:rFonts w:cstheme="minorHAnsi"/>
          <w:lang w:val="en-GB"/>
        </w:rPr>
        <w:fldChar w:fldCharType="begin"/>
      </w:r>
      <w:r w:rsidR="003B1EC2">
        <w:rPr>
          <w:rFonts w:cstheme="minorHAnsi"/>
          <w:lang w:val="en-GB"/>
        </w:rPr>
        <w:instrText xml:space="preserve"> ADDIN ZOTERO_ITEM CSL_CITATION {"citationID":"IFKhxCbH","properties":{"formattedCitation":"(Dawson et al., 2018; Githumbi et al., 2022; Pirzamanbein et al., 2014; Trondman et al., 2015)","plainCitation":"(Dawson et al., 2018; Githumbi et al., 2022; Pirzamanbein et al., 2014; Trondman et al., 2015)","noteIndex":0},"citationItems":[{"id":1757,"uris":["http://zotero.org/users/10290022/items/KPMAGHGD"],"itemData":{"id":1757,"type":"article-journal","container-title":"Nature Plants","DOI":"10.22498/pages.26.1.34","page":"17001","title":"Finding the magnitude of human- induced Northern Hemisphere land-cover transformation between 6 and 0 . 2 ka BP","volume":"3","author":[{"family":"Dawson","given":"Andria"},{"family":"Cao","given":"X."},{"family":"Chaput","given":"M."},{"family":"Hopla","given":"E."},{"family":"Li","given":"F."},{"family":"Edwards","given":"M."},{"family":"Fyfe","given":"R."},{"family":"Gajewski","given":"K."},{"family":"Goring","given":"S.J."},{"family":"Herzschuh","given":"U."},{"family":"Mazier","given":"Florence"},{"family":"Sugita","given":"Shinya"},{"family":"Williams","given":"J.W."},{"family":"Xu","given":"Q."},{"family":"Gaillard","given":"M.-J."}],"issued":{"date-parts":[["2018"]]}}},{"id":3092,"uris":["http://zotero.org/users/10290022/items/MB4P4H4D"],"itemData":{"id":3092,"type":"article-journal","abstract":"Quantitative reconstructions of past land cover are necessary to determine the processes involved in climate-human-land-cover interactions. We present the first temporally continuous and most spatially extensive pollen-based land-cover reconstruction for Europe over the Holocene (last 11 700 cal yr BP). We describe how vegetation cover has been quantified from pollen records at a 1 • × 1 • spatial scale using the \"Regional Estimates of VEgetation Abundance from Large Sites\" (REVEALS) model. REVEALS calculates estimates of past regional vegetation cover in proportions or percentages. REVEALS has been applied to 1128 pollen records across Europe and part of the eastern Mediterranean-Black Sea-Caspian corridor (30-75 • N, 25 • W-50 • E) to reconstruct the percentage cover of 31 plant taxa assigned to 12 plant functional types (PFTs) and 3 land-cover types (LCTs). A new synthesis of relative pollen productivities (RPPs) for European plant taxa was performed for this reconstruction. It includes multiple RPP values (≥ 2 values) for 39 taxa and single values for 15 taxa Published by Copernicus Publications. 1582 E. Githumbi et al.: European pollen-based REVEALS land-cover reconstructions for the Holocene (total of 54 taxa). To illustrate this, we present distribution maps for five taxa (Calluna vulgaris, Cerealia type (t)., Picea abies, deciduous Quercus t. and evergreen Quercus t.) and three land-cover types (open land, OL; evergreen trees, ETs; and summer-green trees, STs) for eight selected time windows. The reliability of the REVEALS reconstructions and issues related to the interpretation of the results in terms of landscape openness and human-induced vegetation change are discussed. This is followed by a review of the current use of this reconstruction and its future potential utility and development. REVEALS data quality are primarily determined by pollen count data (pollen count and sample, pollen identification, and chronology) and site type and number (lake or bog, large or small, one site vs. multiple sites) used for REVEALS analysis (for each grid cell). A large number of sites with high-quality pollen count data will produce more reliable land-cover estimates with lower standard errors compared to a low number of sites with lower-quality pollen count data. The REVEALS data presented here can be downloaded from https://doi.org/10.1594/PANGAEA.937075 (Fyfe et al., 2022).","container-title":"Earth Syst. Sci. Data","DOI":"10.5194/essd-14-1581-2022","page":"1581-1619","title":"European pollen-based REVEALS land-cover reconstructions for the Holocene: methodology, mapping and potentials","URL":"https://doi.org/10.5194/essd-14-1581-2022","volume":"14","author":[{"family":"Githumbi","given":"Esther"},{"family":"Fyfe","given":"Ralph"},{"family":"Gaillard","given":"Marie-Jose"},{"family":"Trondman","given":"Anna-Kari"},{"family":"Mazier","given":"Florence"},{"family":"Nielsen","given":"Anne-Birgitte"},{"family":"Poska","given":"Anneli"},{"family":"Sugita","given":"Shinya"},{"family":"Woodbridge","given":"Jessie"},{"family":"Azuara","given":"Julien"},{"family":"Feurdean","given":"Angelica"},{"family":"Grindean","given":"Roxana"},{"family":"Lebreton","given":"Vincent"},{"family":"Marquer","given":"Laurent"},{"family":"Nebout-Combourieu","given":"Nathalie"},{"family":"Stančikaitė","given":"Miglė"},{"family":"Tanţău","given":"Ioan"},{"family":"Tonkov","given":"Spassimir"},{"family":"Shumilovskikh","given":"Lyudmila"},{"family":"LandClimII Data contributors","given":""}],"accessed":{"date-parts":[["2022",6,8]]},"issued":{"date-parts":[["2022"]]}}},{"id":2575,"uris":["http://zotero.org/users/10290022/items/KJXHAPQI"],"itemData":{"id":2575,"type":"article-journal","abstract":"Reliable estimates of past land cover are critical for assessing potential effects of anthropogenic land-cover changes on past earth surface-climate feedbacks and landscape complexity. Fossil pollen records from lakes and bogs have provided important information on past natural and human-induced vegetation cover. However, those records provide only point estimates of past land cover, and not the spatially continuous maps at regional and sub-continental scales needed for climate modelling.We propose a set of statistical models that create spatially continuous maps of past land cover by combining two data sets: 1) pollen-based point estimates of past land cover (from the REVEALS model) and 2) spatially continuous estimates of past land cover, obtained by combining simulated potential vegetation (from LPJ-GUESS) with an anthropogenic land-cover change scenario (KK10). The proposed models rely on statistical methodology for compositional data and use Gaussian Markov Random Fields to model spatial dependencies in the data.Land-cover reconstructions are presented for three time windows in Europe: 0.05, 0.2, and 6. ka years before present (BP). The models are evaluated through cross-validation, deviance information criteria and by comparing the reconstruction of the 0.05. ka time window to the present-day land-cover data compiled by the European Forest Institute (EFI). For 0.05. ka, the proposed models provide reconstructions that are closer to the EFI data than either the REVEALS- or LPJ-GUESS/KK10-based estimates; thus the statistical combination of the two estimates improves the reconstruction. The reconstruction by the proposed models for 0.2. ka is also good. For 6. ka, however, the large differences between the REVEALS- and LPJ-GUESS/KK10-based estimates reduce the reliability of the proposed models. Possible reasons for the increased differences between REVEALS and LPJ-GUESS/KK10 for older time periods and further improvement of the proposed models are discussed.","container-title":"Ecological Complexity","DOI":"10.1016/j.ecocom.2014.09.005","ISSN":"1476945X","note":"ISBN: 1476-945x","page":"127-141","title":"Creating spatially continuous maps of past land cover from point estimates: A new statistical approach applied to pollen data","volume":"20","author":[{"family":"Pirzamanbein","given":"Behnaz"},{"family":"Lindström","given":"Johan"},{"family":"Poska","given":"Anneli"},{"family":"Sugita","given":"Shinya"},{"family":"Trondman","given":"Anna-Kari"},{"family":"Fyfe","given":"Ralph"},{"family":"Mazier","given":"Florence"},{"family":"Nielsen","given":"Anne B."},{"family":"Kaplan","given":"Jed O."},{"family":"Bjune","given":"Anne E."},{"family":"Birks","given":"H. John B."},{"family":"Giesecke","given":"Thomas"},{"family":"Kangur","given":"Mikhel"},{"family":"Latałowa","given":"Małgorzata"},{"family":"Marquer","given":"Laurent"},{"family":"Smith","given":"Benjamin"},{"family":"Gaillard","given":"Marie José"}],"issued":{"date-parts":[["2014"]]}}},{"id":594,"uris":["http://zotero.org/users/10290022/items/DELSF49R"],"itemData":{"id":594,"type":"article-journal","DOI":"10.1111/gcb.12737","page":"676-697","title":"Pollen-based quantitative reconstructions of Holocene regional vegetation cover ( plant-functional types and land-cover types ) in Europe suitable for climate modelling","volume":"46","author":[{"family":"Trondman","given":"A"},{"family":"Gaillard","given":"M"},{"family":"Mazier","given":"Florence"},{"family":"Sugita","given":"Shinya"},{"family":"Fyfe","given":"R"}],"issued":{"date-parts":[["2015"]]}}}],"schema":"https://github.com/citation-style-language/schema/raw/master/csl-citation.json"} </w:instrText>
      </w:r>
      <w:r w:rsidR="0055090A" w:rsidRPr="00941F74">
        <w:rPr>
          <w:rFonts w:cstheme="minorHAnsi"/>
          <w:lang w:val="en-GB"/>
        </w:rPr>
        <w:fldChar w:fldCharType="separate"/>
      </w:r>
      <w:r w:rsidR="003B1EC2" w:rsidRPr="003B1EC2">
        <w:rPr>
          <w:rFonts w:ascii="Calibri" w:hAnsi="Calibri" w:cs="Calibri"/>
          <w:lang w:val="en-US"/>
        </w:rPr>
        <w:t>(Dawson et al., 2018; Githumbi et al., 2022; Pirzamanbein et al., 2014; Trondman et al., 2015)</w:t>
      </w:r>
      <w:r w:rsidR="0055090A" w:rsidRPr="00941F74">
        <w:rPr>
          <w:rFonts w:cstheme="minorHAnsi"/>
          <w:lang w:val="en-GB"/>
        </w:rPr>
        <w:fldChar w:fldCharType="end"/>
      </w:r>
      <w:r w:rsidR="00FD56B0" w:rsidRPr="00941F74">
        <w:rPr>
          <w:rFonts w:cstheme="minorHAnsi"/>
          <w:lang w:val="en-GB"/>
        </w:rPr>
        <w:t xml:space="preserve">, our approach should be able to focus on intermediate spatial scales within REVEALS regional reconstruction areas. Developed to address the need for local landscape reconstruction but theoretically applicable at a regional scale, this approach is promising for the comparison of land-cover changes and dynamics at different spatial scales. This multiscale approach is essential to answer </w:t>
      </w:r>
      <w:r w:rsidR="0053014C">
        <w:rPr>
          <w:rFonts w:cstheme="minorHAnsi"/>
          <w:lang w:val="en-GB"/>
        </w:rPr>
        <w:t>landscape</w:t>
      </w:r>
      <w:r w:rsidR="0053014C" w:rsidRPr="00941F74">
        <w:rPr>
          <w:rFonts w:cstheme="minorHAnsi"/>
          <w:lang w:val="en-GB"/>
        </w:rPr>
        <w:t xml:space="preserve"> </w:t>
      </w:r>
      <w:r w:rsidR="00FD56B0" w:rsidRPr="00941F74">
        <w:rPr>
          <w:rFonts w:cstheme="minorHAnsi"/>
          <w:lang w:val="en-GB"/>
        </w:rPr>
        <w:t xml:space="preserve">and biodiversity management questions </w:t>
      </w:r>
      <w:r w:rsidR="00C15E7E" w:rsidRPr="00941F74">
        <w:rPr>
          <w:rFonts w:cstheme="minorHAnsi"/>
          <w:lang w:val="en-GB"/>
        </w:rPr>
        <w:fldChar w:fldCharType="begin"/>
      </w:r>
      <w:r w:rsidR="003B1EC2">
        <w:rPr>
          <w:rFonts w:cstheme="minorHAnsi"/>
          <w:lang w:val="en-GB"/>
        </w:rPr>
        <w:instrText xml:space="preserve"> ADDIN ZOTERO_ITEM CSL_CITATION {"citationID":"XW708GLV","properties":{"formattedCitation":"(Campagnaro et al., 2017; Chen et al., 2005; Dray et al., 2012; Gaucherel et al., 2016a; Tscharntke et al., 2012; Viers et al., 2012)","plainCitation":"(Campagnaro et al., 2017; Chen et al., 2005; Dray et al., 2012; Gaucherel et al., 2016a; Tscharntke et al., 2012; Viers et al., 2012)","noteIndex":0},"citationItems":[{"id":2788,"uris":["http://zotero.org/users/10290022/items/C9QZM8SM"],"itemData":{"id":2788,"type":"article-journal","abstract":"The abandonment of traditional anthropogenic activities is an important driver shaping landscape patterns. Therefore, multi-scale pattern analysis over time is needed to identify appropriate scales for biodiversity conservation and monitoring of abandoned landscapes. We compared spatial and temporal changes in a pair of alpine watersheds in Italy (Cajada and Tovanella), which are similar in size, geo-climatic conditions, and land-use histories; but have had divergent anthropogenic abandonment processes since the 1950s. We hypothesize that this divergence has led to corresponding dissimilarities in multi-scale patterns of landscape change. To examine this hypothesis, we analyzed land cover maps from three years (1954, 1980/83, 2006) and described the changes using transition matrices. For each year and watershed, landscape heterogeneity and a set of class-level metrics (i.e. percentage of the landscape, area-weighted mean patch size, patch density, area-weighted mean shape index, edge density, and aggregation index) were also measured at different scales using random sampling techniques, and the results were summarized by using scalograms. Woodland expansion occurred mainly at the expenses of grasslands, meadows, and shrublands. These changes were greater during the first time-period (1954-80/83) than in the more recent period (1980/83-2006), with a mean annual value that decreased from +5.18 to +1.33 ha/year and from +4.08 to +1.96 ha/year in the abandoned and managed watersheds, respectively. Landscape heterogeneity decreased over time with a similar pattern in both watersheds, which indicates a general process of homogenization. Management regime affected the spatial-scale response of class-level metrics; these metrics showed a variety of multi-scalar responses, which were not always consistent over time and under different management regimes. When considering the response of the indices across spatial-scales for both watersheds, certain historical curves showed a scale break, representing a significant change in the shape and slope of the curve (i.e. scale divergence). The presence of scale breaks in the scalograms can potentially reveal important thresholds for biodiversity. For example, grassland and meadow patch density at small spatial scales (&lt;200 m radius), which was found to be important for protected butterfly species, had a greater reduction over time in the managed watershed when compared to the abandoned watershed. In conclusion, the findings of this study indicate that there is good potential for understanding changes in landscape patterns under different management abandonment regimes by combining spatial and temporal analysis of class-level metrics.","container-title":"Ecological Indicators","DOI":"10.1016/j.ecolind.2016.11.017","ISSN":"1470160X","note":"publisher: Elsevier B.V.","page":"147-159","title":"Multi-scale analysis of alpine landscapes with different intensities of abandonment reveals similar spatial pattern changes: Implications for habitat conservation","volume":"74","author":[{"family":"Campagnaro","given":"Thomas"},{"family":"Frate","given":"Ludovico"},{"family":"Carranza","given":"Maria Laura"},{"family":"Sitzia","given":"Tommaso"}],"accessed":{"date-parts":[["2021",2,23]]},"issued":{"date-parts":[["2017",3,1]]}}},{"id":3280,"uris":["http://zotero.org/users/10290022/items/LT59TKZZ"],"itemData":{"id":3280,"type":"article-journal","abstract":"Monitoring multiple species and their interactions at multiple scales is critical for any useful habitat conservation plans and for adaptive ecosystem management programs. Viability of single species can be understood only in the context of ecological interactions with other species at multiple spatial and temporal scales. Here, we present a case study of the spatial and temporal dynamics for two perennial grasses, Bouteloua eriopoda and B. gracilis, by using long-term, high resolution transect data from 1989 to 1998 at two sites in the Sevilleta National Wildlife Refuge (Deep Well and Five Points) in central New Mexico, USA. Information entropy was used to describe the spatial distribution of each species and the fractal dimension of information entropy was used to characterize the complexity of species dynamics across scales. When considered individually, the spatial distribution of each species was scale-invariant. However, species joint occurrences changed as scale of resolution increased at both sites. Interactions changed at scales less than 3.2 m at Deep Well and less than 1.6 m at Five Points. Across years, the interactions of these species at Deep Well were signiﬁcantly diﬀerent in 1989 from all other years. Our results argue that monitoring multiple species at multiple spatial and temporal scales is necessary to better understand multispecies interactions and community dynamics both of which have important conservation implications under changing environmental conditions.","container-title":"Plant Ecology","DOI":"10.1007/s11258-004-6802-z","ISSN":"1385-0237, 1573-5052","issue":"2","journalAbbreviation":"Plant Ecol","language":"en","page":"149-154","source":"DOI.org (Crossref)","title":"Multiscale monitoring of a multispecies case study: two grass species at Sevilleta","title-short":"Multiscale monitoring of a multispecies case study","URL":"http://link.springer.com/10.1007/s11258-004-6802-z","volume":"179","author":[{"family":"Chen","given":"Xiongwen"},{"family":"Li","given":"Bai-lian"},{"family":"Collins","given":"Scott L."}],"accessed":{"date-parts":[["2023",2,4]]},"issued":{"date-parts":[["2005",8]]}}},{"id":3274,"uris":["http://zotero.org/users/10290022/items/Q62EU2LD"],"itemData":{"id":3274,"type":"article-journal","abstract":"Species spatial distributions are the result of population demography, behavioral traits, and species interactions in spatially heterogeneous environmental conditions. Hence the composition of species assemblages is an integrative response variable, and its variability can be explained by the complex interplay among several structuring factors. The thorough analysis of spatial variation in species assemblages may help infer processes shaping ecological communities. We suggest that ecological studies would benefit from the combined use of the classical statistical models of community composition data, such as constrained or unconstrained multivariate analyses of site-by-species abundance tables, with rapidly emerging and diversifying methods of spatial pattern analysis. Doing so allows one to deal with spatially explicit ecological models of beta diversity in a biogeographic context through the multiscale analysis of spatial patterns in original species data tables, including spatial characterization of fitted or residual variation from environmental models. We summarize here the recent progress for specifying spatial features through spatial weighting matrices and spatial eigenfunctions in order to define spatially constrained or scale-explicit multivariate analyses. Through a worked example on tropical tree communities, we also show the potential of the overall approach to identify significant residual spatial patterns that could arise from the omission of important unmeasured explanatory variables or processes.","container-title":"Ecological Monographs","DOI":"10.1890/11-1183.1","ISSN":"1557-7015","issue":"3","language":"en","note":"_eprint: https://onlinelibrary.wiley.com/doi/pdf/10.1890/11-1183.1","page":"257-275","source":"Wiley Online Library","title":"Community ecology in the age of multivariate multiscale spatial analysis","URL":"https://onlinelibrary.wiley.com/doi/abs/10.1890/11-1183.1","volume":"82","author":[{"family":"Dray","given":"S."},{"family":"Pélissier","given":"R."},{"family":"Couteron","given":"P."},{"family":"Fortin","given":"M.-J."},{"family":"Legendre","given":"P."},{"family":"Peres-Neto","given":"P. R."},{"family":"Bellier","given":"E."},{"family":"Bivand","given":"R."},{"family":"Blanchet","given":"F. G."},{"family":"De Cáceres","given":"M."},{"family":"Dufour","given":"A.-B."},{"family":"Heegaard","given":"E."},{"family":"Jombart","given":"T."},{"family":"Munoz","given":"F."},{"family":"Oksanen","given":"J."},{"family":"Thioulouse","given":"J."},{"family":"Wagner","given":"H. H."}],"accessed":{"date-parts":[["2023",2,4]]},"issued":{"date-parts":[["2012"]]}}},{"id":629,"uris":["http://zotero.org/users/10290022/items/FE8VWKEL"],"itemData":{"id":629,"type":"article-journal","abstract":"The greater one-horned rhinoceros (Rhinoceros unicornis) is a flagship species, and yet is poorly known unlike its African cousin. The species future is now under a growing threat, judging by the prospect of a legalization of the horn trade that has been the subject of recent debate, coupled with the fragmentation of the animal's habitat. In this study, we analyze the rhino habitat and assess its dynamics in the Kaziranga National Park (KNP), Assam, India. To compensate for the limited size of the data available, we use some numerical models and propose some original spatial analyses and indicators. Our findings point to a healthy and increasing rhino population in a density-dependent scenario. An increase of at least 30% in the rhino population is expected in the coming twelve years, mainly as a result of the effective implementation of wildlife protection laws in the country. Kaziranga's grasslands have been quite stable in the past (7% between years, in average, and less than 19% at most), and are expected to remain so in the near future, especially in the core area of the KNP. In the absence of a detailed suitability map and known carrying-capacity values, we identified the areas most favoured by the rhinos, and developed a so-called “preference map”. We conclude by stressing the need to realistically combine the existing conservation strategies while increasing the monitoring effort on the species distribution.","container-title":"Ecological Indicators","DOI":"10.1016/j.ecolind.2016.01.023","ISSN":"1470160X","note":"publisher: Elsevier Ltd","page":"55-64","title":"Assessing and managing the rising rhino population in Kaziranga (India)","URL":"http://dx.doi.org/10.1016/j.ecolind.2016.01.023","volume":"66","author":[{"family":"Gaucherel","given":"C."},{"family":"Neha","given":"Pandey"},{"family":"Roshan","given":"Puranik"},{"family":"Uttam","given":"Saika"},{"family":"Rajendra","given":"Garawad"}],"issued":{"date-parts":[["2016"]]}}},{"id":2075,"uris":["http://zotero.org/users/10290022/items/LI8WF5XC"],"itemData":{"id":2075,"type":"article-journal","container-title":"Biological Reviews","DOI":"10.1111/j.1469-185X.2011.00216.x","page":"661-685","title":"Landscape moderation of biodiversity patterns and processes - eight hypotheses","volume":"87","author":[{"family":"Tscharntke","given":"Teja"},{"family":"Tylianakis","given":"Jason M"},{"family":"Rand","given":"Tatyana A"},{"family":"Didham","given":"Raphael K"},{"family":"Fahrig","given":"Lenore"},{"family":"Bengtsson","given":"Janne"},{"family":"Clough","given":"Yann"},{"family":"Crist","given":"Thomas O"},{"family":"Dormann","given":"Carsten F"},{"family":"Ewers","given":"Robert M"},{"family":"Fr","given":"Jochen"},{"family":"Holt","given":"Robert D"},{"family":"Klein","given":"Alexandra M"},{"family":"Kleijn","given":"David"},{"family":"Kremen","given":"Claire"},{"family":"Doug","given":"A"},{"family":"Laurance","given":"William"},{"family":"Lindenmayer","given":"David"},{"family":"Scherber","given":"Christoph"},{"family":"Sodhi","given":"Navjot"},{"family":"Steffan-dewenter","given":"Ingolf"},{"family":"Thies","given":"Carsten"},{"family":"Putten","given":"Wim H","non-dropping-particle":"van der"},{"family":"Westphal","given":"Catrin"}],"issued":{"date-parts":[["2012"]]}}},{"id":3279,"uris":["http://zotero.org/users/10290022/items/DJNL4MQ2"],"itemData":{"id":3279,"type":"article-journal","abstract":"Planning riparian restoration to resemble historic reference conditions requires an understanding of both local and regional patterns of plant species diversity. Thus, understanding species distributions at multiple spatial scales is essential to improve restoration planting success, to enhance long-term ecosystem functioning, and to match restoration planting designs with historic biogeographic distributions. To inform restoration planning, we examined the biogeographic patterns of riparian plant diversity at local and regional scales within a major western U.S.A. drainage, California's Sacramento—San Joaquin Valley. We analyzed patterns of species richness and complementarity (β-diversity) across two scales: the watershed scale and the floodplain scale. At the watershed scale, spatial patterns of native riparian richness were driven by herbaceous species, whereas woody species were largely cosmopolitan across the nearly 38,000 km2 study area. At the floodplain scale, riparian floras reflected species richness and dissimilarity patterns related to hydrological and disturbance-driven successional sequences. These findings reinforce the importance of concurrently evaluating both local and regional processes that promote species diversity and distribution of native riparian flora. Furthermore, as restoration activities become more prevalent across the landscape, strategies for restoration outcomes should emulate the patterns of species diversity and biogeographic distributions found at regional scales.","container-title":"Restoration Ecology","DOI":"10.1111/j.1526-100X.2011.00787.x","ISSN":"1526-100X","issue":"2","language":"en","note":"_eprint: https://onlinelibrary.wiley.com/doi/pdf/10.1111/j.1526-100X.2011.00787.x","page":"160-169","source":"Wiley Online Library","title":"Multiscale Patterns of Riparian Plant Diversity and Implications for Restoration","URL":"https://onlinelibrary.wiley.com/doi/abs/10.1111/j.1526-100X.2011.00787.x","volume":"20","author":[{"family":"Viers","given":"Joshua H."},{"family":"Fremier","given":"Alexander K."},{"family":"Hutchinson","given":"Rachel A."},{"family":"Quinn","given":"James F."},{"family":"Thorne","given":"James H."},{"family":"Vaghti","given":"Mehrey G."}],"accessed":{"date-parts":[["2023",2,4]]},"issued":{"date-parts":[["2012"]]}}}],"schema":"https://github.com/citation-style-language/schema/raw/master/csl-citation.json"} </w:instrText>
      </w:r>
      <w:r w:rsidR="00C15E7E" w:rsidRPr="00941F74">
        <w:rPr>
          <w:rFonts w:cstheme="minorHAnsi"/>
          <w:lang w:val="en-GB"/>
        </w:rPr>
        <w:fldChar w:fldCharType="separate"/>
      </w:r>
      <w:r w:rsidR="003B1EC2" w:rsidRPr="003B1EC2">
        <w:rPr>
          <w:rFonts w:ascii="Calibri" w:hAnsi="Calibri" w:cs="Calibri"/>
          <w:lang w:val="en-US"/>
        </w:rPr>
        <w:t>(Campagnaro et al., 2017; Chen et al., 2005; Dray et al., 2012; Gaucherel et al., 2016a; Tscharntke et al., 2012; Viers et al., 2012)</w:t>
      </w:r>
      <w:r w:rsidR="00C15E7E" w:rsidRPr="00941F74">
        <w:rPr>
          <w:rFonts w:cstheme="minorHAnsi"/>
          <w:lang w:val="en-GB"/>
        </w:rPr>
        <w:fldChar w:fldCharType="end"/>
      </w:r>
      <w:r w:rsidR="00FD56B0" w:rsidRPr="00941F74">
        <w:rPr>
          <w:rFonts w:cstheme="minorHAnsi"/>
          <w:lang w:val="en-GB"/>
        </w:rPr>
        <w:t>, and can target a specific case-study and its associated local managers, as well as wider areas managed by public policies.</w:t>
      </w:r>
    </w:p>
    <w:p w14:paraId="2432F2BE" w14:textId="7E1986C5" w:rsidR="006E2FE8" w:rsidRPr="00941F74" w:rsidRDefault="006E2FE8">
      <w:pPr>
        <w:spacing w:line="480" w:lineRule="auto"/>
        <w:rPr>
          <w:rFonts w:cstheme="minorHAnsi"/>
          <w:lang w:val="en-GB"/>
        </w:rPr>
      </w:pPr>
      <w:r w:rsidRPr="00941F74">
        <w:rPr>
          <w:rFonts w:cstheme="minorHAnsi"/>
          <w:lang w:val="en-GB"/>
        </w:rPr>
        <w:t xml:space="preserve">Finally, uncertainties arising from both the datasets used </w:t>
      </w:r>
      <w:r w:rsidRPr="00941F74">
        <w:rPr>
          <w:lang w:val="en-US"/>
        </w:rPr>
        <w:t xml:space="preserve">(botanical data, LOVE estimates, maps) </w:t>
      </w:r>
      <w:r w:rsidRPr="00941F74">
        <w:rPr>
          <w:rFonts w:cstheme="minorHAnsi"/>
          <w:lang w:val="en-GB"/>
        </w:rPr>
        <w:t xml:space="preserve">and the methods employed </w:t>
      </w:r>
      <w:r w:rsidRPr="00941F74">
        <w:rPr>
          <w:lang w:val="en-US"/>
        </w:rPr>
        <w:t xml:space="preserve">(PDFs, linear models) </w:t>
      </w:r>
      <w:r w:rsidRPr="00941F74">
        <w:rPr>
          <w:rFonts w:cstheme="minorHAnsi"/>
          <w:lang w:val="en-GB"/>
        </w:rPr>
        <w:t xml:space="preserve">are present at each stage of the learning process and will accumulate when applying BACKLAND </w:t>
      </w:r>
      <w:r w:rsidR="00C15E7E" w:rsidRPr="00941F74">
        <w:rPr>
          <w:rFonts w:cstheme="minorHAnsi"/>
          <w:lang w:val="en-GB"/>
        </w:rPr>
        <w:t>on</w:t>
      </w:r>
      <w:r w:rsidRPr="00941F74">
        <w:rPr>
          <w:rFonts w:cstheme="minorHAnsi"/>
          <w:lang w:val="en-GB"/>
        </w:rPr>
        <w:t xml:space="preserve"> past</w:t>
      </w:r>
      <w:r w:rsidR="00C15E7E" w:rsidRPr="00941F74">
        <w:rPr>
          <w:rFonts w:cstheme="minorHAnsi"/>
          <w:lang w:val="en-GB"/>
        </w:rPr>
        <w:t xml:space="preserve"> time-windows</w:t>
      </w:r>
      <w:r w:rsidRPr="00941F74">
        <w:rPr>
          <w:rFonts w:cstheme="minorHAnsi"/>
          <w:lang w:val="en-GB"/>
        </w:rPr>
        <w:t>. This methodological development should be completed by an uncertainty propagation analysis in order to be able to assess the uncertainty of the estimated land-cover maps.</w:t>
      </w:r>
    </w:p>
    <w:p w14:paraId="2B55A51E" w14:textId="6B7F7661" w:rsidR="001B64EB" w:rsidRPr="00941F74" w:rsidRDefault="003B21C4">
      <w:pPr>
        <w:pStyle w:val="Titre2"/>
        <w:spacing w:line="480" w:lineRule="auto"/>
        <w:rPr>
          <w:rFonts w:asciiTheme="minorHAnsi" w:hAnsiTheme="minorHAnsi" w:cstheme="minorHAnsi"/>
          <w:sz w:val="22"/>
          <w:szCs w:val="22"/>
          <w:lang w:val="en-GB"/>
        </w:rPr>
      </w:pPr>
      <w:r w:rsidRPr="00941F74">
        <w:rPr>
          <w:rFonts w:asciiTheme="minorHAnsi" w:hAnsiTheme="minorHAnsi" w:cstheme="minorHAnsi"/>
          <w:sz w:val="22"/>
          <w:szCs w:val="22"/>
          <w:lang w:val="en-US"/>
        </w:rPr>
        <w:t>5.2</w:t>
      </w:r>
      <w:r w:rsidRPr="00941F74">
        <w:rPr>
          <w:rFonts w:asciiTheme="minorHAnsi" w:hAnsiTheme="minorHAnsi" w:cstheme="minorHAnsi"/>
          <w:sz w:val="22"/>
          <w:szCs w:val="22"/>
          <w:lang w:val="en-GB"/>
        </w:rPr>
        <w:t xml:space="preserve">. </w:t>
      </w:r>
      <w:r w:rsidR="00C23D0D" w:rsidRPr="00941F74">
        <w:rPr>
          <w:rFonts w:asciiTheme="minorHAnsi" w:hAnsiTheme="minorHAnsi" w:cstheme="minorHAnsi"/>
          <w:sz w:val="22"/>
          <w:szCs w:val="22"/>
          <w:lang w:val="en-GB"/>
        </w:rPr>
        <w:t>Contributions to environmental sciences</w:t>
      </w:r>
    </w:p>
    <w:p w14:paraId="5A364A48" w14:textId="5B0B6D24" w:rsidR="005A3A32" w:rsidRPr="00941F74" w:rsidRDefault="003D36C3">
      <w:pPr>
        <w:spacing w:line="480" w:lineRule="auto"/>
        <w:contextualSpacing/>
        <w:rPr>
          <w:rFonts w:cstheme="minorHAnsi"/>
          <w:lang w:val="en-US"/>
        </w:rPr>
      </w:pPr>
      <w:r w:rsidRPr="00941F74">
        <w:rPr>
          <w:lang w:val="en-US"/>
        </w:rPr>
        <w:t xml:space="preserve">Based on LOVE estimates of local vegetation composition, using a combination of simple probabilistic and statistical tools, and </w:t>
      </w:r>
      <w:r w:rsidR="0053014C">
        <w:rPr>
          <w:lang w:val="en-US"/>
        </w:rPr>
        <w:t>relying</w:t>
      </w:r>
      <w:r w:rsidR="0053014C" w:rsidRPr="00941F74">
        <w:rPr>
          <w:lang w:val="en-US"/>
        </w:rPr>
        <w:t xml:space="preserve"> </w:t>
      </w:r>
      <w:r w:rsidRPr="00941F74">
        <w:rPr>
          <w:lang w:val="en-US"/>
        </w:rPr>
        <w:t>on reasonable assumptions, t</w:t>
      </w:r>
      <w:r w:rsidR="0060724C" w:rsidRPr="00941F74">
        <w:rPr>
          <w:lang w:val="en-US"/>
        </w:rPr>
        <w:t>he BACKLAND method represents a new way of exploring past landscapes</w:t>
      </w:r>
      <w:r w:rsidR="0053014C">
        <w:rPr>
          <w:lang w:val="en-US"/>
        </w:rPr>
        <w:t xml:space="preserve"> that is</w:t>
      </w:r>
      <w:r w:rsidR="0060724C" w:rsidRPr="00941F74">
        <w:rPr>
          <w:lang w:val="en-US"/>
        </w:rPr>
        <w:t xml:space="preserve"> complementary to existing </w:t>
      </w:r>
      <w:r w:rsidRPr="00941F74">
        <w:rPr>
          <w:lang w:val="en-US"/>
        </w:rPr>
        <w:t>approaches</w:t>
      </w:r>
      <w:r w:rsidR="0060724C" w:rsidRPr="00941F74">
        <w:rPr>
          <w:lang w:val="en-US"/>
        </w:rPr>
        <w:t xml:space="preserve">. Pollen grain dispersal/deposition models have been used on several occasions in landscape reconstruction approaches, in particular via landscape multiple </w:t>
      </w:r>
      <w:r w:rsidR="0053014C">
        <w:rPr>
          <w:lang w:val="en-US"/>
        </w:rPr>
        <w:t>scenarios</w:t>
      </w:r>
      <w:r w:rsidR="0053014C" w:rsidRPr="00941F74">
        <w:rPr>
          <w:lang w:val="en-US"/>
        </w:rPr>
        <w:t xml:space="preserve"> </w:t>
      </w:r>
      <w:r w:rsidR="0060724C" w:rsidRPr="00941F74">
        <w:rPr>
          <w:lang w:val="en-US"/>
        </w:rPr>
        <w:t>based on vegetation placement rules</w:t>
      </w:r>
      <w:r w:rsidR="005E6B69" w:rsidRPr="00941F74">
        <w:rPr>
          <w:lang w:val="en-US"/>
        </w:rPr>
        <w:t>. But i</w:t>
      </w:r>
      <w:r w:rsidR="0060724C" w:rsidRPr="00941F74">
        <w:rPr>
          <w:lang w:val="en-US"/>
        </w:rPr>
        <w:t>n these cases, simulated pollen data are compared to sampled pollen data and the fit of the two is used to assess the likelihood of the simulated landscapes (MSA</w:t>
      </w:r>
      <w:r w:rsidR="00DE24EE" w:rsidRPr="00941F74">
        <w:rPr>
          <w:lang w:val="en-US"/>
        </w:rPr>
        <w:t xml:space="preserve">, </w:t>
      </w:r>
      <w:r w:rsidR="00DE24EE" w:rsidRPr="00941F74">
        <w:rPr>
          <w:lang w:val="en-US"/>
        </w:rPr>
        <w:fldChar w:fldCharType="begin"/>
      </w:r>
      <w:r w:rsidR="000E0FBE">
        <w:rPr>
          <w:lang w:val="en-US"/>
        </w:rPr>
        <w:instrText xml:space="preserve"> ADDIN ZOTERO_ITEM CSL_CITATION {"citationID":"zEFS7GVB","properties":{"formattedCitation":"(Bunting et al., 2018; Bunting &amp; Middleton, 2009)","plainCitation":"(Bunting et al., 2018; Bunting &amp; Middleton, 2009)","dontUpdate":true,"noteIndex":0},"citationItems":[{"id":2700,"uris":["http://zotero.org/users/10290022/items/7NQWXWUM"],"itemData":{"id":2700,"type":"article-journal","abstract":"Pollen records contain a wide range of information about past land cover, but translation from the pollen diagram to other formats remains a challenge. In this paper, we present LandPolFlow, a software package enabling Multiple Scenario Approach (MSA) based land cover reconstruction from pollen records for specific landscapes. It has two components: a basic Geographic Information System which takes grids of landscape constraints (e.g. topography, geology) and generates possible ‘scenarios’ of past land cover using a combination of probabilistic and deterministic placement rules to distribute defined plant communities within the landscape, and a pollen dispersal and deposition model which simulates pollen loading at specified points within each scenario and compares that statistically with actual pollen assemblages from the same location. Goodness of fit statistics from multiple pollen site locations are used to identify which scenarios are likely reconstructions of past land cover. We apply this approach to two case studies of Neolithisation in Britain, the first from the Somerset Levels and the second from Mainland, Orkney. Both landscapes contain significant evidence of Neolithic activity, but present contrasting contexts. In Somerset, wet-preserved Neolithic remains such as trackways are abundant, but little dry land settlement archaeology is known, and the pre-Neolithic landscape was extensively wooded. In Orkney, the Neolithic archaeology includes domestic and monumental stone-built structures forming a UNESCO World Heritage Site, and the pre-Neolithic landscape was largely treeless. Existing pollen records were collated from both landscapes and correlated within a new age model framework (presented elsewhere). This allowed pollen data to be grouped into 200 year periods, or “timeslices”, for reconstruction of land cover through time using the MSA. Reconstruction suggests that subtle but clear and persistent impacts of Neolithisation on land cover occurred in both landscapes, with no reduction in impact during periods when archaeological records suggest lower activity levels. By applying the methodology to specific landscapes, we critically evaluate the strengths and weaknesses and identify potential remedies, which we then expand into consideration of how simulation can be incorporated into palynological research practice. We argue that the MSA deserves a place within the palynologist’s standard tool kit.","container-title":"Frontiers in Ecology and Evolution","DOI":"10.3389/fevo.2018.00036","ISSN":"2296-701X","issue":"April","page":"1-20","title":"Maps From Mud — Using the Multiple Scenario Approach to Reconstruct Land Cover Dynamics From Pollen Records : A Case Study of Two Neolithic Landscapes","URL":"http://journal.frontiersin.org/article/10.3389/fevo.2018.00036/full","volume":"6","author":[{"family":"Bunting","given":"M. Jane"},{"family":"Farrell","given":"Michelle"},{"family":"Bayliss","given":"Alex"},{"family":"Marshall","given":"Peter"},{"family":"Whittle","given":"Alasdair"}],"issued":{"date-parts":[["2018"]]}}},{"id":979,"uris":["http://zotero.org/users/10290022/items/AA655WV2"],"itemData":{"id":979,"type":"article-journal","abstract":"The long-term goal of pollen analysis has always been the reconstruction of past vegetation mosaics. However, the pollen signal is spatially integrated, and ecologically distinct vegetation structures can produce identical pollen signals. This paper proposes an iterative approach to reconstruction, the Multiple Scenario Approach, which involves creating a large number of hypothetical landscapes using a combination of deter- ministic and probabilistic ‘rules’ for plant placement coupled with environmental parameters such as topogra- phy, simulating the pollen assemblage produced by each, and comparing them statistically with a sedimentary pollen signal to identify possible reconstructions. The method expressly aims to find multiple possible recon- structions, and also gives some insight into the spatial aspects of the vegetation being reconstructed in addition to its composition.","container-title":"Holocene","DOI":"10.1177/0959683609105304","ISSN":"09596836","issue":"5","note":"ISBN: 0959-6836","page":"799-803","title":"Equifinality and uncertainty in the interpretation of pollen data: The multiple scenario approach to reconstruction of past vegetation mosaics","volume":"19","author":[{"family":"Bunting","given":"M. J."},{"family":"Middleton","given":"R."}],"issued":{"date-parts":[["2009"]]}}}],"schema":"https://github.com/citation-style-language/schema/raw/master/csl-citation.json"} </w:instrText>
      </w:r>
      <w:r w:rsidR="00DE24EE" w:rsidRPr="00941F74">
        <w:rPr>
          <w:lang w:val="en-US"/>
        </w:rPr>
        <w:fldChar w:fldCharType="separate"/>
      </w:r>
      <w:r w:rsidR="00DE24EE" w:rsidRPr="00941F74">
        <w:rPr>
          <w:rFonts w:ascii="Calibri" w:hAnsi="Calibri" w:cs="Calibri"/>
          <w:lang w:val="en-US"/>
        </w:rPr>
        <w:t xml:space="preserve">Bunting et al., 2018; Bunting &amp; Middleton, </w:t>
      </w:r>
      <w:r w:rsidR="00DE24EE" w:rsidRPr="00941F74">
        <w:rPr>
          <w:rFonts w:ascii="Calibri" w:hAnsi="Calibri" w:cs="Calibri"/>
          <w:lang w:val="en-US"/>
        </w:rPr>
        <w:lastRenderedPageBreak/>
        <w:t>2009</w:t>
      </w:r>
      <w:r w:rsidR="00DE24EE" w:rsidRPr="00941F74">
        <w:rPr>
          <w:lang w:val="en-US"/>
        </w:rPr>
        <w:fldChar w:fldCharType="end"/>
      </w:r>
      <w:r w:rsidR="00DE24EE" w:rsidRPr="00941F74">
        <w:rPr>
          <w:lang w:val="en-US"/>
        </w:rPr>
        <w:t xml:space="preserve">; </w:t>
      </w:r>
      <w:r w:rsidR="0060724C" w:rsidRPr="00941F74">
        <w:rPr>
          <w:lang w:val="en-US"/>
        </w:rPr>
        <w:t>HUMPOL</w:t>
      </w:r>
      <w:r w:rsidR="00DE24EE" w:rsidRPr="00941F74">
        <w:rPr>
          <w:lang w:val="en-US"/>
        </w:rPr>
        <w:t>,</w:t>
      </w:r>
      <w:r w:rsidR="0060724C" w:rsidRPr="00941F74">
        <w:rPr>
          <w:lang w:val="en-US"/>
        </w:rPr>
        <w:t xml:space="preserve"> </w:t>
      </w:r>
      <w:r w:rsidR="00DE24EE" w:rsidRPr="00941F74">
        <w:rPr>
          <w:lang w:val="en-US"/>
        </w:rPr>
        <w:fldChar w:fldCharType="begin"/>
      </w:r>
      <w:r w:rsidR="000E0FBE">
        <w:rPr>
          <w:lang w:val="en-US"/>
        </w:rPr>
        <w:instrText xml:space="preserve"> ADDIN ZOTERO_ITEM CSL_CITATION {"citationID":"15b1BU9n","properties":{"formattedCitation":"(Bunting &amp; Middleton, 2005; Middleton &amp; Bunting, 2004)","plainCitation":"(Bunting &amp; Middleton, 2005; Middleton &amp; Bunting, 2004)","dontUpdate":true,"noteIndex":0},"citationItems":[{"id":789,"uris":["http://zotero.org/users/10290022/items/VMK4RPX8"],"itemData":{"id":789,"type":"article-journal","abstract":"This paper introduces a suite of software (HUMPOL) for modelling pollen dispersal and deposition. The suite uses a standard algorithm, the Sutton equation, to model pollen dispersal from vegetation sources and pollen deposition at a sampling location but handles vegetation data more flexibly than existing software packages. The suite is designed as a platform for development of new models of pollen dispersal and deposition, and the production of simulated pollen data from maps of real landscapes for empirical tests of the model. Results are shown to be comparable with those produced by existing software. We also present a simple variation on the standard algorithm which simulates a variable windrose (current models assume uniform wind distribution around the compass) and show that this can reproduce the main features of empirical data.","container-title":"Review of Palaeobotany and Palynology","DOI":"10.1016/J.REVPALBO.2004.12.009","ISSN":"0034-6667","issue":"3-4","note":"publisher: Elsevier","page":"185-196","title":"Modelling pollen dispersal and deposition using HUMPOL software, including simulating windroses and irregular lakes","URL":"https://www.sciencedirect.com/science/article/pii/S0034666704001848","volume":"134","author":[{"family":"Bunting","given":"M. Jane"},{"family":"Middleton","given":"Dick"}],"accessed":{"date-parts":[["2018",5,28]]},"issued":{"date-parts":[["2005",5,1]]}}},{"id":1797,"uris":["http://zotero.org/users/10290022/items/2ULZ83P3"],"itemData":{"id":1797,"type":"article-journal","abstract":"Mosaic v1.1 is a Windows application written in Borland Delphi 3.0. It enables users to quickly and easily create landscape scenarios in a suitable input format for specific computer programs used for simulation of pollen dispersal and deposition. Landscape matrix and patch characteristics can be built up interactively by the user, or specified in a script using a simple and flexible scripting language. The rationale and operation of Mosaic v1.1 are briefly described in this paper. © 2004 Elsevier B.V. All rights reserved.","container-title":"Review of Palaeobotany and Palynology","DOI":"10.1016/j.revpalbo.2004.04.004","ISSN":"00346667","issue":"1-2","note":"ISBN: 0034-6667","page":"61-66","title":"Mosaic v1.1: Landscape scenario creation software for simulation of pollen dispersal and deposition","volume":"132","author":[{"family":"Middleton","given":"R."},{"family":"Bunting","given":"M. J."}],"issued":{"date-parts":[["2004"]]}}}],"schema":"https://github.com/citation-style-language/schema/raw/master/csl-citation.json"} </w:instrText>
      </w:r>
      <w:r w:rsidR="00DE24EE" w:rsidRPr="00941F74">
        <w:rPr>
          <w:lang w:val="en-US"/>
        </w:rPr>
        <w:fldChar w:fldCharType="separate"/>
      </w:r>
      <w:r w:rsidR="00DE24EE" w:rsidRPr="00941F74">
        <w:rPr>
          <w:rFonts w:ascii="Calibri" w:hAnsi="Calibri" w:cs="Calibri"/>
          <w:lang w:val="en-US"/>
        </w:rPr>
        <w:t>Bunting &amp; Middleton, 2005; Middleton &amp; Bunting, 2004)</w:t>
      </w:r>
      <w:r w:rsidR="00DE24EE" w:rsidRPr="00941F74">
        <w:rPr>
          <w:lang w:val="en-US"/>
        </w:rPr>
        <w:fldChar w:fldCharType="end"/>
      </w:r>
      <w:r w:rsidR="0060724C" w:rsidRPr="00941F74">
        <w:rPr>
          <w:lang w:val="en-US"/>
        </w:rPr>
        <w:t xml:space="preserve">. Here, LOVE estimates and their variability between sites with overlapping RSAPs are used directly in the production of taxon distribution maps. LOVE estimates therefore play a role in both the estimation of land-cover composition and the distribution of LCTs estimated by the models, thus limiting the assumptions </w:t>
      </w:r>
      <w:r w:rsidR="00E46452" w:rsidRPr="00941F74">
        <w:rPr>
          <w:lang w:val="en-US"/>
        </w:rPr>
        <w:t xml:space="preserve">on </w:t>
      </w:r>
      <w:r w:rsidR="0060724C" w:rsidRPr="00941F74">
        <w:rPr>
          <w:lang w:val="en-US"/>
        </w:rPr>
        <w:t xml:space="preserve">taxon </w:t>
      </w:r>
      <w:r w:rsidRPr="00941F74">
        <w:rPr>
          <w:lang w:val="en-US"/>
        </w:rPr>
        <w:t>location</w:t>
      </w:r>
      <w:r w:rsidR="0060724C" w:rsidRPr="00941F74">
        <w:rPr>
          <w:lang w:val="en-US"/>
        </w:rPr>
        <w:t xml:space="preserve">. Although LOVE estimates have previously been used to directly produce taxon distribution maps via interpolation techniques </w:t>
      </w:r>
      <w:r w:rsidR="00DE24EE" w:rsidRPr="00941F74">
        <w:rPr>
          <w:lang w:val="en-US"/>
        </w:rPr>
        <w:fldChar w:fldCharType="begin"/>
      </w:r>
      <w:r w:rsidR="000E0FBE">
        <w:rPr>
          <w:lang w:val="en-US"/>
        </w:rPr>
        <w:instrText xml:space="preserve"> ADDIN ZOTERO_ITEM CSL_CITATION {"citationID":"ZZN3EALX","properties":{"formattedCitation":"(O\\uc0\\u8217{}dwyer et al., 2021)","plainCitation":"(O’dwyer et al., 2021)","dontUpdate":true,"noteIndex":0},"citationItems":[{"id":3168,"uris":["http://zotero.org/users/10290022/items/GIY2ERFP"],"itemData":{"id":3168,"type":"article-journal","abstract":"Climate change and human activities influence the development of ecosystems, with human demand of ecosystem services altering both land use and land cover. Fossil pollen records provide time series of vegetation characteristics, and the aim of this study was to create spatially continuous reconstructions of land cover through the Holocene in southern Sweden. The Landscape Reconstruction Algorithm (LRA) was applied to obtain quantitative reconstructions of pollen-based vegetation cover at local scales, accounting for pollen production, dispersal , and deposition mechanisms. Pollen-based local vegetation estimates were produced from 41 fossil pollen records available for the region. A comparison of 17 interpolation methods was made and evaluated by comparing with current land cover. Simple kriging with cokriging using elevation was selected to interpolate the local characteristics of past land cover, to generate more detailed reconstructions of trends and degree of variability in time and space than previous studies based on pollen data representing the regional scale. Since the Mesolithic, two main processes have acted to reshape the land cover of southern Sweden, originally mostly covered by broad-leaved forests. The natural distribution limit of coniferous forest has moved southward during periods with colder climate and retracted northward during warmer periods, and human expansion in the area and agrotechnological developments has led to a gradually more open landscape, reaching maximum openness at the beginning of the 20th century. The recent intensification of agriculture has led to abandonment of less fertile agricultural fields and afforestation with conifer forest.","container-title":"Ecosystems","DOI":"10.1007/s10021-020-00594-5","page":"1450-1467","title":"Spatially Continuous Land-Cover Reconstructions Through the Holocene in Southern Sweden","URL":"https://doi.org/10.1007/s10021-020-00594-5","volume":"24","author":[{"family":"O'Dwyer","given":"Robert"},{"family":"Marquer","given":"Laurent"},{"family":"Trondman","given":"Anna-Kari"},{"family":"Jönsson","given":"Anna Maria"}],"issued":{"date-parts":[["2021"]]}}}],"schema":"https://github.com/citation-style-language/schema/raw/master/csl-citation.json"} </w:instrText>
      </w:r>
      <w:r w:rsidR="00DE24EE" w:rsidRPr="00941F74">
        <w:rPr>
          <w:lang w:val="en-US"/>
        </w:rPr>
        <w:fldChar w:fldCharType="separate"/>
      </w:r>
      <w:r w:rsidR="00DE24EE" w:rsidRPr="00941F74">
        <w:rPr>
          <w:rFonts w:ascii="Calibri" w:hAnsi="Calibri" w:cs="Calibri"/>
          <w:szCs w:val="24"/>
          <w:lang w:val="en-US"/>
        </w:rPr>
        <w:t>(O’</w:t>
      </w:r>
      <w:r w:rsidR="00906CC2">
        <w:rPr>
          <w:rFonts w:ascii="Calibri" w:hAnsi="Calibri" w:cs="Calibri"/>
          <w:szCs w:val="24"/>
          <w:lang w:val="en-US"/>
        </w:rPr>
        <w:t>D</w:t>
      </w:r>
      <w:r w:rsidR="00DE24EE" w:rsidRPr="00941F74">
        <w:rPr>
          <w:rFonts w:ascii="Calibri" w:hAnsi="Calibri" w:cs="Calibri"/>
          <w:szCs w:val="24"/>
          <w:lang w:val="en-US"/>
        </w:rPr>
        <w:t>wyer et al., 2021)</w:t>
      </w:r>
      <w:r w:rsidR="00DE24EE" w:rsidRPr="00941F74">
        <w:rPr>
          <w:lang w:val="en-US"/>
        </w:rPr>
        <w:fldChar w:fldCharType="end"/>
      </w:r>
      <w:r w:rsidR="0060724C" w:rsidRPr="00941F74">
        <w:rPr>
          <w:lang w:val="en-US"/>
        </w:rPr>
        <w:t>, BACKLAND has the advantage of basing taxon distributions on Gaussian probability of occurrence density functions consistent with LRA assumptions</w:t>
      </w:r>
      <w:r w:rsidR="00585FF1" w:rsidRPr="00941F74">
        <w:rPr>
          <w:lang w:val="en-US"/>
        </w:rPr>
        <w:t xml:space="preserve"> </w:t>
      </w:r>
      <w:r w:rsidR="00585FF1" w:rsidRPr="00941F74">
        <w:rPr>
          <w:lang w:val="en-US"/>
        </w:rPr>
        <w:fldChar w:fldCharType="begin"/>
      </w:r>
      <w:r w:rsidR="003B1EC2">
        <w:rPr>
          <w:lang w:val="en-US"/>
        </w:rPr>
        <w:instrText xml:space="preserve"> ADDIN ZOTERO_ITEM CSL_CITATION {"citationID":"RPelbm6e","properties":{"formattedCitation":"(Prentice, 1985; Sugita, 2007b)","plainCitation":"(Prentice, 1985; Sugita, 2007b)","noteIndex":0},"citationItems":[{"id":81,"uris":["http://www.mendeley.com/documents/?uuid=74df980b-d0f7-4e74-a7c4-826b39363b1a","http://zotero.org/users/10290022/items/BD7HZZA9"],"itemData":{"id":81,"type":"article-journal","abstract":"The concepts of pollen source area and of production and dispersal biases in pollen representation are quantified by means of a simple theoretical model. Source areas and relative pollen representation are shown to depend on basin size according to functions that describe the amount of pollen remaining airborne at increasing distances from single pollen sources. The form of these functions is determined by physical processes. Standard formulas for elevated sources do not apply, but the integrated form of Sutton's equation for particle dispersal from a ground-level source gives useful approximations applicable to pollen transport over a forest canopy. Simulations using this equation yielded source areas that increased realistically with basin size, showed substantial differences between source areas for pollen grains with different deposition velocities, and predicted that lighter pollen grains should become better represented with increasing basin size. All of these predictions are qualitatively consistent with present knowledge of the characteristics of pollen assemblages in different depositional environments. The model further allows parameters that can be estimated by statistical calibration methods to be predicted from underlying physical quantities. This extension suggests procedures for testing the theory with quantitative data on surface pollen and forest composition. Preliminary results showed reasonable agreement between estimated and predicted values of dispersal indices for the most abundant taxa in pollen spectra from the northern midwestern United States. ?? 1985.","container-title":"Quaternary Research","DOI":"10.1016/0033-5894(85)90073-0","ISSN":"10960287","issue":"1","note":"ISBN: 0033-5894","page":"76-86","title":"Pollen representation, source area, and basin size: Toward a unified theory of pollen analysis","volume":"23","author":[{"family":"Prentice","given":"I Colin"}],"issued":{"date-parts":[["1985"]]}}},{"id":2449,"uris":["http://www.mendeley.com/documents/?uuid=7639867d-dd42-4f40-a31d-23169d3bfea6","http://zotero.org/users/10290022/items/PIKT3FP4"],"itemData":{"id":2449,"type":"article-journal","abstract":"This paper describes the LOVE (LOcal Vegetation Estimates) model for estimating local vegetation composition within the relevant source area of pollen. This model quantifies and then subtracts background pollen tie, pollen coming from beyond the relevant source area) in order to arrive at a quantitative reconstruction of local vegetation. Parameters required for LOVE applications are pollen counts from target sites, the relevant source area of pollen of these sites, pollen productivity estimates and regional vegetation composition within 10(4)-10(5) km(2). Regional vegetation composition is obtained using fossil pollen from large sites (&gt;= 10(2) ha) with the REVEALS (Regional Estimates of VEgetation Abundance from Large Sites) model, the first step of the Landscape Reconstruction Algorithm (LRA) specifically designed for LOVE applications. POLLSCAPE simulations demonstrate that (1) regional vegetation composition can be used to predict background pollen at and beyond the relevant source area of pollen for given-sized basins, (2) LOVE with the LRA framework provides a robust and accurate estimate of local vegetation composition much better than vegetation reconstruction using pollen percentages alone and (3) although the relevant source area of pollen is difficult to estimate particularly in past landscapes, a proposed method using backward modelling of LOVE is effective to estimate the relevant source area in landscapes of unknown vegetation patchiness and heterogeneity. Thus, the LRA will also be useful to estimate indirectly changes in spatial structure of past vegetation and landscape caused by natural and anthropogenic forcing.","container-title":"Holocene","DOI":"10.1177/0959683607075838","ISSN":"09596836","issue":"2","note":"ISBN: 0959-6836","page":"243-257","title":"Theory of quantitative reconstruction of vegetation II: All you need is LOVE","URL":"http://journals.sagepub.com/doi/10.1177/0959683607075838","volume":"17","author":[{"family":"Sugita","given":"Shinya"}],"issued":{"date-parts":[["2007"]]}}}],"schema":"https://github.com/citation-style-language/schema/raw/master/csl-citation.json"} </w:instrText>
      </w:r>
      <w:r w:rsidR="00585FF1" w:rsidRPr="00941F74">
        <w:rPr>
          <w:lang w:val="en-US"/>
        </w:rPr>
        <w:fldChar w:fldCharType="separate"/>
      </w:r>
      <w:r w:rsidR="003B1EC2" w:rsidRPr="003B1EC2">
        <w:rPr>
          <w:rFonts w:ascii="Calibri" w:hAnsi="Calibri" w:cs="Calibri"/>
          <w:lang w:val="en-US"/>
        </w:rPr>
        <w:t>(Prentice, 1985; Sugita, 2007b)</w:t>
      </w:r>
      <w:r w:rsidR="00585FF1" w:rsidRPr="00941F74">
        <w:rPr>
          <w:lang w:val="en-US"/>
        </w:rPr>
        <w:fldChar w:fldCharType="end"/>
      </w:r>
      <w:r w:rsidR="0060724C" w:rsidRPr="00941F74">
        <w:rPr>
          <w:lang w:val="en-US"/>
        </w:rPr>
        <w:t xml:space="preserve">, as well as accounting for spatiotemporal autocorrelation, thus producing distributions that are both more spatially heterogeneous (and thus more realistic) and less impacted by potential pollen biases persisting after LRA modelling </w:t>
      </w:r>
      <w:r w:rsidR="0060724C" w:rsidRPr="00941F74">
        <w:rPr>
          <w:rFonts w:cstheme="minorHAnsi"/>
          <w:lang w:val="en-US"/>
        </w:rPr>
        <w:t xml:space="preserve">- which may, for example, be due to changes in the structure of the vegetation close to the sites rather than in the composition </w:t>
      </w:r>
      <w:r w:rsidR="00791AF4" w:rsidRPr="00941F74">
        <w:rPr>
          <w:rFonts w:cstheme="minorHAnsi"/>
          <w:lang w:val="en-US"/>
        </w:rPr>
        <w:fldChar w:fldCharType="begin"/>
      </w:r>
      <w:r w:rsidR="003B1EC2">
        <w:rPr>
          <w:rFonts w:cstheme="minorHAnsi"/>
          <w:lang w:val="en-US"/>
        </w:rPr>
        <w:instrText xml:space="preserve"> ADDIN ZOTERO_ITEM CSL_CITATION {"citationID":"7wCspNDO","properties":{"formattedCitation":"(Sugita et al., 2010a)","plainCitation":"(Sugita et al., 2010a)","noteIndex":0},"citationItems":[{"id":1514,"uris":["http://zotero.org/users/10290022/items/JUNR97V6"],"itemData":{"id":1514,"type":"article-journal","abstract":"Pollen productivity is one of the most critical parameters for pollen-vegetation relationships, and thus for vegetation reconstruction, in either pollen percentages or pollen accumulation rates. We obtain absolute pollen productivity of three major tree types in northern Finland: pine (Pinus sylvestris), spruce (Picea abies) and birch (Betula pubescens ssp. pubescens and B. pubescens ssp. czerepanovii treated as one taxon). Long-term monitoring records of pollen traps from 15 sites (duration: 5-23 years) and tree volume estimates within a 14 km radius of each trap were compared to estimate pollen productivity (grains m-3 a-1) of these trees using a regression method. The slope of the linear relationship between pollen loading and distance-weighted plant abundance represents pollen productivity. Estimated productivities of pollen (×108 grains m-3 a-1) for pine, spruce and birch are 128.7 (SE 31.5), 341.9 (SE 81.3) and 411.4 (SE 307.7), respectively. The birch estimate (P &amp;gt; 0.05) is not as good as the others and should be used with caution. Pollen productivities of pine, spruce and birch in northern Finland are, in general, comparable to those of congeneric species in other regions of Europe and Japan. Although the year-to-year variations are significant, our volume-based estimates of pollen productivity for pine and spruce will be essential for quantitative reconstruction of vegetation in the region. Copyright © 2009 John Wiley &amp; Sons, Ltd.","container-title":"Journal of Quaternary Science","DOI":"10.1002/jqs.1349","ISSN":"02678179","issue":"5","note":"ISBN: 02678179","page":"724-736","title":"Absolute pollen productivity and pollen-vegetation relationships in northern Finland","volume":"25","author":[{"family":"Sugita","given":"Shinya"},{"family":"Hicks","given":"Sheila"},{"family":"Sormunen","given":"Henna"}],"issued":{"date-parts":[["2010"]]}}}],"schema":"https://github.com/citation-style-language/schema/raw/master/csl-citation.json"} </w:instrText>
      </w:r>
      <w:r w:rsidR="00791AF4" w:rsidRPr="00941F74">
        <w:rPr>
          <w:rFonts w:cstheme="minorHAnsi"/>
          <w:lang w:val="en-US"/>
        </w:rPr>
        <w:fldChar w:fldCharType="separate"/>
      </w:r>
      <w:r w:rsidR="003B1EC2" w:rsidRPr="003B1EC2">
        <w:rPr>
          <w:rFonts w:ascii="Calibri" w:hAnsi="Calibri" w:cs="Calibri"/>
          <w:lang w:val="en-US"/>
        </w:rPr>
        <w:t>(Sugita et al., 2010a)</w:t>
      </w:r>
      <w:r w:rsidR="00791AF4" w:rsidRPr="00941F74">
        <w:rPr>
          <w:rFonts w:cstheme="minorHAnsi"/>
          <w:lang w:val="en-US"/>
        </w:rPr>
        <w:fldChar w:fldCharType="end"/>
      </w:r>
      <w:r w:rsidR="0060724C" w:rsidRPr="00941F74">
        <w:rPr>
          <w:rFonts w:cstheme="minorHAnsi"/>
          <w:lang w:val="en-US"/>
        </w:rPr>
        <w:t>.</w:t>
      </w:r>
      <w:r w:rsidR="005E6B69" w:rsidRPr="00941F74">
        <w:rPr>
          <w:lang w:val="en-US"/>
        </w:rPr>
        <w:t xml:space="preserve"> </w:t>
      </w:r>
      <w:r w:rsidR="006A430E" w:rsidRPr="00941F74">
        <w:rPr>
          <w:lang w:val="en-US"/>
        </w:rPr>
        <w:t xml:space="preserve">The use of multiple linear models results in </w:t>
      </w:r>
      <w:r w:rsidR="005E6B69" w:rsidRPr="00941F74">
        <w:rPr>
          <w:lang w:val="en-US"/>
        </w:rPr>
        <w:t>the production of a single land-</w:t>
      </w:r>
      <w:r w:rsidR="006A430E" w:rsidRPr="00941F74">
        <w:rPr>
          <w:lang w:val="en-US"/>
        </w:rPr>
        <w:t xml:space="preserve">cover map, greatly facilitating the interpretability of the results, particularly for </w:t>
      </w:r>
      <w:r w:rsidR="008068C8" w:rsidRPr="00941F74">
        <w:rPr>
          <w:lang w:val="en-US"/>
        </w:rPr>
        <w:t xml:space="preserve">future </w:t>
      </w:r>
      <w:r w:rsidR="00D920F9" w:rsidRPr="00941F74">
        <w:rPr>
          <w:lang w:val="en-US"/>
        </w:rPr>
        <w:t xml:space="preserve">studies on </w:t>
      </w:r>
      <w:r w:rsidR="006A430E" w:rsidRPr="00941F74">
        <w:rPr>
          <w:lang w:val="en-US"/>
        </w:rPr>
        <w:t xml:space="preserve">long-term applications where the succession of </w:t>
      </w:r>
      <w:r w:rsidR="00D920F9" w:rsidRPr="00941F74">
        <w:rPr>
          <w:lang w:val="en-US"/>
        </w:rPr>
        <w:t xml:space="preserve">past </w:t>
      </w:r>
      <w:r w:rsidR="006A430E" w:rsidRPr="00941F74">
        <w:rPr>
          <w:lang w:val="en-US"/>
        </w:rPr>
        <w:t>maps produced must reflect coherent ecological processes</w:t>
      </w:r>
      <w:r w:rsidR="00906CC2">
        <w:rPr>
          <w:lang w:val="en-US"/>
        </w:rPr>
        <w:t xml:space="preserve"> </w:t>
      </w:r>
      <w:r w:rsidR="00585FF1" w:rsidRPr="00941F74">
        <w:rPr>
          <w:lang w:val="en-US"/>
        </w:rPr>
        <w:fldChar w:fldCharType="begin"/>
      </w:r>
      <w:r w:rsidR="003B1EC2">
        <w:rPr>
          <w:lang w:val="en-US"/>
        </w:rPr>
        <w:instrText xml:space="preserve"> ADDIN ZOTERO_ITEM CSL_CITATION {"citationID":"1zNtFfjK","properties":{"formattedCitation":"(Caseldine et al., 2008)","plainCitation":"(Caseldine et al., 2008)","noteIndex":0},"citationItems":[{"id":2692,"uris":["http://zotero.org/users/10290022/items/KBDV4KCH"],"itemData":{"id":2692,"type":"article-journal","abstract":"Abstract&amp;nbsp;&amp;nbsp;Recent developments in pollen modelling and landscape reconstruction have the potential to have a profound impact on our understanding of landscape change related to human activity. Initial findings have already revealed the weaknesses of a number of key assumptions previously made about pollenÔÇôlandscape relationships. Close interrelationships exist between landscape reconstruction based on pollen analysis and archaeology, and model-based developments raise a range of pertinent issues for both disciplines. These include the way in which past vegetation patterning is conceptualised (the patch vs. the matrix), the nature of the underlying physical environment in vegetation placement, the development of hypothesis-led approaches and the scale of landscapes under consideration. This paper discusses these issues, and also raises questions concerning the meaning of landscape. It may be erroneous to term pollen-based reconstructions as landscapes given the heavily charged meaning of the word as understood by companion and end user disciplines","container-title":"Vegetation History and Archaeobotany","DOI":"10.1007/s00334-007-0093-y","ISSN":"09396314","issue":"5","note":"ISBN: 0939-6314","page":"543-549","title":"Pollen modelling, palaeoecology and archaeology: Virtualisation and/or visualisation of the past?","volume":"17","author":[{"family":"Caseldine","given":"Chris"},{"family":"Fyfe","given":"Ralph"},{"family":"Hjelle","given":"Kari"}],"issued":{"date-parts":[["2008"]]}}}],"schema":"https://github.com/citation-style-language/schema/raw/master/csl-citation.json"} </w:instrText>
      </w:r>
      <w:r w:rsidR="00585FF1" w:rsidRPr="00941F74">
        <w:rPr>
          <w:lang w:val="en-US"/>
        </w:rPr>
        <w:fldChar w:fldCharType="separate"/>
      </w:r>
      <w:r w:rsidR="003B1EC2" w:rsidRPr="003B1EC2">
        <w:rPr>
          <w:rFonts w:ascii="Calibri" w:hAnsi="Calibri" w:cs="Calibri"/>
          <w:lang w:val="en-US"/>
        </w:rPr>
        <w:t>(Caseldine et al., 2008)</w:t>
      </w:r>
      <w:r w:rsidR="00585FF1" w:rsidRPr="00941F74">
        <w:rPr>
          <w:lang w:val="en-US"/>
        </w:rPr>
        <w:fldChar w:fldCharType="end"/>
      </w:r>
      <w:r w:rsidR="006A430E" w:rsidRPr="00941F74">
        <w:rPr>
          <w:lang w:val="en-US"/>
        </w:rPr>
        <w:t xml:space="preserve">, which is difficult to achieve with multiple scenarios without the integration of spatial and temporal autocorrelation </w:t>
      </w:r>
      <w:r w:rsidR="00585FF1" w:rsidRPr="00941F74">
        <w:rPr>
          <w:lang w:val="en-US"/>
        </w:rPr>
        <w:fldChar w:fldCharType="begin"/>
      </w:r>
      <w:r w:rsidR="003B1EC2">
        <w:rPr>
          <w:lang w:val="en-US"/>
        </w:rPr>
        <w:instrText xml:space="preserve"> ADDIN ZOTERO_ITEM CSL_CITATION {"citationID":"W8I8f1zJ","properties":{"formattedCitation":"(Bunting et al., 2018)","plainCitation":"(Bunting et al., 2018)","noteIndex":0},"citationItems":[{"id":2700,"uris":["http://zotero.org/users/10290022/items/7NQWXWUM"],"itemData":{"id":2700,"type":"article-journal","abstract":"Pollen records contain a wide range of information about past land cover, but translation from the pollen diagram to other formats remains a challenge. In this paper, we present LandPolFlow, a software package enabling Multiple Scenario Approach (MSA) based land cover reconstruction from pollen records for specific landscapes. It has two components: a basic Geographic Information System which takes grids of landscape constraints (e.g. topography, geology) and generates possible ‘scenarios’ of past land cover using a combination of probabilistic and deterministic placement rules to distribute defined plant communities within the landscape, and a pollen dispersal and deposition model which simulates pollen loading at specified points within each scenario and compares that statistically with actual pollen assemblages from the same location. Goodness of fit statistics from multiple pollen site locations are used to identify which scenarios are likely reconstructions of past land cover. We apply this approach to two case studies of Neolithisation in Britain, the first from the Somerset Levels and the second from Mainland, Orkney. Both landscapes contain significant evidence of Neolithic activity, but present contrasting contexts. In Somerset, wet-preserved Neolithic remains such as trackways are abundant, but little dry land settlement archaeology is known, and the pre-Neolithic landscape was extensively wooded. In Orkney, the Neolithic archaeology includes domestic and monumental stone-built structures forming a UNESCO World Heritage Site, and the pre-Neolithic landscape was largely treeless. Existing pollen records were collated from both landscapes and correlated within a new age model framework (presented elsewhere). This allowed pollen data to be grouped into 200 year periods, or “timeslices”, for reconstruction of land cover through time using the MSA. Reconstruction suggests that subtle but clear and persistent impacts of Neolithisation on land cover occurred in both landscapes, with no reduction in impact during periods when archaeological records suggest lower activity levels. By applying the methodology to specific landscapes, we critically evaluate the strengths and weaknesses and identify potential remedies, which we then expand into consideration of how simulation can be incorporated into palynological research practice. We argue that the MSA deserves a place within the palynologist’s standard tool kit.","container-title":"Frontiers in Ecology and Evolution","DOI":"10.3389/fevo.2018.00036","ISSN":"2296-701X","issue":"April","page":"1-20","title":"Maps From Mud — Using the Multiple Scenario Approach to Reconstruct Land Cover Dynamics From Pollen Records : A Case Study of Two Neolithic Landscapes","URL":"http://journal.frontiersin.org/article/10.3389/fevo.2018.00036/full","volume":"6","author":[{"family":"Bunting","given":"M. Jane"},{"family":"Farrell","given":"Michelle"},{"family":"Bayliss","given":"Alex"},{"family":"Marshall","given":"Peter"},{"family":"Whittle","given":"Alasdair"}],"issued":{"date-parts":[["2018"]]}}}],"schema":"https://github.com/citation-style-language/schema/raw/master/csl-citation.json"} </w:instrText>
      </w:r>
      <w:r w:rsidR="00585FF1" w:rsidRPr="00941F74">
        <w:rPr>
          <w:lang w:val="en-US"/>
        </w:rPr>
        <w:fldChar w:fldCharType="separate"/>
      </w:r>
      <w:r w:rsidR="003B1EC2" w:rsidRPr="003B1EC2">
        <w:rPr>
          <w:rFonts w:ascii="Calibri" w:hAnsi="Calibri" w:cs="Calibri"/>
          <w:lang w:val="en-US"/>
        </w:rPr>
        <w:t>(Bunting et al., 2018)</w:t>
      </w:r>
      <w:r w:rsidR="00585FF1" w:rsidRPr="00941F74">
        <w:rPr>
          <w:lang w:val="en-US"/>
        </w:rPr>
        <w:fldChar w:fldCharType="end"/>
      </w:r>
      <w:r w:rsidR="006A430E" w:rsidRPr="00941F74">
        <w:rPr>
          <w:lang w:val="en-US"/>
        </w:rPr>
        <w:t xml:space="preserve">. </w:t>
      </w:r>
      <w:r w:rsidR="0060724C" w:rsidRPr="00941F74">
        <w:rPr>
          <w:lang w:val="en-US"/>
        </w:rPr>
        <w:t>Finally,</w:t>
      </w:r>
      <w:r w:rsidR="00015516" w:rsidRPr="00941F74">
        <w:rPr>
          <w:lang w:val="en-US"/>
        </w:rPr>
        <w:t xml:space="preserve"> using linear models does not constrain the direction of possible transitions between LCTs from one period to another, </w:t>
      </w:r>
      <w:r w:rsidR="0060724C" w:rsidRPr="00941F74">
        <w:rPr>
          <w:lang w:val="en-US"/>
        </w:rPr>
        <w:t xml:space="preserve">unlike the use of Markov Chain models also </w:t>
      </w:r>
      <w:r w:rsidR="00015516" w:rsidRPr="00941F74">
        <w:rPr>
          <w:lang w:val="en-US"/>
        </w:rPr>
        <w:t>used for</w:t>
      </w:r>
      <w:r w:rsidR="0060724C" w:rsidRPr="00941F74">
        <w:rPr>
          <w:lang w:val="en-US"/>
        </w:rPr>
        <w:t xml:space="preserve"> the reconstruction of a spatially e</w:t>
      </w:r>
      <w:r w:rsidRPr="00941F74">
        <w:rPr>
          <w:lang w:val="en-US"/>
        </w:rPr>
        <w:t>xplicit landscape within a lake RSAP</w:t>
      </w:r>
      <w:r w:rsidR="0060724C" w:rsidRPr="00941F74">
        <w:rPr>
          <w:lang w:val="en-US"/>
        </w:rPr>
        <w:t xml:space="preserve"> </w:t>
      </w:r>
      <w:r w:rsidR="00585FF1" w:rsidRPr="00941F74">
        <w:rPr>
          <w:lang w:val="en-US"/>
        </w:rPr>
        <w:fldChar w:fldCharType="begin"/>
      </w:r>
      <w:r w:rsidR="003B1EC2">
        <w:rPr>
          <w:lang w:val="en-US"/>
        </w:rPr>
        <w:instrText xml:space="preserve"> ADDIN ZOTERO_ITEM CSL_CITATION {"citationID":"Xqhmy6aO","properties":{"formattedCitation":"(Poska et al., 2008)","plainCitation":"(Poska et al., 2008)","noteIndex":0},"citationItems":[{"id":1894,"uris":["http://zotero.org/users/10290022/items/P7V3GCTU"],"itemData":{"id":1894,"type":"article-journal","abstract":"Quantitative pollen-based land-cover reconstruction covering the last 4,000 years was performed using transformation coefficients derived from a modern pollen land-cover database and a palynological record from an annually laminated sequence in Lake Rouge Tougjarv. Proportions of four land-cover classes characteristic of cultural landscape were reconstructed: habitation area, arable land, grassland and woodland. A land-use change model using CA_Markov analysis was applied for spatial reconstructions for seven periods: 600 B.C., A.D. 300, 800, 1200, 1700, 1870 and 1940. Historical maps from A.D. 1684, 1870-1899 and 1935 were used for calibration of quantitative estimates and to validate spatial reconstructions. The accuracy of the estimates depends on the availability of modern analogues and differs among land-cover classes, being highest for classes with directly connectable pollen indicator types (arable land, forest) and lowest for settlement areas. Spatial reconstructions produced by the CA_Markov land-cover change model show moderate accordance with historical data. However, the large uncertainties in land-cover input data must be considered in the evaluation of the KIA results of the spatial model. Permanent low intensity, rural land-use in the Rouge area started at the beginning of the Bronze Age (c. 1800 B.C.). The major increase in the extent of rural land-use took place at the beginning of the 13th century and culminated during the 19th century when c. 90% of the RSAP of Rouge Tougjarv was open. During the last century, rural land-use decreased constantly.","container-title":"Vegetation History and Archaeobotany","DOI":"10.1007/s00334-007-0124-8","ISSN":"09396314","issue":"5","note":"ISBN: 0939-6314\\r1617-6278","page":"527-541","title":"Using quantitative pollen-based land-cover estimations and a spatial CA_Markov model to reconstruct the development of cultural landscape at Rõuge, South Estonia","volume":"17","author":[{"family":"Poska","given":"Anneli"},{"family":"Sepp","given":"Edgar"},{"family":"Veski","given":"Siim"},{"family":"Koppel","given":"Kalev"}],"issued":{"date-parts":[["2008"]]}}}],"schema":"https://github.com/citation-style-language/schema/raw/master/csl-citation.json"} </w:instrText>
      </w:r>
      <w:r w:rsidR="00585FF1" w:rsidRPr="00941F74">
        <w:rPr>
          <w:lang w:val="en-US"/>
        </w:rPr>
        <w:fldChar w:fldCharType="separate"/>
      </w:r>
      <w:r w:rsidR="003B1EC2" w:rsidRPr="003B1EC2">
        <w:rPr>
          <w:rFonts w:ascii="Calibri" w:hAnsi="Calibri" w:cs="Calibri"/>
          <w:lang w:val="en-US"/>
        </w:rPr>
        <w:t>(Poska et al., 2008)</w:t>
      </w:r>
      <w:r w:rsidR="00585FF1" w:rsidRPr="00941F74">
        <w:rPr>
          <w:lang w:val="en-US"/>
        </w:rPr>
        <w:fldChar w:fldCharType="end"/>
      </w:r>
      <w:r w:rsidR="0060724C" w:rsidRPr="00941F74">
        <w:rPr>
          <w:lang w:val="en-US"/>
        </w:rPr>
        <w:t>. Therefore</w:t>
      </w:r>
      <w:r w:rsidR="00461803" w:rsidRPr="00941F74">
        <w:rPr>
          <w:lang w:val="en-US"/>
        </w:rPr>
        <w:t>,</w:t>
      </w:r>
      <w:r w:rsidR="0060724C" w:rsidRPr="00941F74">
        <w:rPr>
          <w:lang w:val="en-US"/>
        </w:rPr>
        <w:t xml:space="preserve"> BACKLAND has an interesting potential to reconstruct </w:t>
      </w:r>
      <w:r w:rsidR="005E6B69" w:rsidRPr="00941F74">
        <w:rPr>
          <w:lang w:val="en-US"/>
        </w:rPr>
        <w:t xml:space="preserve">long-term </w:t>
      </w:r>
      <w:r w:rsidR="0060724C" w:rsidRPr="00941F74">
        <w:rPr>
          <w:lang w:val="en-US"/>
        </w:rPr>
        <w:t xml:space="preserve">landscape dynamics in </w:t>
      </w:r>
      <w:r w:rsidR="00461803" w:rsidRPr="00941F74">
        <w:rPr>
          <w:lang w:val="en-GB"/>
        </w:rPr>
        <w:t>anthropogenic</w:t>
      </w:r>
      <w:r w:rsidR="00461803" w:rsidRPr="00941F74">
        <w:rPr>
          <w:lang w:val="en-US"/>
        </w:rPr>
        <w:t xml:space="preserve"> </w:t>
      </w:r>
      <w:r w:rsidR="00906CC2">
        <w:rPr>
          <w:lang w:val="en-US"/>
        </w:rPr>
        <w:t>contexts</w:t>
      </w:r>
      <w:r w:rsidR="0060724C" w:rsidRPr="00941F74">
        <w:rPr>
          <w:lang w:val="en-US"/>
        </w:rPr>
        <w:t xml:space="preserve">, where reverse transitions to natural vegetation succession can occur. </w:t>
      </w:r>
      <w:r w:rsidR="005E6B69" w:rsidRPr="00941F74">
        <w:rPr>
          <w:rFonts w:cstheme="minorHAnsi"/>
          <w:lang w:val="en-US"/>
        </w:rPr>
        <w:t>Indeed, o</w:t>
      </w:r>
      <w:r w:rsidR="005A3A32" w:rsidRPr="00941F74">
        <w:rPr>
          <w:rFonts w:cstheme="minorHAnsi"/>
          <w:lang w:val="en-US"/>
        </w:rPr>
        <w:t xml:space="preserve">nce BACKLAND has been implemented over a recent period, it is intended to be easily applied retroactively and step-by-step to produce a succession of land-cover maps based on pollen data (as long as the study area meets the conditions outlined in section 5.1.1). Retroactive application only requires (1) estimating the new Map-Inferred taxon Distributions (MIDs) from the recent land-cover map and (2) calculating the LOVE-Inferred taxon Distributions (LIDs) corresponding to the targeted past time period to (3) obtain their corresponding Estimated taxon </w:t>
      </w:r>
      <w:r w:rsidR="005A3A32" w:rsidRPr="00941F74">
        <w:rPr>
          <w:rFonts w:cstheme="minorHAnsi"/>
          <w:lang w:val="en-US"/>
        </w:rPr>
        <w:lastRenderedPageBreak/>
        <w:t>Distributions (EDs). Obtaining the new EDs, associated with the explanatory environmental variables, thus appears to be sufficient to predict the land-cover of the targeted past period. In theory, this process can be repeated step</w:t>
      </w:r>
      <w:r w:rsidR="00585FF1" w:rsidRPr="00941F74">
        <w:rPr>
          <w:rFonts w:cstheme="minorHAnsi"/>
          <w:lang w:val="en-US"/>
        </w:rPr>
        <w:t>-</w:t>
      </w:r>
      <w:r w:rsidR="005A3A32" w:rsidRPr="00941F74">
        <w:rPr>
          <w:rFonts w:cstheme="minorHAnsi"/>
          <w:lang w:val="en-US"/>
        </w:rPr>
        <w:t>by</w:t>
      </w:r>
      <w:r w:rsidR="00585FF1" w:rsidRPr="00941F74">
        <w:rPr>
          <w:rFonts w:cstheme="minorHAnsi"/>
          <w:lang w:val="en-US"/>
        </w:rPr>
        <w:t>-</w:t>
      </w:r>
      <w:r w:rsidR="005A3A32" w:rsidRPr="00941F74">
        <w:rPr>
          <w:rFonts w:cstheme="minorHAnsi"/>
          <w:lang w:val="en-US"/>
        </w:rPr>
        <w:t xml:space="preserve">step to produce a temporal atlas of land-cover spanning several centuries (Plancher et al., in progress). </w:t>
      </w:r>
      <w:r w:rsidR="005A3A32" w:rsidRPr="00941F74">
        <w:rPr>
          <w:rFonts w:cstheme="minorHAnsi"/>
          <w:lang w:val="en-GB"/>
        </w:rPr>
        <w:t xml:space="preserve">By producing a continuous series of maps using the same approach, it offers the possibility to study long-term landscape composition and configuration changes without the issues of nomenclature changes and resolution degradation. </w:t>
      </w:r>
    </w:p>
    <w:p w14:paraId="3DF7E4F8" w14:textId="484EB179" w:rsidR="00461803" w:rsidRPr="00941F74" w:rsidRDefault="000164CD">
      <w:pPr>
        <w:spacing w:line="480" w:lineRule="auto"/>
        <w:contextualSpacing/>
        <w:rPr>
          <w:rFonts w:cstheme="minorHAnsi"/>
          <w:lang w:val="en-US"/>
        </w:rPr>
      </w:pPr>
      <w:r w:rsidRPr="00941F74">
        <w:rPr>
          <w:rFonts w:cstheme="minorHAnsi"/>
          <w:lang w:val="en-US"/>
        </w:rPr>
        <w:t xml:space="preserve">Increasing the temporal extent of landscape change studies as well as their precision in terms of nomenclature and spatial resolution will </w:t>
      </w:r>
      <w:r w:rsidR="00906CC2">
        <w:rPr>
          <w:rFonts w:cstheme="minorHAnsi"/>
          <w:lang w:val="en-US"/>
        </w:rPr>
        <w:t>make it possible</w:t>
      </w:r>
      <w:r w:rsidR="00906CC2" w:rsidRPr="00941F74">
        <w:rPr>
          <w:rFonts w:cstheme="minorHAnsi"/>
          <w:lang w:val="en-US"/>
        </w:rPr>
        <w:t xml:space="preserve"> </w:t>
      </w:r>
      <w:r w:rsidRPr="00941F74">
        <w:rPr>
          <w:rFonts w:cstheme="minorHAnsi"/>
          <w:lang w:val="en-US"/>
        </w:rPr>
        <w:t xml:space="preserve">to </w:t>
      </w:r>
      <w:r w:rsidR="00906CC2">
        <w:rPr>
          <w:rFonts w:cstheme="minorHAnsi"/>
          <w:lang w:val="en-US"/>
        </w:rPr>
        <w:t>carry out finer-grained studies of</w:t>
      </w:r>
      <w:r w:rsidRPr="00941F74">
        <w:rPr>
          <w:rFonts w:cstheme="minorHAnsi"/>
          <w:lang w:val="en-US"/>
        </w:rPr>
        <w:t xml:space="preserve"> long-term landscape </w:t>
      </w:r>
      <w:r w:rsidR="00906CC2">
        <w:rPr>
          <w:rFonts w:cstheme="minorHAnsi"/>
          <w:lang w:val="en-US"/>
        </w:rPr>
        <w:t>changes, and hence to address</w:t>
      </w:r>
      <w:r w:rsidRPr="00941F74">
        <w:rPr>
          <w:rFonts w:cstheme="minorHAnsi"/>
          <w:lang w:val="en-US"/>
        </w:rPr>
        <w:t xml:space="preserve"> several scientific issues such as understanding landscape/land-use relationships or the legacy of these changes on biodiversity patterns at several scales within a landscape (alpha, beta diversities; </w:t>
      </w:r>
      <w:r w:rsidR="00077C3F" w:rsidRPr="00941F74">
        <w:rPr>
          <w:rFonts w:cstheme="minorHAnsi"/>
          <w:lang w:val="en-US"/>
        </w:rPr>
        <w:fldChar w:fldCharType="begin"/>
      </w:r>
      <w:r w:rsidR="0047569F" w:rsidRPr="00941F74">
        <w:rPr>
          <w:rFonts w:cstheme="minorHAnsi"/>
          <w:lang w:val="en-US"/>
        </w:rPr>
        <w:instrText xml:space="preserve"> ADDIN ZOTERO_ITEM CSL_CITATION {"citationID":"lbuW9Am0","properties":{"formattedCitation":"(Tscharntke et al., 2012)","plainCitation":"(Tscharntke et al., 2012)","dontUpdate":true,"noteIndex":0},"citationItems":[{"id":2075,"uris":["http://zotero.org/users/10290022/items/LI8WF5XC"],"itemData":{"id":2075,"type":"article-journal","container-title":"Biological Reviews","DOI":"10.1111/j.1469-185X.2011.00216.x","page":"661-685","title":"Landscape moderation of biodiversity patterns and processes - eight hypotheses","volume":"87","author":[{"family":"Tscharntke","given":"Teja"},{"family":"Tylianakis","given":"Jason M"},{"family":"Rand","given":"Tatyana A"},{"family":"Didham","given":"Raphael K"},{"family":"Fahrig","given":"Lenore"},{"family":"Bengtsson","given":"Janne"},{"family":"Clough","given":"Yann"},{"family":"Crist","given":"Thomas O"},{"family":"Dormann","given":"Carsten F"},{"family":"Ewers","given":"Robert M"},{"family":"Fr","given":"Jochen"},{"family":"Holt","given":"Robert D"},{"family":"Klein","given":"Alexandra M"},{"family":"Kleijn","given":"David"},{"family":"Kremen","given":"Claire"},{"family":"Doug","given":"A"},{"family":"Laurance","given":"William"},{"family":"Lindenmayer","given":"David"},{"family":"Scherber","given":"Christoph"},{"family":"Sodhi","given":"Navjot"},{"family":"Steffan-dewenter","given":"Ingolf"},{"family":"Thies","given":"Carsten"},{"family":"Putten","given":"Wim H","non-dropping-particle":"van der"},{"family":"Westphal","given":"Catrin"}],"issued":{"date-parts":[["2012"]]}}}],"schema":"https://github.com/citation-style-language/schema/raw/master/csl-citation.json"} </w:instrText>
      </w:r>
      <w:r w:rsidR="00077C3F" w:rsidRPr="00941F74">
        <w:rPr>
          <w:rFonts w:cstheme="minorHAnsi"/>
          <w:lang w:val="en-US"/>
        </w:rPr>
        <w:fldChar w:fldCharType="separate"/>
      </w:r>
      <w:r w:rsidR="00077C3F" w:rsidRPr="00941F74">
        <w:rPr>
          <w:rFonts w:ascii="Calibri" w:hAnsi="Calibri" w:cs="Calibri"/>
          <w:lang w:val="en-US"/>
        </w:rPr>
        <w:t>Tscharntke et al., 2012)</w:t>
      </w:r>
      <w:r w:rsidR="00077C3F" w:rsidRPr="00941F74">
        <w:rPr>
          <w:rFonts w:cstheme="minorHAnsi"/>
          <w:lang w:val="en-US"/>
        </w:rPr>
        <w:fldChar w:fldCharType="end"/>
      </w:r>
      <w:r w:rsidRPr="00941F74">
        <w:rPr>
          <w:rFonts w:cstheme="minorHAnsi"/>
          <w:lang w:val="en-US"/>
        </w:rPr>
        <w:t>, or the response of vegetation to climate changes.</w:t>
      </w:r>
    </w:p>
    <w:p w14:paraId="06C0B90F" w14:textId="2F81B736" w:rsidR="003F3229" w:rsidRPr="00941F74" w:rsidRDefault="003F3229">
      <w:pPr>
        <w:spacing w:line="480" w:lineRule="auto"/>
        <w:contextualSpacing/>
        <w:rPr>
          <w:rFonts w:cstheme="minorHAnsi"/>
          <w:lang w:val="en-US"/>
        </w:rPr>
      </w:pPr>
      <w:r w:rsidRPr="00941F74">
        <w:rPr>
          <w:rStyle w:val="rynqvb"/>
          <w:lang w:val="en"/>
        </w:rPr>
        <w:t>The BACKLAND approach is a static modeling approach, and the integrated explanatory variables do not include socio-economic, ecological or climatic drivers whose variation can influence the land-cover spatial and temporal variability.</w:t>
      </w:r>
      <w:r w:rsidRPr="00941F74">
        <w:rPr>
          <w:rStyle w:val="hwtze"/>
          <w:lang w:val="en"/>
        </w:rPr>
        <w:t xml:space="preserve"> </w:t>
      </w:r>
      <w:r w:rsidRPr="00941F74">
        <w:rPr>
          <w:rStyle w:val="rynqvb"/>
          <w:lang w:val="en"/>
        </w:rPr>
        <w:t>However, by integrating and spatialising the LOVE estimates, BACKLAND indirectly integrates the effect of these drivers on vegetation composition and configuration.</w:t>
      </w:r>
      <w:r w:rsidRPr="00941F74">
        <w:rPr>
          <w:rStyle w:val="hwtze"/>
          <w:lang w:val="en"/>
        </w:rPr>
        <w:t xml:space="preserve"> </w:t>
      </w:r>
      <w:r w:rsidR="00AC2460" w:rsidRPr="00941F74">
        <w:rPr>
          <w:rStyle w:val="hwtze"/>
          <w:lang w:val="en"/>
        </w:rPr>
        <w:t>Future studies would be needed</w:t>
      </w:r>
      <w:r w:rsidRPr="00941F74">
        <w:rPr>
          <w:rStyle w:val="rynqvb"/>
          <w:lang w:val="en"/>
        </w:rPr>
        <w:t xml:space="preserve"> to compare the </w:t>
      </w:r>
      <w:r w:rsidR="00AC2460" w:rsidRPr="00941F74">
        <w:rPr>
          <w:rStyle w:val="rynqvb"/>
          <w:lang w:val="en"/>
        </w:rPr>
        <w:t>outputs</w:t>
      </w:r>
      <w:r w:rsidRPr="00941F74">
        <w:rPr>
          <w:rStyle w:val="rynqvb"/>
          <w:lang w:val="en"/>
        </w:rPr>
        <w:t xml:space="preserve"> of this static diachronic approach with those of other types of </w:t>
      </w:r>
      <w:r w:rsidR="00AC2460" w:rsidRPr="00941F74">
        <w:rPr>
          <w:rStyle w:val="rynqvb"/>
          <w:lang w:val="en"/>
        </w:rPr>
        <w:t xml:space="preserve">pattern-based </w:t>
      </w:r>
      <w:r w:rsidR="00AC2460" w:rsidRPr="00941F74">
        <w:rPr>
          <w:rStyle w:val="rynqvb"/>
          <w:lang w:val="en"/>
        </w:rPr>
        <w:fldChar w:fldCharType="begin"/>
      </w:r>
      <w:r w:rsidR="003B1EC2">
        <w:rPr>
          <w:rStyle w:val="rynqvb"/>
          <w:lang w:val="en"/>
        </w:rPr>
        <w:instrText xml:space="preserve"> ADDIN ZOTERO_ITEM CSL_CITATION {"citationID":"0UbzdukK","properties":{"formattedCitation":"(Houet et al., 2012a, 2012b)","plainCitation":"(Houet et al., 2012a, 2012b)","noteIndex":0},"citationItems":[{"id":1329,"uris":["http://zotero.org/users/10290022/items/4QJ35T4M"],"itemData":{"id":1329,"type":"paper-conference","container-title":"AGILE","event-place":"Avignon","ISBN":"978-90-816960-0-5","page":"1","publisher-place":"Avignon","title":"Modelling past and future land cover changes . A multi-scale approach applied in the Pyrenees","author":[{"family":"Houet","given":"Thomas"},{"family":"Galop","given":"Didier"},{"family":"Mazier","given":"Florence"},{"family":"Sheeren","given":"David"},{"family":"Dejoux","given":"J. F."}],"issued":{"date-parts":[["2012"]]}}},{"id":2294,"uris":["http://zotero.org/users/10290022/items/QZ8DYY6Y"],"itemData":{"id":2294,"type":"article-journal","container-title":"Sud-Ouest Européen","DOI":"https://doi.org/10.4000/soe.210","page":"41-56","title":"Caractérisation de la fermeture des paysages dans les Pyrénées depuis les années 1940. Application sur le Haut-Vicdessos.","volume":"33","author":[{"family":"Houet","given":"Thomas"},{"family":"Ribière","given":"Olivier"},{"family":"Vacquie","given":"Laure A."},{"family":"Vidal","given":"Franck"},{"family":"Galop","given":"Didier"}],"issued":{"date-parts":[["2012"]]}}}],"schema":"https://github.com/citation-style-language/schema/raw/master/csl-citation.json"} </w:instrText>
      </w:r>
      <w:r w:rsidR="00AC2460" w:rsidRPr="00941F74">
        <w:rPr>
          <w:rStyle w:val="rynqvb"/>
          <w:lang w:val="en"/>
        </w:rPr>
        <w:fldChar w:fldCharType="separate"/>
      </w:r>
      <w:r w:rsidR="003B1EC2" w:rsidRPr="003B1EC2">
        <w:rPr>
          <w:rFonts w:ascii="Calibri" w:hAnsi="Calibri" w:cs="Calibri"/>
          <w:lang w:val="en-US"/>
        </w:rPr>
        <w:t>(Houet et al., 2012a, 2012b)</w:t>
      </w:r>
      <w:r w:rsidR="00AC2460" w:rsidRPr="00941F74">
        <w:rPr>
          <w:rStyle w:val="rynqvb"/>
          <w:lang w:val="en"/>
        </w:rPr>
        <w:fldChar w:fldCharType="end"/>
      </w:r>
      <w:r w:rsidR="00AC2460" w:rsidRPr="00941F74">
        <w:rPr>
          <w:rStyle w:val="rynqvb"/>
          <w:lang w:val="en"/>
        </w:rPr>
        <w:t xml:space="preserve"> or process-based </w:t>
      </w:r>
      <w:r w:rsidR="00AC2460" w:rsidRPr="00941F74">
        <w:rPr>
          <w:rStyle w:val="rynqvb"/>
          <w:lang w:val="en"/>
        </w:rPr>
        <w:fldChar w:fldCharType="begin"/>
      </w:r>
      <w:r w:rsidR="003B1EC2">
        <w:rPr>
          <w:rStyle w:val="rynqvb"/>
          <w:lang w:val="en"/>
        </w:rPr>
        <w:instrText xml:space="preserve"> ADDIN ZOTERO_ITEM CSL_CITATION {"citationID":"4iInHDLb","properties":{"formattedCitation":"(Cosme et al., 2022; Gaucherel et al., 2020; Gaucherel and Pommereau, 2019)","plainCitation":"(Cosme et al., 2022; Gaucherel et al., 2020; Gaucherel and Pommereau, 2019)","noteIndex":0},"citationItems":[{"id":3308,"uris":["http://zotero.org/users/10290022/items/BGK2BRCQ"],"itemData":{"id":3308,"type":"article-journal","abstract":"Sub-Saharan social-ecological systems are undergoing changes in environmental conditions, including modifications in rainfall pattern and biodiversity loss. Consequences of such changes depend on complex causal chains which call for integrated management strategies whose efficiency could benefit from ecosystem dynamic modeling. However, ecosystem models often require lots of quantitative information for estimating parameters, which is often unavailable. Alternatively, qualitative modeling frameworks have proved useful for explaining ecosystem responses to perturbations, while only requiring qualitative information about social-ecological interactions and events and providing more general predictions due to their validity for wide ranges of parameter values. In this paper, we propose the Ecological Discrete-Event Network (EDEN), an innovative qualitative dynamic modeling framework based on “if-then” rules generating non-deterministic dynamics. Based on expert knowledge, observations, and literature, we use EDEN to assess the effect of permanent changes in surface water and herbivores diversity on vegetation and socio-economic transitions in an East African savanna. Results show that water availability drives changes in vegetation and socio-economic transitions, while herbivore functional groups have highly contrasted effects depending on the group. This first use of EDEN in a savanna context is promising for bridging expert knowledge and ecosystem modeling.","container-title":"Land","DOI":"10.3390/land11010042","ISSN":"2073-445X","issue":"1","language":"en","license":"http://creativecommons.org/licenses/by/3.0/","note":"number: 1\npublisher: Multidisciplinary Digital Publishing Institute","page":"42","source":"www.mdpi.com","title":"Qualitative Modeling for Bridging Expert-Knowledge and Social-Ecological Dynamics of an East African Savanna","URL":"https://www.mdpi.com/2073-445X/11/1/42","volume":"11","author":[{"family":"Cosme","given":"Maximilien"},{"family":"Hély","given":"Christelle"},{"family":"Pommereau","given":"Franck"},{"family":"Pasquariello","given":"Paolo"},{"family":"Tiberi","given":"Christel"},{"family":"Treydte","given":"Anna"},{"family":"Gaucherel","given":"C."}],"accessed":{"date-parts":[["2023",2,6]]},"issued":{"date-parts":[["2022"]]}}},{"id":3314,"uris":["http://zotero.org/users/10290022/items/PWRF7DLY"],"itemData":{"id":3314,"type":"article-journal","abstract":"Ecosystems are complex objects, simultaneously combining biotic, abiotic, and human components and processes. Ecologists still struggle to understand ecosystems, and one main method for achieving an understanding consists in computing potential surfaces based on physical dynamical systems. We argue in this conceptual paper that the foundations of this analogy between physical and ecological systems are inappropriate and aim to propose a new method that better reflects the properties of ecosystems, especially complex, historical nonergodic systems, to which physical concepts are not well suited. As an alternative proposition, we have developed rigorous possibilistic, process-based models inspired by the discrete-event systems found in computer science and produced a panel of outputs and tools to analyze the system dynamics under examination. The state space computed by these kinds of discrete ecosystem models provides a relevant concept for a holistic understanding of the dynamics of an ecosystem and its abovementioned properties. Taking as a specific example an ecosystem simplified to its process interaction network, we show here how to proceed and why a state space is more appropriate than a corresponding potential surface.","container-title":"Complexity","DOI":"10.1155/2020/7163920","ISSN":"1076-2787","language":"en","note":"publisher: Hindawi","page":"1-14","source":"www.hindawi.com","title":"Understanding Ecosystem Complexity via Application of a Process-Based State Space rather than a Potential Surface","URL":"https://www.hindawi.com/journals/complexity/2020/7163920/","volume":"2020","author":[{"family":"Gaucherel","given":"C."},{"family":"Pommereau","given":"F."},{"family":"Hély","given":"C."}],"accessed":{"date-parts":[["2023",2,6]]},"issued":{"date-parts":[["2020"]]}}},{"id":3311,"uris":["http://zotero.org/users/10290022/items/U6EQ5CKV"],"itemData":{"id":3311,"type":"article-journal","container-title":"Methods in Ecology and Evolution","DOI":"10.1111/2041-210X.13242","ISSN":"2041-210X, 2041-210X","issue":"9","journalAbbreviation":"Methods Ecol Evol","language":"en","page":"1615-1627","source":"DOI.org (Crossref)","title":"Using discrete systems to exhaustively characterize the dynamics of an integrated ecosystem","URL":"https://onlinelibrary.wiley.com/doi/10.1111/2041-210X.13242","volume":"10","author":[{"family":"Gaucherel","given":"C."},{"family":"Pommereau","given":"Franck"}],"editor":[{"family":"Chisholm","given":"Ryan"}],"accessed":{"date-parts":[["2023",2,6]]},"issued":{"date-parts":[["2019"]]}}}],"schema":"https://github.com/citation-style-language/schema/raw/master/csl-citation.json"} </w:instrText>
      </w:r>
      <w:r w:rsidR="00AC2460" w:rsidRPr="00941F74">
        <w:rPr>
          <w:rStyle w:val="rynqvb"/>
          <w:lang w:val="en"/>
        </w:rPr>
        <w:fldChar w:fldCharType="separate"/>
      </w:r>
      <w:r w:rsidR="003B1EC2" w:rsidRPr="003B1EC2">
        <w:rPr>
          <w:rFonts w:ascii="Calibri" w:hAnsi="Calibri" w:cs="Calibri"/>
          <w:lang w:val="en-US"/>
        </w:rPr>
        <w:t>(Cosme et al., 2022; Gaucherel et al., 2020; Gaucherel and Pommereau, 2019)</w:t>
      </w:r>
      <w:r w:rsidR="00AC2460" w:rsidRPr="00941F74">
        <w:rPr>
          <w:rStyle w:val="rynqvb"/>
          <w:lang w:val="en"/>
        </w:rPr>
        <w:fldChar w:fldCharType="end"/>
      </w:r>
      <w:r w:rsidR="00AC2460" w:rsidRPr="00941F74">
        <w:rPr>
          <w:rStyle w:val="rynqvb"/>
          <w:lang w:val="en"/>
        </w:rPr>
        <w:t xml:space="preserve"> </w:t>
      </w:r>
      <w:r w:rsidRPr="00941F74">
        <w:rPr>
          <w:rStyle w:val="rynqvb"/>
          <w:lang w:val="en"/>
        </w:rPr>
        <w:t>modeling approaches, in order to evaluate and interpret the convergences and divergences of the modeled trajectories.</w:t>
      </w:r>
      <w:r w:rsidRPr="00941F74">
        <w:rPr>
          <w:rStyle w:val="hwtze"/>
          <w:lang w:val="en"/>
        </w:rPr>
        <w:t xml:space="preserve"> </w:t>
      </w:r>
      <w:r w:rsidRPr="00941F74">
        <w:rPr>
          <w:rStyle w:val="rynqvb"/>
          <w:lang w:val="en"/>
        </w:rPr>
        <w:t>Such comparisons will allow a better overall understanding of the</w:t>
      </w:r>
      <w:r w:rsidR="00AC2460" w:rsidRPr="00941F74">
        <w:rPr>
          <w:rStyle w:val="rynqvb"/>
          <w:lang w:val="en"/>
        </w:rPr>
        <w:t xml:space="preserve"> </w:t>
      </w:r>
      <w:proofErr w:type="spellStart"/>
      <w:r w:rsidR="00AC2460" w:rsidRPr="00941F74">
        <w:rPr>
          <w:rStyle w:val="rynqvb"/>
          <w:lang w:val="en"/>
        </w:rPr>
        <w:t>Bassiès</w:t>
      </w:r>
      <w:proofErr w:type="spellEnd"/>
      <w:r w:rsidRPr="00941F74">
        <w:rPr>
          <w:rStyle w:val="rynqvb"/>
          <w:lang w:val="en"/>
        </w:rPr>
        <w:t xml:space="preserve"> soc</w:t>
      </w:r>
      <w:r w:rsidR="00AC2460" w:rsidRPr="00941F74">
        <w:rPr>
          <w:rStyle w:val="rynqvb"/>
          <w:lang w:val="en"/>
        </w:rPr>
        <w:t xml:space="preserve">io-ecosystem dynamics </w:t>
      </w:r>
      <w:r w:rsidR="00AC2460" w:rsidRPr="00941F74">
        <w:rPr>
          <w:rStyle w:val="rynqvb"/>
          <w:lang w:val="en"/>
        </w:rPr>
        <w:fldChar w:fldCharType="begin"/>
      </w:r>
      <w:r w:rsidR="003B1EC2">
        <w:rPr>
          <w:rStyle w:val="rynqvb"/>
          <w:lang w:val="en"/>
        </w:rPr>
        <w:instrText xml:space="preserve"> ADDIN ZOTERO_ITEM CSL_CITATION {"citationID":"8CHscuzx","properties":{"formattedCitation":"(Gritti et al., 2013; Houet et al., 2010)","plainCitation":"(Gritti et al., 2013; Houet et al., 2010)","noteIndex":0},"citationItems":[{"id":2685,"uris":["http://zotero.org/users/10290022/items/YSB2VNXZ"],"itemData":{"id":2685,"type":"article-journal","abstract":"Today, more than ever, robust projections of potential species range shifts are needed to anticipate and mitigate the impacts of climate change on biodiversity and ecosystem services. Such projections are so far provided almost exclusively by correlative species distribution models (correlative SDMs). However, concerns regarding the reliability of their predictive power are growing and several authors call for the development of process-based SDMs. Still, each of these methods presents strengths and weakness which have to be estimated if they are to be reliably used by decision makers. In this study we compare projections of three different SDMs (STASH, LPJ and PHENOFIT) that lie in the continuum between correlative models and process-based models for the current distribution of three major European tree species, Fagus sylvatica L., Quercus robur L. and Pinus sylvestris L. We compare the consistency of the model simulations using an innovative comparison map profile method, integrating local and multi-scale comparisons. The three models simulate relatively accurately the current distribution of the three species. The process-based model performs almost as well as the correlative model, although parameters of the former are not fitted to the observed species distributions. According to our simulations, species range limits are triggered, at the European scale, by establishment and survival through processes primarily related to phenology and resistance to abiotic stress rather than to growth efficiency. The accuracy of projections of the hybrid and process-based model could however be improved by integrating a more realistic representation of the species resistance to water stress for instance, advocating for pursuing efforts to understand and formulate explicitly the impact of climatic conditions and variations on these processes.","container-title":"PLoS ONE","DOI":"10.1371/journal.pone.0068823","ISSN":"1932-6203","issue":"7","note":"publisher: Public Library of Science","page":"1-12","title":"How can model comparison help improving species distribution models?","URL":"http://dx.plos.org/10.1371/journal.pone.0068823","volume":"8","author":[{"family":"Gritti","given":"Emmanuel Stephan"},{"family":"Gaucherel","given":"C."},{"family":"Crespo-Perez","given":"Maria-Veronica"},{"family":"Chuine","given":"Isabelle"}],"editor":[{"family":"Bond-Lamberty","given":"Ben"}],"accessed":{"date-parts":[["2018",5,26]]},"issued":{"date-parts":[["2013",7,9]]}}},{"id":2455,"uris":["http://zotero.org/users/10290022/items/DA6WMK9D"],"itemData":{"id":2455,"type":"article-journal","DOI":"10.1007/s10980-009-9417-x","note":"ISBN: 1098000994","page":"163-167","title":"Monitoring and modelling landscape dynamics","author":[{"family":"Houet","given":"Thomas"},{"family":"Verburg","given":"Peter H"},{"family":"Loveland","given":"Thomas R"}],"issued":{"date-parts":[["2010"]]}}}],"schema":"https://github.com/citation-style-language/schema/raw/master/csl-citation.json"} </w:instrText>
      </w:r>
      <w:r w:rsidR="00AC2460" w:rsidRPr="00941F74">
        <w:rPr>
          <w:rStyle w:val="rynqvb"/>
          <w:lang w:val="en"/>
        </w:rPr>
        <w:fldChar w:fldCharType="separate"/>
      </w:r>
      <w:r w:rsidR="003B1EC2" w:rsidRPr="00EF1F50">
        <w:rPr>
          <w:rFonts w:ascii="Calibri" w:hAnsi="Calibri" w:cs="Calibri"/>
          <w:lang w:val="en-US"/>
        </w:rPr>
        <w:t>(</w:t>
      </w:r>
      <w:proofErr w:type="spellStart"/>
      <w:r w:rsidR="003B1EC2" w:rsidRPr="00EF1F50">
        <w:rPr>
          <w:rFonts w:ascii="Calibri" w:hAnsi="Calibri" w:cs="Calibri"/>
          <w:lang w:val="en-US"/>
        </w:rPr>
        <w:t>Gritti</w:t>
      </w:r>
      <w:proofErr w:type="spellEnd"/>
      <w:r w:rsidR="003B1EC2" w:rsidRPr="00EF1F50">
        <w:rPr>
          <w:rFonts w:ascii="Calibri" w:hAnsi="Calibri" w:cs="Calibri"/>
          <w:lang w:val="en-US"/>
        </w:rPr>
        <w:t xml:space="preserve"> et al., 2013; </w:t>
      </w:r>
      <w:proofErr w:type="spellStart"/>
      <w:r w:rsidR="003B1EC2" w:rsidRPr="00EF1F50">
        <w:rPr>
          <w:rFonts w:ascii="Calibri" w:hAnsi="Calibri" w:cs="Calibri"/>
          <w:lang w:val="en-US"/>
        </w:rPr>
        <w:t>Houet</w:t>
      </w:r>
      <w:proofErr w:type="spellEnd"/>
      <w:r w:rsidR="003B1EC2" w:rsidRPr="00EF1F50">
        <w:rPr>
          <w:rFonts w:ascii="Calibri" w:hAnsi="Calibri" w:cs="Calibri"/>
          <w:lang w:val="en-US"/>
        </w:rPr>
        <w:t xml:space="preserve"> et al., 2010)</w:t>
      </w:r>
      <w:r w:rsidR="00AC2460" w:rsidRPr="00941F74">
        <w:rPr>
          <w:rStyle w:val="rynqvb"/>
          <w:lang w:val="en"/>
        </w:rPr>
        <w:fldChar w:fldCharType="end"/>
      </w:r>
      <w:r w:rsidRPr="00941F74">
        <w:rPr>
          <w:rStyle w:val="rynqvb"/>
          <w:lang w:val="en"/>
        </w:rPr>
        <w:t>.</w:t>
      </w:r>
    </w:p>
    <w:p w14:paraId="6AAFD99C" w14:textId="399006BA" w:rsidR="002036A3" w:rsidRPr="00941F74" w:rsidRDefault="00283BDE">
      <w:pPr>
        <w:spacing w:line="480" w:lineRule="auto"/>
        <w:contextualSpacing/>
        <w:rPr>
          <w:rFonts w:cstheme="minorHAnsi"/>
          <w:lang w:val="en-US"/>
        </w:rPr>
      </w:pPr>
      <w:r w:rsidRPr="00941F74">
        <w:rPr>
          <w:rFonts w:cstheme="minorHAnsi"/>
          <w:lang w:val="en-US"/>
        </w:rPr>
        <w:t>Better understanding and managing cultural landscapes, characterizing th</w:t>
      </w:r>
      <w:r w:rsidR="00ED224F" w:rsidRPr="00941F74">
        <w:rPr>
          <w:rFonts w:cstheme="minorHAnsi"/>
          <w:lang w:val="en-US"/>
        </w:rPr>
        <w:t>eir ecosystem service dynamics, being able to predict their trajectories</w:t>
      </w:r>
      <w:r w:rsidRPr="00941F74">
        <w:rPr>
          <w:rFonts w:cstheme="minorHAnsi"/>
          <w:lang w:val="en-US"/>
        </w:rPr>
        <w:t xml:space="preserve"> following land-use and land-cover changes</w:t>
      </w:r>
      <w:r w:rsidR="00ED224F" w:rsidRPr="00941F74">
        <w:rPr>
          <w:rFonts w:cstheme="minorHAnsi"/>
          <w:lang w:val="en-US"/>
        </w:rPr>
        <w:t>, and improving their management strategies</w:t>
      </w:r>
      <w:r w:rsidRPr="00941F74">
        <w:rPr>
          <w:rFonts w:cstheme="minorHAnsi"/>
          <w:lang w:val="en-US"/>
        </w:rPr>
        <w:t xml:space="preserve"> are research priorities involving a close connection between ecology</w:t>
      </w:r>
      <w:r w:rsidR="008B7197" w:rsidRPr="00941F74">
        <w:rPr>
          <w:rFonts w:cstheme="minorHAnsi"/>
          <w:lang w:val="en-US"/>
        </w:rPr>
        <w:t xml:space="preserve"> and palaeoecology</w:t>
      </w:r>
      <w:r w:rsidR="00077C3F" w:rsidRPr="00941F74">
        <w:rPr>
          <w:rFonts w:cstheme="minorHAnsi"/>
          <w:lang w:val="en-US"/>
        </w:rPr>
        <w:t xml:space="preserve"> </w:t>
      </w:r>
      <w:r w:rsidR="00077C3F" w:rsidRPr="00941F74">
        <w:rPr>
          <w:rFonts w:cstheme="minorHAnsi"/>
          <w:lang w:val="en-US"/>
        </w:rPr>
        <w:fldChar w:fldCharType="begin"/>
      </w:r>
      <w:r w:rsidR="003B1EC2">
        <w:rPr>
          <w:rFonts w:cstheme="minorHAnsi"/>
          <w:lang w:val="en-US"/>
        </w:rPr>
        <w:instrText xml:space="preserve"> ADDIN ZOTERO_ITEM CSL_CITATION {"citationID":"I8o0Xxrk","properties":{"formattedCitation":"(Rull, 2014; Seddon et al., 2014)","plainCitation":"(Rull, 2014; Seddon et al., 2014)","noteIndex":0},"citationItems":[{"id":446,"uris":["http://zotero.org/users/10290022/items/ZUA6EQWY"],"itemData":{"id":446,"type":"article-journal","abstract":"Theneedforlong-termstudiestounderstandecologicaldynamicsiswidelyrecognizedbuthasnotbeensatisfactorilyaddressedtodate.Thedevelopmentof“long-term”(LT)observatorieshasaimedtoimprovethesituation,butthemainhandicapsarethatweshouldwaitforgenerationstoyieldreliableresultsandthatanumberofecologicalprocessesoccurringattimescaleslargerthancenturieswillnotbefullyresolved.Palaeoecologycanprovidetheneededtimescalefortruelong-termecology,butitislimitedbytheabilitytomergeecological,andpalaeoecologicaldataintocontinuoustimeseries.Thispapersuggestsapracticalwayofattainingsuchgoalsbasedontheconceptoftimecontinuum.Ashortreviewisprovidedonthemainhandicapsforpalaeoecologicalrecordstobeincorporatedintocurrentecologicaldatasetsandtherecentimprovementsinthefield.Aglobalnetworkofpast-present-futureecologicalobservatories(PPFEO)centeredaroundlakeswithannually-laminatedsedimentscouldactasameansofproducingtrulylong-termandcontinuousecologicalrecordsbycombininghigh-resolutionpalaeoecologicaltechniqueswithecologicalmethodscommonlyusedinLTobservatories.","container-title":"Frontiers in Ecology and Evolution","DOI":"10.3389/fevo.2014.00075","ISSN":"2296-701X","issue":"November","note":"ISBN: 2296-701X","page":"1-7","title":"Time continuum and true long-term ecology: from theory to practice","URL":"http://journal.frontiersin.org/article/10.3389/fevo.2014.00075/abstract","volume":"2","author":[{"family":"Rull","given":"ValentÃ"}],"issued":{"date-parts":[["2014"]]}}},{"id":1991,"uris":["http://zotero.org/users/10290022/items/QWGWMHAE"],"itemData":{"id":1991,"type":"article-journal","abstract":"Priority question exercises are becoming an increasingly common tool to frame future agendas in conservation and ecological science. They are an effective way to identify research foci that advance the field and that also have high policy and conservation relevance. To date, there has been no coherent synthesis of key questions and priority research areas for palaeoecology, which combines biological, geochemical and molecular techniques in order to reconstruct past ecological and environmental systems on time-scales from decades to millions of years. We adapted a well-established methodology to identify 50 priority research questions in palaeoecology. Using a set of criteria designed to identify realistic and achievable research goals, we selected questions from a pool submitted by the international palaeoecology research community and relevant policy practitioners. The integration of online participation, both before and during the workshop, increased international engagement in question selection. The questions selected are structured around six themes: human-environment interactions in the Anthropocene; biodiversity, conservation and novel ecosystems; biodiversity over long time-scales; ecosystem processes and biogeochemical cycling; comparing, combining and synthesizing information from multiple records; and new developments in palaeoecology. Future opportunities in palaeoecology are related to improved incorporation of uncertainty into reconstructions, an enhanced understanding of ecological and evolutionary dynamics and processes and the continued application of long-term data for better-informed landscape management.Synthesis. Palaeoecology is a vibrant and thriving discipline, and these 50 priority questions highlight its potential for addressing both pure (e.g. ecological and evolutionary, methodological) and applied (e.g. environmental and conservation) issues related to ecological science and global change.","container-title":"Journal of Ecology","DOI":"10.1111/1365-2745.12195","ISSN":"00220477","issue":"1","note":"ISBN: 0022-0477","title":"Looking forward through the past: Identification of 50 priority research questions in palaeoecology","volume":"102","author":[{"family":"Seddon","given":"Alistair W.R."},{"family":"Mackay","given":"Anson W."},{"family":"Baker","given":"Ambroise G."},{"family":"Birks","given":"H. John B."},{"family":"Breman","given":"Elinor"},{"family":"Buck","given":"Caitlin E."},{"family":"Ellis","given":"Erle C."},{"family":"Froyd","given":"Cynthia A."},{"family":"Gill","given":"Jacquelyn L."},{"family":"Gillson","given":"Lindsey"},{"family":"Johnson","given":"Edward A."},{"family":"Jones","given":"Vivienne J."},{"family":"Juggins","given":"Stephen"},{"family":"Macias-Fauria","given":"Marc"},{"family":"Mills","given":"Keely"},{"family":"Morris","given":"Jesse L."},{"family":"Nogués-Bravo","given":"David"},{"family":"Punyasena","given":"Surangi W."},{"family":"Roland","given":"Thomas P."},{"family":"Tanentzap","given":"Andrew J."},{"family":"Willis","given":"Kathy J."},{"family":"Aberhan","given":"Martin"},{"family":"Asperen","given":"Eline N.","non-dropping-particle":"van"},{"family":"Austin","given":"William E.N."},{"family":"Battarbee","given":"Rick W."},{"family":"Bhagwat","given":"Shonil"},{"family":"Belanger","given":"Christina L."},{"family":"Bennett","given":"Keith D."},{"family":"Birks","given":"Hilary H."},{"family":"Bronk Ramsey","given":"Christopher"},{"family":"Brooks","given":"Stephen J."},{"family":"Bruyn","given":"Mark","non-dropping-particle":"de"},{"family":"Butler","given":"Paul G."},{"family":"Chambers","given":"Frank M."},{"family":"Clarke","given":"Stewart J."},{"family":"Davies","given":"Althea L."},{"family":"Dearing","given":"John A."},{"family":"Ezard","given":"Thomas H.G."},{"family":"Feurdean","given":"Angelica"},{"family":"Flower","given":"Roger J."},{"family":"Gell","given":"Peter"},{"family":"Hausmann","given":"Sonja"},{"family":"Hogan","given":"Erika J."},{"family":"Hopkins","given":"Melanie J."},{"family":"Jeffers","given":"Elizabeth S."},{"family":"Korhola","given":"Atte A."},{"family":"Marchant","given":"Robert"},{"family":"Kiefer","given":"Thorsten"},{"family":"Lamentowicz","given":"Mariusz"},{"family":"Larocque-Tobler","given":"Isabelle"},{"family":"López-Merino","given":"Lourdes"},{"family":"Liow","given":"Lee H."},{"family":"Mcgowan","given":"Suzanne"},{"family":"Miller","given":"Joshua H."},{"family":"Montoya","given":"Encarni"},{"family":"Morton","given":"Oliver"},{"family":"Nogué","given":"Sandra"},{"family":"Onoufriou","given":"Chloe"},{"family":"Boush","given":"Lisa P."},{"family":"Rodriguez-Sanchez","given":"Francisco"},{"family":"Rose","given":"Neil L."},{"family":"Sayer","given":"Carl D."},{"family":"Shaw","given":"Helen E."},{"family":"Payne","given":"Richard"},{"family":"Simpson","given":"Gavin"},{"family":"Sohar","given":"Kadri"},{"family":"Whitehouse","given":"Nicki J."},{"family":"Williams","given":"John W."},{"family":"Witkowski","given":"Andrzej"}],"issued":{"date-parts":[["2014"]]}}}],"schema":"https://github.com/citation-style-language/schema/raw/master/csl-citation.json"} </w:instrText>
      </w:r>
      <w:r w:rsidR="00077C3F" w:rsidRPr="00941F74">
        <w:rPr>
          <w:rFonts w:cstheme="minorHAnsi"/>
          <w:lang w:val="en-US"/>
        </w:rPr>
        <w:fldChar w:fldCharType="separate"/>
      </w:r>
      <w:r w:rsidR="003B1EC2" w:rsidRPr="003B1EC2">
        <w:rPr>
          <w:rFonts w:ascii="Calibri" w:hAnsi="Calibri" w:cs="Calibri"/>
          <w:lang w:val="en-US"/>
        </w:rPr>
        <w:t>(Rull, 2014; Seddon et al., 2014)</w:t>
      </w:r>
      <w:r w:rsidR="00077C3F" w:rsidRPr="00941F74">
        <w:rPr>
          <w:rFonts w:cstheme="minorHAnsi"/>
          <w:lang w:val="en-US"/>
        </w:rPr>
        <w:fldChar w:fldCharType="end"/>
      </w:r>
      <w:r w:rsidRPr="00941F74">
        <w:rPr>
          <w:rFonts w:cstheme="minorHAnsi"/>
          <w:lang w:val="en-US"/>
        </w:rPr>
        <w:t xml:space="preserve">. </w:t>
      </w:r>
      <w:r w:rsidR="008B7197" w:rsidRPr="00941F74">
        <w:rPr>
          <w:rFonts w:cstheme="minorHAnsi"/>
          <w:lang w:val="en-US"/>
        </w:rPr>
        <w:t xml:space="preserve">Indeed, the few decades covered by </w:t>
      </w:r>
      <w:r w:rsidR="008B7197" w:rsidRPr="00941F74">
        <w:rPr>
          <w:rFonts w:cstheme="minorHAnsi"/>
          <w:lang w:val="en-US"/>
        </w:rPr>
        <w:lastRenderedPageBreak/>
        <w:t>ecological studies are not enough to fully integrate ecological processes</w:t>
      </w:r>
      <w:r w:rsidR="00077C3F" w:rsidRPr="00941F74">
        <w:rPr>
          <w:rFonts w:cstheme="minorHAnsi"/>
          <w:lang w:val="en-US"/>
        </w:rPr>
        <w:t xml:space="preserve"> </w:t>
      </w:r>
      <w:r w:rsidR="00077C3F" w:rsidRPr="00941F74">
        <w:rPr>
          <w:rFonts w:cstheme="minorHAnsi"/>
          <w:lang w:val="en-US"/>
        </w:rPr>
        <w:fldChar w:fldCharType="begin"/>
      </w:r>
      <w:r w:rsidR="003B1EC2">
        <w:rPr>
          <w:rFonts w:cstheme="minorHAnsi"/>
          <w:lang w:val="en-US"/>
        </w:rPr>
        <w:instrText xml:space="preserve"> ADDIN ZOTERO_ITEM CSL_CITATION {"citationID":"vQ02h5Ka","properties":{"formattedCitation":"(Jeffers et al., 2015)","plainCitation":"(Jeffers et al., 2015)","noteIndex":0},"citationItems":[{"id":2726,"uris":["http://zotero.org/users/10290022/items/9BY9J4IL"],"itemData":{"id":2726,"type":"article-journal","abstract":"Biological conservation and environmental management are increasingly focussing on the preservation and restoration of ecosystem services (i.e. the benefits that humans receive from the natural functioning of healthy ecosystems). Over the past decade there has been a rapid increase in the number of palaeoecological studies that have contributed to conservation of biodiversity and management of ecosystem processes; however, there are relatively few instances in which attempts have been made to estimate the continuity of ecosystem goods and services over time. How resistant is an ecosystem service to environmental perturbations? And, if damaged, how long it does it take an ecosystem service to recover? Both questions are highly relevant to conservation and management of landscapes that are important for ecosystem service provision and require an in-depth understanding of the way ecosystems function in space and time. An understanding of time is particularly relevant for those ecosystem services - be they supporting, provisioning, regulating or cultural services that involve processes that vary over a decadal (or longer) timeframe. Most trees, for example, have generation times &gt;50 years. Understanding the response of forested ecosystems to environmental perturbations and therefore the continuity of the ecosystem services they provide for human well-being - be it for example, carbon draw-down (regulating service) or timber (provisioning service) - requires datasets that reflect the typical replacement rates in these systems and the lifecycle of processes that alter their trajectories of change. Therefore, data are required that span decadal to millennial time-scales. Very rarely, however, is this information available from neo-ecological datasets and in many ecosystem service assessments, this lack of a temporal record is acknowledged as a significant information gap.This review aims to address this knowledge gap by examining the type and nature of palaeoecological datasets that might be critical to assessing the persistence of ecosystem services across a variety of time scales. Specifically we examine the types of palaeoecological records that can inform on the dynamics of ecosystem processes and services over time - and their response to complex environmental changes. We focus on three key areas: a) exploring the suitability of palaeoecological records for examining variability in space and time of ecosystem processes; b) using palaeoecological data to determine the resilience and persistence of ecosystem services and goods over time in response to drivers of change; and c) how best to translate raw palaeoecological data into the relevant currencies required for ecosystem service assessments.","container-title":"Quaternary Science Reviews","DOI":"10.1016/j.quascirev.2014.12.018","ISSN":"02773791","note":"ISBN: 0277-3791","title":"The role of palaeoecological records in assessing ecosystem services","volume":"112","author":[{"family":"Jeffers","given":"Elizabeth S."},{"family":"Nogué","given":"Sandra"},{"family":"Willis","given":"Katherine J."}],"issued":{"date-parts":[["2015"]]}}}],"schema":"https://github.com/citation-style-language/schema/raw/master/csl-citation.json"} </w:instrText>
      </w:r>
      <w:r w:rsidR="00077C3F" w:rsidRPr="00941F74">
        <w:rPr>
          <w:rFonts w:cstheme="minorHAnsi"/>
          <w:lang w:val="en-US"/>
        </w:rPr>
        <w:fldChar w:fldCharType="separate"/>
      </w:r>
      <w:r w:rsidR="003B1EC2" w:rsidRPr="003B1EC2">
        <w:rPr>
          <w:rFonts w:ascii="Calibri" w:hAnsi="Calibri" w:cs="Calibri"/>
          <w:lang w:val="en-US"/>
        </w:rPr>
        <w:t>(Jeffers et al., 2015)</w:t>
      </w:r>
      <w:r w:rsidR="00077C3F" w:rsidRPr="00941F74">
        <w:rPr>
          <w:rFonts w:cstheme="minorHAnsi"/>
          <w:lang w:val="en-US"/>
        </w:rPr>
        <w:fldChar w:fldCharType="end"/>
      </w:r>
      <w:r w:rsidR="008B7197" w:rsidRPr="00941F74">
        <w:rPr>
          <w:rFonts w:cstheme="minorHAnsi"/>
          <w:lang w:val="en-US"/>
        </w:rPr>
        <w:t xml:space="preserve">. </w:t>
      </w:r>
      <w:r w:rsidRPr="00941F74">
        <w:rPr>
          <w:rFonts w:cstheme="minorHAnsi"/>
          <w:lang w:val="en-US"/>
        </w:rPr>
        <w:t>Unlike ecology, paleoecology allows the integration of slow processes</w:t>
      </w:r>
      <w:r w:rsidR="0075148F" w:rsidRPr="00941F74">
        <w:rPr>
          <w:rFonts w:cstheme="minorHAnsi"/>
          <w:lang w:val="en-US"/>
        </w:rPr>
        <w:t>,</w:t>
      </w:r>
      <w:r w:rsidRPr="00941F74">
        <w:rPr>
          <w:rFonts w:cstheme="minorHAnsi"/>
          <w:lang w:val="en-US"/>
        </w:rPr>
        <w:t xml:space="preserve"> but </w:t>
      </w:r>
      <w:r w:rsidR="0075148F" w:rsidRPr="00941F74">
        <w:rPr>
          <w:rFonts w:cstheme="minorHAnsi"/>
          <w:lang w:val="en-US"/>
        </w:rPr>
        <w:t xml:space="preserve">palaeoecologists must make </w:t>
      </w:r>
      <w:r w:rsidRPr="00941F74">
        <w:rPr>
          <w:rFonts w:cstheme="minorHAnsi"/>
          <w:lang w:val="en-US"/>
        </w:rPr>
        <w:t xml:space="preserve">an effort </w:t>
      </w:r>
      <w:r w:rsidR="0075148F" w:rsidRPr="00941F74">
        <w:rPr>
          <w:rFonts w:cstheme="minorHAnsi"/>
          <w:lang w:val="en-US"/>
        </w:rPr>
        <w:t>to ensure that</w:t>
      </w:r>
      <w:r w:rsidRPr="00941F74">
        <w:rPr>
          <w:rFonts w:cstheme="minorHAnsi"/>
          <w:lang w:val="en-US"/>
        </w:rPr>
        <w:t xml:space="preserve"> paleoecological data </w:t>
      </w:r>
      <w:r w:rsidR="0075148F" w:rsidRPr="00941F74">
        <w:rPr>
          <w:rFonts w:cstheme="minorHAnsi"/>
          <w:lang w:val="en-US"/>
        </w:rPr>
        <w:t>are suited to the</w:t>
      </w:r>
      <w:r w:rsidRPr="00941F74">
        <w:rPr>
          <w:rFonts w:cstheme="minorHAnsi"/>
          <w:lang w:val="en-US"/>
        </w:rPr>
        <w:t xml:space="preserve"> needs of ecologists, especially in terms of spatial resolution and </w:t>
      </w:r>
      <w:r w:rsidR="00077C3F" w:rsidRPr="00941F74">
        <w:rPr>
          <w:rFonts w:cstheme="minorHAnsi"/>
          <w:lang w:val="en-US"/>
        </w:rPr>
        <w:t>extent</w:t>
      </w:r>
      <w:r w:rsidRPr="00941F74">
        <w:rPr>
          <w:rFonts w:cstheme="minorHAnsi"/>
          <w:lang w:val="en-US"/>
        </w:rPr>
        <w:t xml:space="preserve"> of reconstr</w:t>
      </w:r>
      <w:r w:rsidR="0075148F" w:rsidRPr="00941F74">
        <w:rPr>
          <w:rFonts w:cstheme="minorHAnsi"/>
          <w:lang w:val="en-US"/>
        </w:rPr>
        <w:t xml:space="preserve">uctions </w:t>
      </w:r>
      <w:r w:rsidR="00077C3F" w:rsidRPr="00941F74">
        <w:rPr>
          <w:rFonts w:cstheme="minorHAnsi"/>
          <w:lang w:val="en-US"/>
        </w:rPr>
        <w:fldChar w:fldCharType="begin"/>
      </w:r>
      <w:r w:rsidR="003B1EC2">
        <w:rPr>
          <w:rFonts w:cstheme="minorHAnsi"/>
          <w:lang w:val="en-US"/>
        </w:rPr>
        <w:instrText xml:space="preserve"> ADDIN ZOTERO_ITEM CSL_CITATION {"citationID":"FHupCviL","properties":{"formattedCitation":"(Birks, 2019; Rull, 2014)","plainCitation":"(Birks, 2019; Rull, 2014)","noteIndex":0},"citationItems":[{"id":2270,"uris":["http://zotero.org/users/10290022/items/8PNSMNYF"],"itemData":{"id":2270,"type":"article-journal","container-title":"Plant Ecology and Diversity","DOI":"10.1080/17550874.2019.1646831","issue":"3-4","page":"189-385","title":"Contributions of quaternary botany to modern ecology and biogeography","volume":"12","author":[{"family":"Birks","given":"H John B"}],"issued":{"date-parts":[["2019"]]}}},{"id":446,"uris":["http://zotero.org/users/10290022/items/ZUA6EQWY"],"itemData":{"id":446,"type":"article-journal","abstract":"Theneedforlong-termstudiestounderstandecologicaldynamicsiswidelyrecognizedbuthasnotbeensatisfactorilyaddressedtodate.Thedevelopmentof“long-term”(LT)observatorieshasaimedtoimprovethesituation,butthemainhandicapsarethatweshouldwaitforgenerationstoyieldreliableresultsandthatanumberofecologicalprocessesoccurringattimescaleslargerthancenturieswillnotbefullyresolved.Palaeoecologycanprovidetheneededtimescalefortruelong-termecology,butitislimitedbytheabilitytomergeecological,andpalaeoecologicaldataintocontinuoustimeseries.Thispapersuggestsapracticalwayofattainingsuchgoalsbasedontheconceptoftimecontinuum.Ashortreviewisprovidedonthemainhandicapsforpalaeoecologicalrecordstobeincorporatedintocurrentecologicaldatasetsandtherecentimprovementsinthefield.Aglobalnetworkofpast-present-futureecologicalobservatories(PPFEO)centeredaroundlakeswithannually-laminatedsedimentscouldactasameansofproducingtrulylong-termandcontinuousecologicalrecordsbycombininghigh-resolutionpalaeoecologicaltechniqueswithecologicalmethodscommonlyusedinLTobservatories.","container-title":"Frontiers in Ecology and Evolution","DOI":"10.3389/fevo.2014.00075","ISSN":"2296-701X","issue":"November","note":"ISBN: 2296-701X","page":"1-7","title":"Time continuum and true long-term ecology: from theory to practice","URL":"http://journal.frontiersin.org/article/10.3389/fevo.2014.00075/abstract","volume":"2","author":[{"family":"Rull","given":"ValentÃ"}],"issued":{"date-parts":[["2014"]]}}}],"schema":"https://github.com/citation-style-language/schema/raw/master/csl-citation.json"} </w:instrText>
      </w:r>
      <w:r w:rsidR="00077C3F" w:rsidRPr="00941F74">
        <w:rPr>
          <w:rFonts w:cstheme="minorHAnsi"/>
          <w:lang w:val="en-US"/>
        </w:rPr>
        <w:fldChar w:fldCharType="separate"/>
      </w:r>
      <w:r w:rsidR="003B1EC2" w:rsidRPr="003B1EC2">
        <w:rPr>
          <w:rFonts w:ascii="Calibri" w:hAnsi="Calibri" w:cs="Calibri"/>
          <w:lang w:val="en-US"/>
        </w:rPr>
        <w:t>(Birks, 2019; Rull, 2014)</w:t>
      </w:r>
      <w:r w:rsidR="00077C3F" w:rsidRPr="00941F74">
        <w:rPr>
          <w:rFonts w:cstheme="minorHAnsi"/>
          <w:lang w:val="en-US"/>
        </w:rPr>
        <w:fldChar w:fldCharType="end"/>
      </w:r>
      <w:r w:rsidR="0075148F" w:rsidRPr="00941F74">
        <w:rPr>
          <w:rFonts w:cstheme="minorHAnsi"/>
          <w:lang w:val="en-US"/>
        </w:rPr>
        <w:t>.</w:t>
      </w:r>
      <w:r w:rsidR="00191292" w:rsidRPr="00941F74">
        <w:rPr>
          <w:rFonts w:cstheme="minorHAnsi"/>
          <w:lang w:val="en-US"/>
        </w:rPr>
        <w:t xml:space="preserve"> </w:t>
      </w:r>
      <w:r w:rsidR="008112A3" w:rsidRPr="00941F74">
        <w:rPr>
          <w:rFonts w:cstheme="minorHAnsi"/>
          <w:lang w:val="en-US"/>
        </w:rPr>
        <w:t>F</w:t>
      </w:r>
      <w:r w:rsidR="00191292" w:rsidRPr="00941F74">
        <w:rPr>
          <w:rFonts w:cstheme="minorHAnsi"/>
          <w:lang w:val="en-US"/>
        </w:rPr>
        <w:t>ew studies integrate both the temporal and spatial aspects of ecosystem dynamics over the long term</w:t>
      </w:r>
      <w:r w:rsidR="00077C3F" w:rsidRPr="00941F74">
        <w:rPr>
          <w:rFonts w:cstheme="minorHAnsi"/>
          <w:lang w:val="en-US"/>
        </w:rPr>
        <w:t xml:space="preserve"> </w:t>
      </w:r>
      <w:r w:rsidR="00077C3F" w:rsidRPr="00941F74">
        <w:rPr>
          <w:rFonts w:cstheme="minorHAnsi"/>
          <w:lang w:val="en-US"/>
        </w:rPr>
        <w:fldChar w:fldCharType="begin"/>
      </w:r>
      <w:r w:rsidR="003B1EC2">
        <w:rPr>
          <w:rFonts w:cstheme="minorHAnsi"/>
          <w:lang w:val="en-US"/>
        </w:rPr>
        <w:instrText xml:space="preserve"> ADDIN ZOTERO_ITEM CSL_CITATION {"citationID":"vRXxUjM9","properties":{"formattedCitation":"(White et al., 2010)","plainCitation":"(White et al., 2010)","noteIndex":0},"citationItems":[{"id":2043,"uris":["http://zotero.org/users/10290022/items/64PWP8BD"],"itemData":{"id":2043,"type":"article-journal","container-title":"Philosophical Transactions of the Royal Society B: Biological Sciences","DOI":"10.1098/rstb.2010.0280","page":"3633-3643","title":"Integrating spatial and temporal approaches to understanding species richness","volume":"365","author":[{"family":"White","given":"Ethan P"},{"family":"Ernest","given":"Morgan S. K."},{"family":"Adler","given":"Peter B"},{"family":"Hurlbert","given":"Allen H"},{"family":"Lyons","given":"S Kathleen"}],"issued":{"date-parts":[["2010"]]}}}],"schema":"https://github.com/citation-style-language/schema/raw/master/csl-citation.json"} </w:instrText>
      </w:r>
      <w:r w:rsidR="00077C3F" w:rsidRPr="00941F74">
        <w:rPr>
          <w:rFonts w:cstheme="minorHAnsi"/>
          <w:lang w:val="en-US"/>
        </w:rPr>
        <w:fldChar w:fldCharType="separate"/>
      </w:r>
      <w:r w:rsidR="003B1EC2" w:rsidRPr="003B1EC2">
        <w:rPr>
          <w:rFonts w:ascii="Calibri" w:hAnsi="Calibri" w:cs="Calibri"/>
          <w:lang w:val="en-US"/>
        </w:rPr>
        <w:t>(White et al., 2010)</w:t>
      </w:r>
      <w:r w:rsidR="00077C3F" w:rsidRPr="00941F74">
        <w:rPr>
          <w:rFonts w:cstheme="minorHAnsi"/>
          <w:lang w:val="en-US"/>
        </w:rPr>
        <w:fldChar w:fldCharType="end"/>
      </w:r>
      <w:r w:rsidR="00191292" w:rsidRPr="00941F74">
        <w:rPr>
          <w:rFonts w:cstheme="minorHAnsi"/>
          <w:lang w:val="en-US"/>
        </w:rPr>
        <w:t xml:space="preserve">. Yet, ecological processes evolve over time under the influence of the spatial context in which they operate </w:t>
      </w:r>
      <w:r w:rsidR="00077C3F" w:rsidRPr="00941F74">
        <w:rPr>
          <w:rFonts w:cstheme="minorHAnsi"/>
          <w:lang w:val="en-US"/>
        </w:rPr>
        <w:fldChar w:fldCharType="begin"/>
      </w:r>
      <w:r w:rsidR="003B1EC2">
        <w:rPr>
          <w:rFonts w:cstheme="minorHAnsi"/>
          <w:lang w:val="en-US"/>
        </w:rPr>
        <w:instrText xml:space="preserve"> ADDIN ZOTERO_ITEM CSL_CITATION {"citationID":"RwZ22KzB","properties":{"formattedCitation":"(Leibold et al., 2004; Ricklefs, 1987)","plainCitation":"(Leibold et al., 2004; Ricklefs, 1987)","noteIndex":0},"citationItems":[{"id":3176,"uris":["http://zotero.org/users/10290022/items/DMKH4NRD"],"itemData":{"id":3176,"type":"article-journal","abstract":"The metacommunity concept is an important way to think about linkages between different spatial scales in ecology. Here we review current understanding about this concept. We first investigate issues related to its definition as a set of local communities that are linked by dispersal of multiple potentially interacting species. We then identify four paradigms for metacommunities: the patch-dynamic view, the species-sorting view, the mass effects view and the neutral view, that each emphasizes different processes of potential importance in metacommunities. These have somewhat distinct intellectual histories and we discuss elements related to their potential future synthesis. We then use this framework to discuss why the concept is useful in modifying existing ecological thinking and illustrate this with a number of both theoretical and empirical examples. As ecologists strive to understand increasingly complex mechanisms and strive to work across multiple scales of spatio-temporal organization, concepts like the metacommunity can provide important insights that frequently contrast with those that would be obtained with more conventional approaches based on local communities alone.","container-title":"Ecology Letters","DOI":"10.1111/J.1461-0248.2004.00608.X","ISSN":"1461-0248","issue":"7","note":"publisher: John Wiley &amp; Sons, Ltd","page":"601-613","title":"The metacommunity concept: a framework for multi-scale community ecology","URL":"https://onlinelibrary-wiley-com.gorgone.univ-toulouse.fr/doi/full/10.1111/j.1461-0248.2004.00608.x","volume":"7","author":[{"family":"Leibold","given":"M. A."},{"family":"Holyoak","given":"M."},{"family":"Mouquet","given":"N."},{"family":"Amarasekare","given":"P."},{"family":"Chase","given":"J. M."},{"family":"Hoopes","given":"M. F."},{"family":"Holt","given":"R. D."},{"family":"Shurin","given":"J. B."},{"family":"Law","given":"R."},{"family":"Tilman","given":"D."},{"family":"Loreau","given":"M."},{"family":"Gonzalez","given":"A."}],"accessed":{"date-parts":[["2022",9,14]]},"issued":{"date-parts":[["2004",7,1]]}}},{"id":134,"uris":["http://zotero.org/users/10290022/items/57XCSUZA"],"itemData":{"id":134,"type":"article-journal","container-title":"Science","DOI":"10.1126/science.235.4785.167","issue":"4785","page":"167-171","title":"Community diversity: relative roles of local and regional processes.","volume":"235","author":[{"family":"Ricklefs","given":"Robert E."}],"issued":{"date-parts":[["1987"]]}}}],"schema":"https://github.com/citation-style-language/schema/raw/master/csl-citation.json"} </w:instrText>
      </w:r>
      <w:r w:rsidR="00077C3F" w:rsidRPr="00941F74">
        <w:rPr>
          <w:rFonts w:cstheme="minorHAnsi"/>
          <w:lang w:val="en-US"/>
        </w:rPr>
        <w:fldChar w:fldCharType="separate"/>
      </w:r>
      <w:r w:rsidR="003B1EC2" w:rsidRPr="003B1EC2">
        <w:rPr>
          <w:rFonts w:ascii="Calibri" w:hAnsi="Calibri" w:cs="Calibri"/>
          <w:lang w:val="en-US"/>
        </w:rPr>
        <w:t>(Leibold et al., 2004; Ricklefs, 1987)</w:t>
      </w:r>
      <w:r w:rsidR="00077C3F" w:rsidRPr="00941F74">
        <w:rPr>
          <w:rFonts w:cstheme="minorHAnsi"/>
          <w:lang w:val="en-US"/>
        </w:rPr>
        <w:fldChar w:fldCharType="end"/>
      </w:r>
      <w:r w:rsidR="00191292" w:rsidRPr="00941F74">
        <w:rPr>
          <w:rFonts w:cstheme="minorHAnsi"/>
          <w:lang w:val="en-US"/>
        </w:rPr>
        <w:t>.</w:t>
      </w:r>
      <w:r w:rsidR="002036A3" w:rsidRPr="00941F74">
        <w:rPr>
          <w:rFonts w:cstheme="minorHAnsi"/>
          <w:lang w:val="en-US"/>
        </w:rPr>
        <w:t xml:space="preserve"> This study represents progress in the conciliation between paleoecology and general ecology by proposing a simple method to provide </w:t>
      </w:r>
      <w:r w:rsidR="000164CD" w:rsidRPr="00941F74">
        <w:rPr>
          <w:rFonts w:cstheme="minorHAnsi"/>
          <w:lang w:val="en-US"/>
        </w:rPr>
        <w:t xml:space="preserve">long-term </w:t>
      </w:r>
      <w:r w:rsidR="0060712F" w:rsidRPr="00941F74">
        <w:rPr>
          <w:rFonts w:cstheme="minorHAnsi"/>
          <w:lang w:val="en-US"/>
        </w:rPr>
        <w:t xml:space="preserve">spatially explicit </w:t>
      </w:r>
      <w:r w:rsidR="002036A3" w:rsidRPr="00941F74">
        <w:rPr>
          <w:rFonts w:cstheme="minorHAnsi"/>
          <w:lang w:val="en-US"/>
        </w:rPr>
        <w:t xml:space="preserve">reconstructions of past </w:t>
      </w:r>
      <w:r w:rsidR="004F32A5" w:rsidRPr="00941F74">
        <w:rPr>
          <w:rFonts w:cstheme="minorHAnsi"/>
          <w:lang w:val="en-US"/>
        </w:rPr>
        <w:t>landscapes</w:t>
      </w:r>
      <w:r w:rsidR="002036A3" w:rsidRPr="00941F74">
        <w:rPr>
          <w:rFonts w:cstheme="minorHAnsi"/>
          <w:lang w:val="en-US"/>
        </w:rPr>
        <w:t xml:space="preserve">. </w:t>
      </w:r>
    </w:p>
    <w:p w14:paraId="15CB1E3B" w14:textId="6AACDD57" w:rsidR="005342BC" w:rsidRPr="00941F74" w:rsidRDefault="00F5169D">
      <w:pPr>
        <w:pStyle w:val="Titre1"/>
        <w:spacing w:line="480" w:lineRule="auto"/>
        <w:rPr>
          <w:rFonts w:asciiTheme="minorHAnsi" w:hAnsiTheme="minorHAnsi" w:cstheme="minorHAnsi"/>
          <w:sz w:val="22"/>
          <w:szCs w:val="22"/>
          <w:lang w:val="en-GB"/>
        </w:rPr>
      </w:pPr>
      <w:r w:rsidRPr="00941F74">
        <w:rPr>
          <w:rFonts w:asciiTheme="minorHAnsi" w:hAnsiTheme="minorHAnsi" w:cstheme="minorHAnsi"/>
          <w:sz w:val="22"/>
          <w:szCs w:val="22"/>
          <w:lang w:val="en-GB"/>
        </w:rPr>
        <w:t>Conclusion</w:t>
      </w:r>
    </w:p>
    <w:p w14:paraId="58903A79" w14:textId="7897AE13" w:rsidR="00DE29C5" w:rsidRDefault="00F5169D">
      <w:pPr>
        <w:spacing w:line="480" w:lineRule="auto"/>
        <w:rPr>
          <w:rFonts w:cstheme="minorHAnsi"/>
          <w:lang w:val="en-GB"/>
        </w:rPr>
      </w:pPr>
      <w:r w:rsidRPr="00941F74">
        <w:rPr>
          <w:rFonts w:cstheme="minorHAnsi"/>
          <w:lang w:val="en-GB"/>
        </w:rPr>
        <w:t xml:space="preserve">Using LOVE estimates of neighbouring sites with overlapping RSAPs, cartographic and botanical data, and parsimonious statistical tools that are easy to implement, we propose a new approach for backward </w:t>
      </w:r>
      <w:r w:rsidR="0060712F" w:rsidRPr="00941F74">
        <w:rPr>
          <w:rFonts w:cstheme="minorHAnsi"/>
          <w:lang w:val="en-GB"/>
        </w:rPr>
        <w:t xml:space="preserve">modelling </w:t>
      </w:r>
      <w:r w:rsidRPr="00941F74">
        <w:rPr>
          <w:rFonts w:cstheme="minorHAnsi"/>
          <w:lang w:val="en-GB"/>
        </w:rPr>
        <w:t xml:space="preserve">a past </w:t>
      </w:r>
      <w:r w:rsidR="00662EB3" w:rsidRPr="00941F74">
        <w:rPr>
          <w:rFonts w:cstheme="minorHAnsi"/>
          <w:lang w:val="en-GB"/>
        </w:rPr>
        <w:t>landscape</w:t>
      </w:r>
      <w:r w:rsidRPr="00941F74">
        <w:rPr>
          <w:rFonts w:cstheme="minorHAnsi"/>
          <w:lang w:val="en-GB"/>
        </w:rPr>
        <w:t xml:space="preserve"> at local scale.</w:t>
      </w:r>
      <w:r w:rsidR="0013266C" w:rsidRPr="00941F74">
        <w:rPr>
          <w:rFonts w:cstheme="minorHAnsi"/>
          <w:lang w:val="en-GB"/>
        </w:rPr>
        <w:t xml:space="preserve"> </w:t>
      </w:r>
      <w:r w:rsidR="00DD0410" w:rsidRPr="00941F74">
        <w:rPr>
          <w:rFonts w:cstheme="minorHAnsi"/>
          <w:lang w:val="en-GB"/>
        </w:rPr>
        <w:t>The approach</w:t>
      </w:r>
      <w:r w:rsidR="00195050" w:rsidRPr="00941F74">
        <w:rPr>
          <w:rFonts w:cstheme="minorHAnsi"/>
          <w:lang w:val="en-GB"/>
        </w:rPr>
        <w:t xml:space="preserve"> called BACKLAND</w:t>
      </w:r>
      <w:r w:rsidR="00DD0410" w:rsidRPr="00941F74">
        <w:rPr>
          <w:rFonts w:cstheme="minorHAnsi"/>
          <w:lang w:val="en-GB"/>
        </w:rPr>
        <w:t xml:space="preserve"> is suitable for stepwise landscape backward prediction by integrating spatiotemporal autocorrelation in taxon distribution from one date to another in a straightforward way. </w:t>
      </w:r>
      <w:r w:rsidR="0013266C" w:rsidRPr="00941F74">
        <w:rPr>
          <w:rFonts w:cstheme="minorHAnsi"/>
          <w:lang w:val="en-GB"/>
        </w:rPr>
        <w:t xml:space="preserve">The approach has been tested and its accuracy assessed </w:t>
      </w:r>
      <w:r w:rsidR="00662EB3" w:rsidRPr="00941F74">
        <w:rPr>
          <w:rFonts w:cstheme="minorHAnsi"/>
          <w:lang w:val="en-GB"/>
        </w:rPr>
        <w:t xml:space="preserve">on </w:t>
      </w:r>
      <w:r w:rsidR="0013266C" w:rsidRPr="00941F74">
        <w:rPr>
          <w:rFonts w:cstheme="minorHAnsi"/>
          <w:lang w:val="en-GB"/>
        </w:rPr>
        <w:t xml:space="preserve">a recent </w:t>
      </w:r>
      <w:r w:rsidR="00662EB3" w:rsidRPr="00941F74">
        <w:rPr>
          <w:rFonts w:cstheme="minorHAnsi"/>
          <w:lang w:val="en-GB"/>
        </w:rPr>
        <w:t>time window</w:t>
      </w:r>
      <w:r w:rsidR="0013266C" w:rsidRPr="00941F74">
        <w:rPr>
          <w:rFonts w:cstheme="minorHAnsi"/>
          <w:lang w:val="en-GB"/>
        </w:rPr>
        <w:t xml:space="preserve">, revealing its potential for long-term application. It thus responds to the urgent need to study past landscape changes at local scale, in order to better understand the human-environment-biodiversity relationships with </w:t>
      </w:r>
      <w:r w:rsidR="00BA1B61" w:rsidRPr="00941F74">
        <w:rPr>
          <w:rFonts w:cstheme="minorHAnsi"/>
          <w:lang w:val="en-GB"/>
        </w:rPr>
        <w:t>the hope of an improved</w:t>
      </w:r>
      <w:r w:rsidR="0013266C" w:rsidRPr="00941F74">
        <w:rPr>
          <w:rFonts w:cstheme="minorHAnsi"/>
          <w:lang w:val="en-GB"/>
        </w:rPr>
        <w:t xml:space="preserve"> management of spaces and species</w:t>
      </w:r>
      <w:r w:rsidR="00DD0410" w:rsidRPr="00941F74">
        <w:rPr>
          <w:rFonts w:cstheme="minorHAnsi"/>
          <w:lang w:val="en-GB"/>
        </w:rPr>
        <w:t>, which should be developed in future research</w:t>
      </w:r>
      <w:r w:rsidR="0013266C" w:rsidRPr="00941F74">
        <w:rPr>
          <w:rFonts w:cstheme="minorHAnsi"/>
          <w:lang w:val="en-GB"/>
        </w:rPr>
        <w:t xml:space="preserve">. By being theoretically also applicable at the regional scale, the proposed approach is a unique opportunity to study landscape changes in a multi-scale way with a single </w:t>
      </w:r>
      <w:r w:rsidR="00190051" w:rsidRPr="00941F74">
        <w:rPr>
          <w:rFonts w:cstheme="minorHAnsi"/>
          <w:lang w:val="en-GB"/>
        </w:rPr>
        <w:t>approach</w:t>
      </w:r>
      <w:r w:rsidR="0013266C" w:rsidRPr="00941F74">
        <w:rPr>
          <w:rFonts w:cstheme="minorHAnsi"/>
          <w:lang w:val="en-GB"/>
        </w:rPr>
        <w:t>, facilitating the comparison of results between studies.</w:t>
      </w:r>
    </w:p>
    <w:p w14:paraId="0AE137FB" w14:textId="5A63BB9B" w:rsidR="008649C3" w:rsidRPr="00405420" w:rsidRDefault="00405420" w:rsidP="003B1EC2">
      <w:pPr>
        <w:spacing w:line="480" w:lineRule="auto"/>
        <w:rPr>
          <w:rFonts w:cstheme="minorHAnsi"/>
          <w:b/>
          <w:lang w:val="en-GB"/>
        </w:rPr>
      </w:pPr>
      <w:r>
        <w:rPr>
          <w:rFonts w:cstheme="minorHAnsi"/>
          <w:b/>
          <w:lang w:val="en-GB"/>
        </w:rPr>
        <w:t>References</w:t>
      </w:r>
    </w:p>
    <w:p w14:paraId="102BEF4C" w14:textId="77777777" w:rsidR="003B1EC2" w:rsidRPr="003B1EC2" w:rsidRDefault="008649C3" w:rsidP="003B1EC2">
      <w:pPr>
        <w:pStyle w:val="Bibliographie"/>
        <w:spacing w:line="480" w:lineRule="auto"/>
        <w:rPr>
          <w:lang w:val="en-US"/>
        </w:rPr>
      </w:pPr>
      <w:r w:rsidRPr="00941F74">
        <w:rPr>
          <w:rFonts w:cstheme="minorHAnsi"/>
          <w:lang w:val="en-US"/>
        </w:rPr>
        <w:fldChar w:fldCharType="begin"/>
      </w:r>
      <w:r w:rsidR="003B1EC2">
        <w:rPr>
          <w:rFonts w:cstheme="minorHAnsi"/>
          <w:lang w:val="en-US"/>
        </w:rPr>
        <w:instrText xml:space="preserve"> ADDIN ZOTERO_BIBL {"uncited":[],"omitted":[],"custom":[]} CSL_BIBLIOGRAPHY </w:instrText>
      </w:r>
      <w:r w:rsidRPr="00941F74">
        <w:rPr>
          <w:rFonts w:cstheme="minorHAnsi"/>
          <w:lang w:val="en-US"/>
        </w:rPr>
        <w:fldChar w:fldCharType="separate"/>
      </w:r>
      <w:r w:rsidR="003B1EC2" w:rsidRPr="003B1EC2">
        <w:rPr>
          <w:lang w:val="en-US"/>
        </w:rPr>
        <w:t>Antrop, M., 2005. Why landscapes of the past are important for the future. Landsc. Urban Plan. 70, 21–34. https://doi.org/10.1016/j.landurbplan.2003.10.002</w:t>
      </w:r>
    </w:p>
    <w:p w14:paraId="0087E272" w14:textId="77777777" w:rsidR="003B1EC2" w:rsidRPr="003B1EC2" w:rsidRDefault="003B1EC2" w:rsidP="003B1EC2">
      <w:pPr>
        <w:pStyle w:val="Bibliographie"/>
        <w:spacing w:line="480" w:lineRule="auto"/>
        <w:rPr>
          <w:lang w:val="en-US"/>
        </w:rPr>
      </w:pPr>
      <w:r w:rsidRPr="003B1EC2">
        <w:rPr>
          <w:lang w:val="en-US"/>
        </w:rPr>
        <w:lastRenderedPageBreak/>
        <w:t>Bennett, N.D., Croke, B.F.W., Guariso, G., Guillaume, J.H.A., Hamilton, S.H., Jakeman, A.J., Marsili-Libelli, S., Newham, L.T.H., Norton, J.P., Perrin, C., Pierce, S.A., Robson, B., Seppelt, R., Voinov, A.A., Fath, B.D., Andreassian, V., 2013. Characterising performance of environmental models. Environ. Model. Softw. 40, 1–20. https://doi.org/10.1016/j.envsoft.2012.09.011</w:t>
      </w:r>
    </w:p>
    <w:p w14:paraId="7806ECDA" w14:textId="77777777" w:rsidR="003B1EC2" w:rsidRPr="003B1EC2" w:rsidRDefault="003B1EC2" w:rsidP="003B1EC2">
      <w:pPr>
        <w:pStyle w:val="Bibliographie"/>
        <w:spacing w:line="480" w:lineRule="auto"/>
        <w:rPr>
          <w:lang w:val="en-US"/>
        </w:rPr>
      </w:pPr>
      <w:r w:rsidRPr="003B1EC2">
        <w:rPr>
          <w:lang w:val="en-US"/>
        </w:rPr>
        <w:t>Birks, H.J.B., 2019. Contributions of quaternary botany to modern ecology and biogeography. Plant Ecol. Divers. 12, 189–385. https://doi.org/10.1080/17550874.2019.1646831</w:t>
      </w:r>
    </w:p>
    <w:p w14:paraId="3CB9654D" w14:textId="77777777" w:rsidR="003B1EC2" w:rsidRPr="003B1EC2" w:rsidRDefault="003B1EC2" w:rsidP="003B1EC2">
      <w:pPr>
        <w:pStyle w:val="Bibliographie"/>
        <w:spacing w:line="480" w:lineRule="auto"/>
        <w:rPr>
          <w:lang w:val="en-US"/>
        </w:rPr>
      </w:pPr>
      <w:r w:rsidRPr="003B1EC2">
        <w:rPr>
          <w:lang w:val="en-US"/>
        </w:rPr>
        <w:t>Brandt, J., Primdahl, J., Reenberg, A., 1999. Rural land-use and landscape dynamics - analysis of “driving forces” in space and time, in: Land-Use Changes and Their Environmental Impact in Rural Areas in Europe, Man and the Biosphere Series. pp. 81–102.</w:t>
      </w:r>
    </w:p>
    <w:p w14:paraId="2F7014F6" w14:textId="77777777" w:rsidR="003B1EC2" w:rsidRPr="003B1EC2" w:rsidRDefault="003B1EC2" w:rsidP="003B1EC2">
      <w:pPr>
        <w:pStyle w:val="Bibliographie"/>
        <w:spacing w:line="480" w:lineRule="auto"/>
        <w:rPr>
          <w:lang w:val="en-US"/>
        </w:rPr>
      </w:pPr>
      <w:r w:rsidRPr="003B1EC2">
        <w:rPr>
          <w:lang w:val="en-US"/>
        </w:rPr>
        <w:t>Bunting, M.J., Farrell, M., Bayliss, A., Marshall, P., Whittle, A., 2018. Maps From Mud — Using the Multiple Scenario Approach to Reconstruct Land Cover Dynamics From Pollen Records : A Case Study of Two Neolithic Landscapes. Front. Ecol. Evol. 6, 1–20. https://doi.org/10.3389/fevo.2018.00036</w:t>
      </w:r>
    </w:p>
    <w:p w14:paraId="79E100F9" w14:textId="77777777" w:rsidR="003B1EC2" w:rsidRPr="003B1EC2" w:rsidRDefault="003B1EC2" w:rsidP="003B1EC2">
      <w:pPr>
        <w:pStyle w:val="Bibliographie"/>
        <w:spacing w:line="480" w:lineRule="auto"/>
        <w:rPr>
          <w:lang w:val="en-US"/>
        </w:rPr>
      </w:pPr>
      <w:r w:rsidRPr="003B1EC2">
        <w:rPr>
          <w:lang w:val="en-US"/>
        </w:rPr>
        <w:t>Bunting, M.J., Middleton, D., 2005. Modelling pollen dispersal and deposition using HUMPOL software, including simulating windroses and irregular lakes. Rev. Palaeobot. Palynol. 134, 185–196. https://doi.org/10.1016/J.REVPALBO.2004.12.009</w:t>
      </w:r>
    </w:p>
    <w:p w14:paraId="47EF47F8" w14:textId="77777777" w:rsidR="003B1EC2" w:rsidRPr="003B1EC2" w:rsidRDefault="003B1EC2" w:rsidP="003B1EC2">
      <w:pPr>
        <w:pStyle w:val="Bibliographie"/>
        <w:spacing w:line="480" w:lineRule="auto"/>
        <w:rPr>
          <w:lang w:val="en-US"/>
        </w:rPr>
      </w:pPr>
      <w:r w:rsidRPr="003B1EC2">
        <w:rPr>
          <w:lang w:val="en-US"/>
        </w:rPr>
        <w:t>Bunting, M.J., Middleton, R., 2009. Equifinality and uncertainty in the interpretation of pollen data: The multiple scenario approach to reconstruction of past vegetation mosaics. Holocene 19, 799–803. https://doi.org/10.1177/0959683609105304</w:t>
      </w:r>
    </w:p>
    <w:p w14:paraId="41A8C425" w14:textId="77777777" w:rsidR="003B1EC2" w:rsidRPr="003B1EC2" w:rsidRDefault="003B1EC2" w:rsidP="003B1EC2">
      <w:pPr>
        <w:pStyle w:val="Bibliographie"/>
        <w:spacing w:line="480" w:lineRule="auto"/>
        <w:rPr>
          <w:lang w:val="en-US"/>
        </w:rPr>
      </w:pPr>
      <w:r w:rsidRPr="003B1EC2">
        <w:rPr>
          <w:lang w:val="en-US"/>
        </w:rPr>
        <w:t>Bunting, M.J., Schofield, J.E., Edwards, K.J., 2013. Estimates of relative pollen productivity (RPP) for selected taxa from southern Greenland: A pragmatic solution. Rev. Palaeobot. Palynol. 190, 66–74. https://doi.org/10.1016/j.revpalbo.2012.11.003</w:t>
      </w:r>
    </w:p>
    <w:p w14:paraId="02798B20" w14:textId="77777777" w:rsidR="003B1EC2" w:rsidRPr="003B1EC2" w:rsidRDefault="003B1EC2" w:rsidP="003B1EC2">
      <w:pPr>
        <w:pStyle w:val="Bibliographie"/>
        <w:spacing w:line="480" w:lineRule="auto"/>
        <w:rPr>
          <w:lang w:val="en-US"/>
        </w:rPr>
      </w:pPr>
      <w:r w:rsidRPr="003B1EC2">
        <w:rPr>
          <w:lang w:val="en-US"/>
        </w:rPr>
        <w:t>Bürgi, M., Hersperger, A.M., Schneeberger, N., 2004. Driving forces of landscape change - current and new directions. Landsc. Ecol. 19, 857–868. https://doi.org/10.1007/s10980-005-0245-3</w:t>
      </w:r>
    </w:p>
    <w:p w14:paraId="0BDAE946" w14:textId="77777777" w:rsidR="003B1EC2" w:rsidRPr="003B1EC2" w:rsidRDefault="003B1EC2" w:rsidP="003B1EC2">
      <w:pPr>
        <w:pStyle w:val="Bibliographie"/>
        <w:spacing w:line="480" w:lineRule="auto"/>
        <w:rPr>
          <w:lang w:val="en-US"/>
        </w:rPr>
      </w:pPr>
      <w:r w:rsidRPr="003B1EC2">
        <w:rPr>
          <w:lang w:val="en-US"/>
        </w:rPr>
        <w:lastRenderedPageBreak/>
        <w:t>Campagnaro, T., Frate, L., Carranza, M.L., Sitzia, T., 2017. Multi-scale analysis of alpine landscapes with different intensities of abandonment reveals similar spatial pattern changes: Implications for habitat conservation. Ecol. Indic. 74, 147–159. https://doi.org/10.1016/j.ecolind.2016.11.017</w:t>
      </w:r>
    </w:p>
    <w:p w14:paraId="6833E112" w14:textId="77777777" w:rsidR="003B1EC2" w:rsidRPr="003B1EC2" w:rsidRDefault="003B1EC2" w:rsidP="003B1EC2">
      <w:pPr>
        <w:pStyle w:val="Bibliographie"/>
        <w:spacing w:line="480" w:lineRule="auto"/>
        <w:rPr>
          <w:lang w:val="en-US"/>
        </w:rPr>
      </w:pPr>
      <w:r w:rsidRPr="003B1EC2">
        <w:rPr>
          <w:lang w:val="en-US"/>
        </w:rPr>
        <w:t>Caseldine, C., Fyfe, R., Hjelle, K., 2008. Pollen modelling, palaeoecology and archaeology: Virtualisation and/or visualisation of the past? Veg. Hist. Archaeobotany 17, 543–549. https://doi.org/10.1007/s00334-007-0093-y</w:t>
      </w:r>
    </w:p>
    <w:p w14:paraId="294E5AAE" w14:textId="77777777" w:rsidR="003B1EC2" w:rsidRPr="003B1EC2" w:rsidRDefault="003B1EC2" w:rsidP="003B1EC2">
      <w:pPr>
        <w:pStyle w:val="Bibliographie"/>
        <w:spacing w:line="480" w:lineRule="auto"/>
        <w:rPr>
          <w:lang w:val="en-US"/>
        </w:rPr>
      </w:pPr>
      <w:r w:rsidRPr="003B1EC2">
        <w:rPr>
          <w:lang w:val="en-US"/>
        </w:rPr>
        <w:t>Chen, X., Li, B., Collins, S.L., 2005. Multiscale monitoring of a multispecies case study: two grass species at Sevilleta. Plant Ecol. 179, 149–154. https://doi.org/10.1007/s11258-004-6802-z</w:t>
      </w:r>
    </w:p>
    <w:p w14:paraId="3DF98606" w14:textId="77777777" w:rsidR="003B1EC2" w:rsidRDefault="003B1EC2" w:rsidP="003B1EC2">
      <w:pPr>
        <w:pStyle w:val="Bibliographie"/>
        <w:spacing w:line="480" w:lineRule="auto"/>
      </w:pPr>
      <w:r w:rsidRPr="003B1EC2">
        <w:rPr>
          <w:lang w:val="en-US"/>
        </w:rPr>
        <w:t xml:space="preserve">Cohen, J., 1960. A coefficient of agreement for nominal scales. </w:t>
      </w:r>
      <w:r>
        <w:t>Educ. Psychol. Meas. XX, 37–46.</w:t>
      </w:r>
    </w:p>
    <w:p w14:paraId="28977297" w14:textId="77777777" w:rsidR="003B1EC2" w:rsidRPr="003B1EC2" w:rsidRDefault="003B1EC2" w:rsidP="003B1EC2">
      <w:pPr>
        <w:pStyle w:val="Bibliographie"/>
        <w:spacing w:line="480" w:lineRule="auto"/>
        <w:rPr>
          <w:lang w:val="en-US"/>
        </w:rPr>
      </w:pPr>
      <w:r>
        <w:t xml:space="preserve">Cosme, M., Hély, C., Pommereau, F., Pasquariello, P., Tiberi, C., Treydte, A., Gaucherel, C., 2022. </w:t>
      </w:r>
      <w:r w:rsidRPr="003B1EC2">
        <w:rPr>
          <w:lang w:val="en-US"/>
        </w:rPr>
        <w:t>Qualitative Modeling for Bridging Expert-Knowledge and Social-Ecological Dynamics of an East African Savanna. Land 11, 42. https://doi.org/10.3390/land11010042</w:t>
      </w:r>
    </w:p>
    <w:p w14:paraId="5513DF99" w14:textId="77777777" w:rsidR="003B1EC2" w:rsidRPr="003B1EC2" w:rsidRDefault="003B1EC2" w:rsidP="003B1EC2">
      <w:pPr>
        <w:pStyle w:val="Bibliographie"/>
        <w:spacing w:line="480" w:lineRule="auto"/>
        <w:rPr>
          <w:lang w:val="en-US"/>
        </w:rPr>
      </w:pPr>
      <w:r w:rsidRPr="003B1EC2">
        <w:rPr>
          <w:lang w:val="en-US"/>
        </w:rPr>
        <w:t>Cousins, S.A.O., 2006. Plant species richness in midfield islets and road verges - The effect of landscape fragmentation. Biol. Conserv. 127, 500–509. https://doi.org/10.1016/j.biocon.2005.09.009</w:t>
      </w:r>
    </w:p>
    <w:p w14:paraId="7675DB21" w14:textId="77777777" w:rsidR="003B1EC2" w:rsidRPr="003B1EC2" w:rsidRDefault="003B1EC2" w:rsidP="003B1EC2">
      <w:pPr>
        <w:pStyle w:val="Bibliographie"/>
        <w:spacing w:line="480" w:lineRule="auto"/>
        <w:rPr>
          <w:lang w:val="en-US"/>
        </w:rPr>
      </w:pPr>
      <w:r w:rsidRPr="003B1EC2">
        <w:rPr>
          <w:lang w:val="en-US"/>
        </w:rPr>
        <w:t>Crase, B., Liedloff, A.C., Wintle, B.A., 2012. A new method for dealing with residual spatial autocorrelation in species distribution models. Ecography 35, 879–888. https://doi.org/10.1111/j.1600-0587.2011.07138.x</w:t>
      </w:r>
    </w:p>
    <w:p w14:paraId="22646612" w14:textId="77777777" w:rsidR="003B1EC2" w:rsidRPr="003B1EC2" w:rsidRDefault="003B1EC2" w:rsidP="003B1EC2">
      <w:pPr>
        <w:pStyle w:val="Bibliographie"/>
        <w:spacing w:line="480" w:lineRule="auto"/>
        <w:rPr>
          <w:lang w:val="en-US"/>
        </w:rPr>
      </w:pPr>
      <w:r w:rsidRPr="003B1EC2">
        <w:rPr>
          <w:lang w:val="en-US"/>
        </w:rPr>
        <w:t>Cui, Q.Y., Gaillard, M.J., Lemdahl, G., Olsson, F., Sugita, S., 2010. Holocene local forest history at two sites in Småland, southern Sweden-insights from quantitative reconstructions using the Landscape Reconstruction Algorithm. Geophys. Res. Abstr. 12, 593–611. https://doi.org/10.1016/j.palaeo.2009.07.013</w:t>
      </w:r>
    </w:p>
    <w:p w14:paraId="00AC755E" w14:textId="77777777" w:rsidR="003B1EC2" w:rsidRPr="003B1EC2" w:rsidRDefault="003B1EC2" w:rsidP="003B1EC2">
      <w:pPr>
        <w:pStyle w:val="Bibliographie"/>
        <w:spacing w:line="480" w:lineRule="auto"/>
        <w:rPr>
          <w:lang w:val="en-US"/>
        </w:rPr>
      </w:pPr>
      <w:r w:rsidRPr="003B1EC2">
        <w:rPr>
          <w:lang w:val="en-US"/>
        </w:rPr>
        <w:t>Cui, Q.Y., Gaillard, M.J., Lemdahl, G., Stenberg, L., Sugita, S., Zernova, G., 2014. Historical land-use and landscape change in southern Sweden and implications for present and future biodiversity. Ecol. Evol. 4, 3555–3570. https://doi.org/10.1002/ece3.1198</w:t>
      </w:r>
    </w:p>
    <w:p w14:paraId="731F4CCB" w14:textId="77777777" w:rsidR="003B1EC2" w:rsidRPr="003B1EC2" w:rsidRDefault="003B1EC2" w:rsidP="003B1EC2">
      <w:pPr>
        <w:pStyle w:val="Bibliographie"/>
        <w:spacing w:line="480" w:lineRule="auto"/>
        <w:rPr>
          <w:lang w:val="en-US"/>
        </w:rPr>
      </w:pPr>
      <w:r w:rsidRPr="003B1EC2">
        <w:rPr>
          <w:lang w:val="en-US"/>
        </w:rPr>
        <w:t xml:space="preserve">Cui, Q.Y., Gaillard, M.J., Lemdahl, G., Sugita, S., Greisman, A., Jacobson, G.L., Olsson, F., 2013. The role of tree composition in Holocene fire history of the hemiboreal and southern boreal zones of </w:t>
      </w:r>
      <w:r w:rsidRPr="003B1EC2">
        <w:rPr>
          <w:lang w:val="en-US"/>
        </w:rPr>
        <w:lastRenderedPageBreak/>
        <w:t>southern Sweden, as revealed by the application of the Landscape Reconstruction Algorithm: Implications for biodiversity and climate-change issues. Holocene 23, 1747–1763. https://doi.org/10.1177/0959683613505339</w:t>
      </w:r>
    </w:p>
    <w:p w14:paraId="12D20A0D" w14:textId="77777777" w:rsidR="003B1EC2" w:rsidRPr="003B1EC2" w:rsidRDefault="003B1EC2" w:rsidP="003B1EC2">
      <w:pPr>
        <w:pStyle w:val="Bibliographie"/>
        <w:spacing w:line="480" w:lineRule="auto"/>
        <w:rPr>
          <w:lang w:val="en-US"/>
        </w:rPr>
      </w:pPr>
      <w:r w:rsidRPr="003B1EC2">
        <w:rPr>
          <w:lang w:val="en-US"/>
        </w:rPr>
        <w:t>Dahlström, A., 2008. Grazing dynamics at different spatial and temporal scales: Examples from the Swedish historical record A.D. 1620-1850. Veg. Hist. Archaeobotany 17, 563–572. https://doi.org/10.1007/s00334-006-0087-1</w:t>
      </w:r>
    </w:p>
    <w:p w14:paraId="1ED84EF2" w14:textId="77777777" w:rsidR="003B1EC2" w:rsidRPr="003B1EC2" w:rsidRDefault="003B1EC2" w:rsidP="003B1EC2">
      <w:pPr>
        <w:pStyle w:val="Bibliographie"/>
        <w:spacing w:line="480" w:lineRule="auto"/>
        <w:rPr>
          <w:lang w:val="en-US"/>
        </w:rPr>
      </w:pPr>
      <w:r w:rsidRPr="003B1EC2">
        <w:rPr>
          <w:lang w:val="en-US"/>
        </w:rPr>
        <w:t>Dawson, A., Cao, X., Chaput, M., Hopla, E., Li, F., Edwards, M., Fyfe, R., Gajewski, K., Goring, S.J., Herzschuh, U., Mazier, F., Sugita, S., Williams, J.W., Xu, Q., Gaillard, M.-J., 2018. Finding the magnitude of human- induced Northern Hemisphere land-cover transformation between 6 and 0 . 2 ka BP. Nat. Plants 3, 17001. https://doi.org/10.22498/pages.26.1.34</w:t>
      </w:r>
    </w:p>
    <w:p w14:paraId="6B59528F" w14:textId="77777777" w:rsidR="003B1EC2" w:rsidRPr="003B1EC2" w:rsidRDefault="003B1EC2" w:rsidP="003B1EC2">
      <w:pPr>
        <w:pStyle w:val="Bibliographie"/>
        <w:spacing w:line="480" w:lineRule="auto"/>
        <w:rPr>
          <w:lang w:val="en-US"/>
        </w:rPr>
      </w:pPr>
      <w:r w:rsidRPr="003B1EC2">
        <w:rPr>
          <w:lang w:val="en-US"/>
        </w:rPr>
        <w:t>Delcourt, P.A., Delcourt, H.R., 1998. Paleoecological insights on conservation of biodiversity: A focus on species, ecosystems, and landscapes. Ecol. Appl. 8, 921–934. https://doi.org/10.1890/1051-0761(1998)008[0921:PIOCOB]2.0.CO;2</w:t>
      </w:r>
    </w:p>
    <w:p w14:paraId="5CC11E13" w14:textId="77777777" w:rsidR="003B1EC2" w:rsidRPr="003B1EC2" w:rsidRDefault="003B1EC2" w:rsidP="003B1EC2">
      <w:pPr>
        <w:pStyle w:val="Bibliographie"/>
        <w:spacing w:line="480" w:lineRule="auto"/>
        <w:rPr>
          <w:lang w:val="en-US"/>
        </w:rPr>
      </w:pPr>
      <w:r w:rsidRPr="003B1EC2">
        <w:rPr>
          <w:lang w:val="en-US"/>
        </w:rPr>
        <w:t>Dray, S., Pélissier, R., Couteron, P., Fortin, M.-J., Legendre, P., Peres-Neto, P.R., Bellier, E., Bivand, R., Blanchet, F.G., De Cáceres, M., Dufour, A.-B., Heegaard, E., Jombart, T., Munoz, F., Oksanen, J., Thioulouse, J., Wagner, H.H., 2012. Community ecology in the age of multivariate multiscale spatial analysis. Ecol. Monogr. 82, 257–275. https://doi.org/10.1890/11-1183.1</w:t>
      </w:r>
    </w:p>
    <w:p w14:paraId="77ABAEEB" w14:textId="77777777" w:rsidR="003B1EC2" w:rsidRPr="003B1EC2" w:rsidRDefault="003B1EC2" w:rsidP="003B1EC2">
      <w:pPr>
        <w:pStyle w:val="Bibliographie"/>
        <w:spacing w:line="480" w:lineRule="auto"/>
        <w:rPr>
          <w:lang w:val="en-US"/>
        </w:rPr>
      </w:pPr>
      <w:r w:rsidRPr="003B1EC2">
        <w:rPr>
          <w:lang w:val="en-US"/>
        </w:rPr>
        <w:t>Duffin, K.I., Bunting, M.J., 2008. Relative pollen productivity and fall speed estimates for southern African savanna taxa. Veg. Hist. Archaeobotany 17, 507–525. https://doi.org/10.1007/s00334-007-0101-2</w:t>
      </w:r>
    </w:p>
    <w:p w14:paraId="10625C6B" w14:textId="77777777" w:rsidR="003B1EC2" w:rsidRPr="003B1EC2" w:rsidRDefault="003B1EC2" w:rsidP="003B1EC2">
      <w:pPr>
        <w:pStyle w:val="Bibliographie"/>
        <w:spacing w:line="480" w:lineRule="auto"/>
        <w:rPr>
          <w:lang w:val="en-US"/>
        </w:rPr>
      </w:pPr>
      <w:r w:rsidRPr="003B1EC2">
        <w:rPr>
          <w:lang w:val="en-US"/>
        </w:rPr>
        <w:t>Fredh, E.D., Lagerås, P., Mazier, F., Björkman, L., Lindbladh, M., Broström, A., 2019. Farm establishment, abandonment and agricultural practices during the last 1,300 years: a case study from southern Sweden based on pollen records and the LOVE model. Veg. Hist. Archaeobotany 2019 285 28, 529–544. https://doi.org/10.1007/S00334-019-00712-X</w:t>
      </w:r>
    </w:p>
    <w:p w14:paraId="28802FD7" w14:textId="77777777" w:rsidR="003B1EC2" w:rsidRPr="003B1EC2" w:rsidRDefault="003B1EC2" w:rsidP="003B1EC2">
      <w:pPr>
        <w:pStyle w:val="Bibliographie"/>
        <w:spacing w:line="480" w:lineRule="auto"/>
        <w:rPr>
          <w:lang w:val="en-US"/>
        </w:rPr>
      </w:pPr>
      <w:r w:rsidRPr="003B1EC2">
        <w:rPr>
          <w:lang w:val="en-US"/>
        </w:rPr>
        <w:t xml:space="preserve">Fyfe, R.M., Twiddle, C., Sugita, S., Gaillard, M.J., Barratt, P., Caseldine, C.J., Dodson, J., Edwards, K.J., Farrell, M., Froyd, C., Grant, M.J., Huckerby, E., Innes, J.B., Shaw, H., Waller, M., 2013. The </w:t>
      </w:r>
      <w:r w:rsidRPr="003B1EC2">
        <w:rPr>
          <w:lang w:val="en-US"/>
        </w:rPr>
        <w:lastRenderedPageBreak/>
        <w:t>Holocene vegetation cover of Britain and Ireland: Overcoming problems of scale and discerning patterns of openness. Quat. Sci. Rev. 73, 132–148. https://doi.org/10.1016/j.quascirev.2013.05.014</w:t>
      </w:r>
    </w:p>
    <w:p w14:paraId="58B82312" w14:textId="77777777" w:rsidR="003B1EC2" w:rsidRPr="003B1EC2" w:rsidRDefault="003B1EC2" w:rsidP="003B1EC2">
      <w:pPr>
        <w:pStyle w:val="Bibliographie"/>
        <w:spacing w:line="480" w:lineRule="auto"/>
        <w:rPr>
          <w:lang w:val="en-US"/>
        </w:rPr>
      </w:pPr>
      <w:r w:rsidRPr="003B1EC2">
        <w:rPr>
          <w:lang w:val="en-US"/>
        </w:rPr>
        <w:t>Fyfe, R.M., Woodbridge, J., 2012. Differences in time and space in vegetation patterning: Analysis of pollen data from Dartmoor, UK. Landsc. Ecol. 27, 745–760. https://doi.org/10.1007/s10980-012-9726-3</w:t>
      </w:r>
    </w:p>
    <w:p w14:paraId="2B264CD2" w14:textId="77777777" w:rsidR="003B1EC2" w:rsidRPr="003B1EC2" w:rsidRDefault="003B1EC2" w:rsidP="003B1EC2">
      <w:pPr>
        <w:pStyle w:val="Bibliographie"/>
        <w:spacing w:line="480" w:lineRule="auto"/>
        <w:rPr>
          <w:lang w:val="en-US"/>
        </w:rPr>
      </w:pPr>
      <w:r w:rsidRPr="003B1EC2">
        <w:rPr>
          <w:lang w:val="en-US"/>
        </w:rPr>
        <w:t>Fyfe, R.M., Woodbridge, J., Roberts, N., 2015. From forest to farmland: pollen-inferred land cover change across Europe using the pseudobiomization approach. Glob. Change Biol. 21, 1197–1212. https://doi.org/10.1111/gcb.12776</w:t>
      </w:r>
    </w:p>
    <w:p w14:paraId="775DE19D" w14:textId="77777777" w:rsidR="003B1EC2" w:rsidRPr="003B1EC2" w:rsidRDefault="003B1EC2" w:rsidP="003B1EC2">
      <w:pPr>
        <w:pStyle w:val="Bibliographie"/>
        <w:spacing w:line="480" w:lineRule="auto"/>
        <w:rPr>
          <w:lang w:val="en-US"/>
        </w:rPr>
      </w:pPr>
      <w:r w:rsidRPr="003B1EC2">
        <w:rPr>
          <w:lang w:val="en-US"/>
        </w:rPr>
        <w:t>Gaillard, M.-J., Githumbi, E., Achoundong, G., Lézine, A.-M., Hély, C., Lebamba, J., Marquer, L., Mazier, F., Li, F., Sugita, S., 2021. The challenge of pollen-based quantitative reconstruction of Holocene plant cover in tropical regions: A pilot study in Cameroon. Quat. Veg. Dyn. – Afr. Pollen Database 183–206. https://doi.org/10.1201/9781003162766-12</w:t>
      </w:r>
    </w:p>
    <w:p w14:paraId="67A52F41" w14:textId="77777777" w:rsidR="003B1EC2" w:rsidRPr="003B1EC2" w:rsidRDefault="003B1EC2" w:rsidP="003B1EC2">
      <w:pPr>
        <w:pStyle w:val="Bibliographie"/>
        <w:spacing w:line="480" w:lineRule="auto"/>
        <w:rPr>
          <w:lang w:val="en-US"/>
        </w:rPr>
      </w:pPr>
      <w:r w:rsidRPr="003B1EC2">
        <w:rPr>
          <w:lang w:val="en-US"/>
        </w:rPr>
        <w:t>Gaillard, M.-J., Sugita, S., Mazier, F., Trondman, A.-K., Brostrom, A., Hickler, T., Kaplan, J.O., Kjellström, E., Kokfelt, U., Kunes, P., Lemmen, C., Miller, P., Olofsson, J., Poska, A., Rundgren, M., Smith, B., Strandberg, G., Fyfe, R., Nielsen, A.B.B., Alenius, T., Balakauskas, L., Barnekow, L., Birks, H.J.B., Bjune, A., Bjorkman, L., Giesecke, T., Hjelle, K., Kalnina, L., Kangur, M., Knaap, W.O.V.D., Koff, T., Lageras, P., Latalowa, M., Leydet, M., Lechterbeck, J., Lindbladh, M., Odgaard, B., Peglar, S., Segerstrom, U., Stedingk, H.V., Seppä, H., 2010. Holocene land-cover reconstructions for studies on land cover-climate feedbacks. Clim. Past 6, 483–499. https://doi.org/10.5194/cp-6-483-2010</w:t>
      </w:r>
    </w:p>
    <w:p w14:paraId="4712CE1E" w14:textId="77777777" w:rsidR="003B1EC2" w:rsidRPr="003B1EC2" w:rsidRDefault="003B1EC2" w:rsidP="003B1EC2">
      <w:pPr>
        <w:pStyle w:val="Bibliographie"/>
        <w:spacing w:line="480" w:lineRule="auto"/>
        <w:rPr>
          <w:lang w:val="en-US"/>
        </w:rPr>
      </w:pPr>
      <w:r w:rsidRPr="003B1EC2">
        <w:rPr>
          <w:lang w:val="en-US"/>
        </w:rPr>
        <w:t>Gaucherel, C., 2007. Multiscale heterogeneity map and associated scaling profile for landscape analysis. Landsc. Urban Plan. 82, 95–102. https://doi.org/10.1016/j.landurbplan.2007.01.022</w:t>
      </w:r>
    </w:p>
    <w:p w14:paraId="377A3841" w14:textId="77777777" w:rsidR="003B1EC2" w:rsidRPr="003B1EC2" w:rsidRDefault="003B1EC2" w:rsidP="003B1EC2">
      <w:pPr>
        <w:pStyle w:val="Bibliographie"/>
        <w:spacing w:line="480" w:lineRule="auto"/>
        <w:rPr>
          <w:lang w:val="en-US"/>
        </w:rPr>
      </w:pPr>
      <w:r w:rsidRPr="003B1EC2">
        <w:rPr>
          <w:lang w:val="en-US"/>
        </w:rPr>
        <w:t>Gaucherel, C., Alleaume, S., Hély, C., 2008. The Comparison Map Profile Method : A Strategy for Multiscale Comparison of Quantitative and Qualitative Images 46, 2708–2719. https://doi.org/10.1109/TGRS.2008.919379</w:t>
      </w:r>
    </w:p>
    <w:p w14:paraId="66CCE9E8" w14:textId="77777777" w:rsidR="003B1EC2" w:rsidRPr="003B1EC2" w:rsidRDefault="003B1EC2" w:rsidP="003B1EC2">
      <w:pPr>
        <w:pStyle w:val="Bibliographie"/>
        <w:spacing w:line="480" w:lineRule="auto"/>
        <w:rPr>
          <w:lang w:val="en-US"/>
        </w:rPr>
      </w:pPr>
      <w:r>
        <w:lastRenderedPageBreak/>
        <w:t xml:space="preserve">Gaucherel, C., Burel, F., Baudry, J., 2007. </w:t>
      </w:r>
      <w:r w:rsidRPr="003B1EC2">
        <w:rPr>
          <w:lang w:val="en-US"/>
        </w:rPr>
        <w:t>Multiscale and surface pattern analysis of the effect of landscape pattern on carabid beetles distribution. Ecol. Indic. 7, 598–609. https://doi.org/10.1016/j.ecolind.2006.07.002</w:t>
      </w:r>
    </w:p>
    <w:p w14:paraId="5E365062" w14:textId="77777777" w:rsidR="003B1EC2" w:rsidRPr="003B1EC2" w:rsidRDefault="003B1EC2" w:rsidP="003B1EC2">
      <w:pPr>
        <w:pStyle w:val="Bibliographie"/>
        <w:spacing w:line="480" w:lineRule="auto"/>
        <w:rPr>
          <w:lang w:val="en-US"/>
        </w:rPr>
      </w:pPr>
      <w:r w:rsidRPr="003B1EC2">
        <w:rPr>
          <w:lang w:val="en-US"/>
        </w:rPr>
        <w:t>Gaucherel, C., Neha, P., Roshan, P., Uttam, S., Rajendra, G., 2016a. Assessing and managing the rising rhino population in Kaziranga (India). Ecol. Indic. 66, 55–64. https://doi.org/10.1016/j.ecolind.2016.01.023</w:t>
      </w:r>
    </w:p>
    <w:p w14:paraId="64B6970A" w14:textId="77777777" w:rsidR="003B1EC2" w:rsidRPr="003B1EC2" w:rsidRDefault="003B1EC2" w:rsidP="003B1EC2">
      <w:pPr>
        <w:pStyle w:val="Bibliographie"/>
        <w:spacing w:line="480" w:lineRule="auto"/>
        <w:rPr>
          <w:lang w:val="en-US"/>
        </w:rPr>
      </w:pPr>
      <w:r w:rsidRPr="003B1EC2">
        <w:rPr>
          <w:lang w:val="en-US"/>
        </w:rPr>
        <w:t>Gaucherel, C., Pommereau, F., 2019. Using discrete systems to exhaustively characterize the dynamics of an integrated ecosystem. Methods Ecol. Evol. 10, 1615–1627. https://doi.org/10.1111/2041-210X.13242</w:t>
      </w:r>
    </w:p>
    <w:p w14:paraId="4BCD59DC" w14:textId="77777777" w:rsidR="003B1EC2" w:rsidRPr="003B1EC2" w:rsidRDefault="003B1EC2" w:rsidP="003B1EC2">
      <w:pPr>
        <w:pStyle w:val="Bibliographie"/>
        <w:spacing w:line="480" w:lineRule="auto"/>
        <w:rPr>
          <w:lang w:val="en-US"/>
        </w:rPr>
      </w:pPr>
      <w:r w:rsidRPr="003B1EC2">
        <w:rPr>
          <w:lang w:val="en-US"/>
        </w:rPr>
        <w:t>Gaucherel, C., Pommereau, F., Hély, C., 2020. Understanding Ecosystem Complexity via Application of a Process-Based State Space rather than a Potential Surface. Complexity 2020, 1–14. https://doi.org/10.1155/2020/7163920</w:t>
      </w:r>
    </w:p>
    <w:p w14:paraId="1FFD3719" w14:textId="77777777" w:rsidR="003B1EC2" w:rsidRPr="003B1EC2" w:rsidRDefault="003B1EC2" w:rsidP="003B1EC2">
      <w:pPr>
        <w:pStyle w:val="Bibliographie"/>
        <w:spacing w:line="480" w:lineRule="auto"/>
        <w:rPr>
          <w:lang w:val="en-US"/>
        </w:rPr>
      </w:pPr>
      <w:r w:rsidRPr="003B1EC2">
        <w:rPr>
          <w:lang w:val="en-US"/>
        </w:rPr>
        <w:t>Gaucherel, C., Tramier, C., Devictor, V., Svenning, J.C., Hély, C., 2018. Where and at which scales does the LDG fail? J. Biogeogr. 00, 1–12. https://doi.org/10.1111/jbi.13355</w:t>
      </w:r>
    </w:p>
    <w:p w14:paraId="50377C51" w14:textId="77777777" w:rsidR="003B1EC2" w:rsidRPr="003B1EC2" w:rsidRDefault="003B1EC2" w:rsidP="003B1EC2">
      <w:pPr>
        <w:pStyle w:val="Bibliographie"/>
        <w:spacing w:line="480" w:lineRule="auto"/>
        <w:rPr>
          <w:lang w:val="en-US"/>
        </w:rPr>
      </w:pPr>
      <w:r w:rsidRPr="003B1EC2">
        <w:rPr>
          <w:lang w:val="en-US"/>
        </w:rPr>
        <w:t>Gaucherel, C., Vezy, R., Gontrand, F., Bouchet, D., Ramesh, B.R., 2016b. Spatial analysis of endemism to redefine conservation areas in Western Ghats (India). J. Nat. Conserv. 34, 33–41. https://doi.org/10.1016/j.jnc.2016.09.002</w:t>
      </w:r>
    </w:p>
    <w:p w14:paraId="7BA91F24" w14:textId="77777777" w:rsidR="003B1EC2" w:rsidRPr="003B1EC2" w:rsidRDefault="003B1EC2" w:rsidP="003B1EC2">
      <w:pPr>
        <w:pStyle w:val="Bibliographie"/>
        <w:spacing w:line="480" w:lineRule="auto"/>
        <w:rPr>
          <w:lang w:val="en-US"/>
        </w:rPr>
      </w:pPr>
      <w:r w:rsidRPr="003B1EC2">
        <w:rPr>
          <w:lang w:val="en-US"/>
        </w:rPr>
        <w:t>Giesecke, T., Brewer, S., Finsinger, W., Leydet, M., Bradshaw, R.H.W., 2017. Patterns and dynamics of European vegetation change over the last 15,000 years. J. Biogeogr. 44, 1441–1456. https://doi.org/10.1111/JBI.12974</w:t>
      </w:r>
    </w:p>
    <w:p w14:paraId="221CA19D" w14:textId="77777777" w:rsidR="003B1EC2" w:rsidRPr="003B1EC2" w:rsidRDefault="003B1EC2" w:rsidP="003B1EC2">
      <w:pPr>
        <w:pStyle w:val="Bibliographie"/>
        <w:spacing w:line="480" w:lineRule="auto"/>
        <w:rPr>
          <w:lang w:val="en-US"/>
        </w:rPr>
      </w:pPr>
      <w:r w:rsidRPr="003B1EC2">
        <w:rPr>
          <w:lang w:val="en-US"/>
        </w:rPr>
        <w:t>Githumbi, E., Fyfe, R., Gaillard, M.-J., Trondman, A.-K., Mazier, F., Nielsen, A.-B., Poska, A., Sugita, S., Woodbridge, J., Azuara, J., Feurdean, A., Grindean, R., Lebreton, V., Marquer, L., Nebout-Combourieu, N., Stančikaitė, M., Tanţău, I., Tonkov, S., Shumilovskikh, L., LandClimII Data contributors, 2022. European pollen-based REVEALS land-cover reconstructions for the Holocene: methodology, mapping and potentials. Earth Syst Sci Data 14, 1581–1619. https://doi.org/10.5194/essd-14-1581-2022</w:t>
      </w:r>
    </w:p>
    <w:p w14:paraId="3F70CF7D" w14:textId="77777777" w:rsidR="003B1EC2" w:rsidRPr="003B1EC2" w:rsidRDefault="003B1EC2" w:rsidP="003B1EC2">
      <w:pPr>
        <w:pStyle w:val="Bibliographie"/>
        <w:spacing w:line="480" w:lineRule="auto"/>
        <w:rPr>
          <w:lang w:val="en-US"/>
        </w:rPr>
      </w:pPr>
      <w:r w:rsidRPr="003B1EC2">
        <w:rPr>
          <w:lang w:val="en-US"/>
        </w:rPr>
        <w:lastRenderedPageBreak/>
        <w:t>Gritti, E.S., Gaucherel, C., Crespo-Perez, M.-V., Chuine, I., 2013. How can model comparison help improving species distribution models? PLoS ONE 8, 1–12. https://doi.org/10.1371/journal.pone.0068823</w:t>
      </w:r>
    </w:p>
    <w:p w14:paraId="65D4C4E0" w14:textId="77777777" w:rsidR="003B1EC2" w:rsidRPr="003B1EC2" w:rsidRDefault="003B1EC2" w:rsidP="003B1EC2">
      <w:pPr>
        <w:pStyle w:val="Bibliographie"/>
        <w:spacing w:line="480" w:lineRule="auto"/>
        <w:rPr>
          <w:lang w:val="en-US"/>
        </w:rPr>
      </w:pPr>
      <w:r w:rsidRPr="003B1EC2">
        <w:rPr>
          <w:lang w:val="en-US"/>
        </w:rPr>
        <w:t>Guisan, A., Zimmermann, N.E., 2000. Predictive habitat distribution models in ecology. Ecol. Model. 135, 147–186. https://doi.org/10.1016/S0304-3800(00)00354-9</w:t>
      </w:r>
    </w:p>
    <w:p w14:paraId="2E91B6BE" w14:textId="77777777" w:rsidR="003B1EC2" w:rsidRPr="003B1EC2" w:rsidRDefault="003B1EC2" w:rsidP="003B1EC2">
      <w:pPr>
        <w:pStyle w:val="Bibliographie"/>
        <w:spacing w:line="480" w:lineRule="auto"/>
        <w:rPr>
          <w:lang w:val="en-US"/>
        </w:rPr>
      </w:pPr>
      <w:r w:rsidRPr="003B1EC2">
        <w:rPr>
          <w:lang w:val="en-US"/>
        </w:rPr>
        <w:t>Hastie, T., Tibshirani, R., 1987. Generalized Additive Models: Some Applications. J. Am. Stat. Assoc. 82, 371–386. https://doi.org/10.1080/01621459.1987.10478440</w:t>
      </w:r>
    </w:p>
    <w:p w14:paraId="271C6A0C" w14:textId="77777777" w:rsidR="003B1EC2" w:rsidRPr="003B1EC2" w:rsidRDefault="003B1EC2" w:rsidP="003B1EC2">
      <w:pPr>
        <w:pStyle w:val="Bibliographie"/>
        <w:spacing w:line="480" w:lineRule="auto"/>
        <w:rPr>
          <w:lang w:val="en-US"/>
        </w:rPr>
      </w:pPr>
      <w:r w:rsidRPr="003B1EC2">
        <w:rPr>
          <w:lang w:val="en-US"/>
        </w:rPr>
        <w:t>Hastie, T., Tibshirani, R., Friedman, J., 2009. Cross-Validation, in: The Elements of Statistical Learning. Data Mining, Inference, and Prediction. Springer Science &amp; Business Media, pp. 241–259.</w:t>
      </w:r>
    </w:p>
    <w:p w14:paraId="081D0BBB" w14:textId="77777777" w:rsidR="003B1EC2" w:rsidRPr="003B1EC2" w:rsidRDefault="003B1EC2" w:rsidP="003B1EC2">
      <w:pPr>
        <w:pStyle w:val="Bibliographie"/>
        <w:spacing w:line="480" w:lineRule="auto"/>
        <w:rPr>
          <w:lang w:val="en-US"/>
        </w:rPr>
      </w:pPr>
      <w:r w:rsidRPr="003B1EC2">
        <w:rPr>
          <w:lang w:val="en-US"/>
        </w:rPr>
        <w:t>Hellman, S., Gaillard, M.-J., Broström, A., Sugita, S., 2008. The REVEALS model, a new tool to estimate past regional plant abundance from pollen data in large lakes : validation in southern Sweden. J. Quat. Sci. 23, 21–42. https://doi.org/10.1002/jqs.1126</w:t>
      </w:r>
    </w:p>
    <w:p w14:paraId="5D57AF57" w14:textId="77777777" w:rsidR="003B1EC2" w:rsidRPr="003B1EC2" w:rsidRDefault="003B1EC2" w:rsidP="003B1EC2">
      <w:pPr>
        <w:pStyle w:val="Bibliographie"/>
        <w:spacing w:line="480" w:lineRule="auto"/>
        <w:rPr>
          <w:lang w:val="en-US"/>
        </w:rPr>
      </w:pPr>
      <w:r w:rsidRPr="003B1EC2">
        <w:rPr>
          <w:lang w:val="en-US"/>
        </w:rPr>
        <w:t>Hély, C., Lézine, A.M., 2014. Holocene changes in African vegetation : tradeoff between climate and water availability. Clim. Past 10, 681–686. https://doi.org/10.5194/cp-10-681-2014</w:t>
      </w:r>
    </w:p>
    <w:p w14:paraId="07EE9578" w14:textId="77777777" w:rsidR="003B1EC2" w:rsidRPr="003B1EC2" w:rsidRDefault="003B1EC2" w:rsidP="003B1EC2">
      <w:pPr>
        <w:pStyle w:val="Bibliographie"/>
        <w:spacing w:line="480" w:lineRule="auto"/>
        <w:rPr>
          <w:lang w:val="en-US"/>
        </w:rPr>
      </w:pPr>
      <w:r w:rsidRPr="003B1EC2">
        <w:rPr>
          <w:lang w:val="en-US"/>
        </w:rPr>
        <w:t>Hersperger, A.M., Bürgi, M., 2009. Going beyond landscape change description: Quantifying the importance of driving forces of landscape change in a Central Europe case study. Land Use Policy 26, 640–648. https://doi.org/10.1016/j.landusepol.2008.08.015</w:t>
      </w:r>
    </w:p>
    <w:p w14:paraId="66E8CF8B" w14:textId="77777777" w:rsidR="003B1EC2" w:rsidRDefault="003B1EC2" w:rsidP="003B1EC2">
      <w:pPr>
        <w:pStyle w:val="Bibliographie"/>
        <w:spacing w:line="480" w:lineRule="auto"/>
      </w:pPr>
      <w:r w:rsidRPr="003B1EC2">
        <w:rPr>
          <w:lang w:val="en-US"/>
        </w:rPr>
        <w:t xml:space="preserve">Hjelle, K.L., Mehl, I.K., Sugita, S., Andersen, G.L., 2015. From pollen percentage to vegetation cover: Evaluation of the Landscape Reconstruction Algorithm in western Norway. </w:t>
      </w:r>
      <w:r>
        <w:t>J. Quat. Sci. 30, 312–324. https://doi.org/10.1002/jqs.2769</w:t>
      </w:r>
    </w:p>
    <w:p w14:paraId="0C6EF51F" w14:textId="77777777" w:rsidR="003B1EC2" w:rsidRPr="003B1EC2" w:rsidRDefault="003B1EC2" w:rsidP="003B1EC2">
      <w:pPr>
        <w:pStyle w:val="Bibliographie"/>
        <w:spacing w:line="480" w:lineRule="auto"/>
        <w:rPr>
          <w:lang w:val="en-US"/>
        </w:rPr>
      </w:pPr>
      <w:r>
        <w:t xml:space="preserve">Hjelle, K.L., Sugita, S., 2012. </w:t>
      </w:r>
      <w:r w:rsidRPr="003B1EC2">
        <w:rPr>
          <w:lang w:val="en-US"/>
        </w:rPr>
        <w:t>Estimating pollen productivity and relevant source area of pollen using lake sediments in Norway: How does lake size variation affect the estimates? Holocene 22, 313–324. https://doi.org/10.1177/0959683611423690</w:t>
      </w:r>
    </w:p>
    <w:p w14:paraId="17BE4FC6" w14:textId="77777777" w:rsidR="003B1EC2" w:rsidRDefault="003B1EC2" w:rsidP="003B1EC2">
      <w:pPr>
        <w:pStyle w:val="Bibliographie"/>
        <w:spacing w:line="480" w:lineRule="auto"/>
      </w:pPr>
      <w:r w:rsidRPr="003B1EC2">
        <w:rPr>
          <w:lang w:val="en-US"/>
        </w:rPr>
        <w:t xml:space="preserve">Houet, T., Galop, D., Mazier, F., Sheeren, D., Dejoux, J.F., 2012a. Modelling past and future land cover changes . A multi-scale approach applied in the Pyrenees, in: AGILE. </w:t>
      </w:r>
      <w:r>
        <w:t>Avignon, p. 1.</w:t>
      </w:r>
    </w:p>
    <w:p w14:paraId="7B072A87" w14:textId="77777777" w:rsidR="003B1EC2" w:rsidRDefault="003B1EC2" w:rsidP="003B1EC2">
      <w:pPr>
        <w:pStyle w:val="Bibliographie"/>
        <w:spacing w:line="480" w:lineRule="auto"/>
      </w:pPr>
      <w:r>
        <w:lastRenderedPageBreak/>
        <w:t>Houet, T., Ribière, O., Vacquie, L.A., Vidal, F., Galop, D., 2012b. Caractérisation de la fermeture des paysages dans les Pyrénées depuis les années 1940. Application sur le Haut-Vicdessos. Sud-Ouest Eur. 33, 41–56. https://doi.org/10.4000/soe.210</w:t>
      </w:r>
    </w:p>
    <w:p w14:paraId="5CF787CF" w14:textId="77777777" w:rsidR="003B1EC2" w:rsidRPr="003B1EC2" w:rsidRDefault="003B1EC2" w:rsidP="003B1EC2">
      <w:pPr>
        <w:pStyle w:val="Bibliographie"/>
        <w:spacing w:line="480" w:lineRule="auto"/>
        <w:rPr>
          <w:lang w:val="en-US"/>
        </w:rPr>
      </w:pPr>
      <w:r w:rsidRPr="003B1EC2">
        <w:rPr>
          <w:lang w:val="en-US"/>
        </w:rPr>
        <w:t>Houet, T., Verburg, P.H., Loveland, T.R., 2010. Monitoring and modelling landscape dynamics 163–167. https://doi.org/10.1007/s10980-009-9417-x</w:t>
      </w:r>
    </w:p>
    <w:p w14:paraId="1F21F953" w14:textId="77777777" w:rsidR="003B1EC2" w:rsidRPr="003B1EC2" w:rsidRDefault="003B1EC2" w:rsidP="003B1EC2">
      <w:pPr>
        <w:pStyle w:val="Bibliographie"/>
        <w:spacing w:line="480" w:lineRule="auto"/>
        <w:rPr>
          <w:lang w:val="en-US"/>
        </w:rPr>
      </w:pPr>
      <w:r w:rsidRPr="003B1EC2">
        <w:rPr>
          <w:lang w:val="en-US"/>
        </w:rPr>
        <w:t>Hultberg, T., Gaillard, M.-J., Grundmann, B., Lindbladh, M., 2014. Reconstruction of past landscape openness using the Landscape Reconstruction Algorithm (LRA) applied on three local pollen sites in a southern Swedish biodiversity hotspot. Veg. Hist. Archaeobotany 2014 242 24, 253–266. https://doi.org/10.1007/S00334-014-0469-8</w:t>
      </w:r>
    </w:p>
    <w:p w14:paraId="7566B8EB" w14:textId="77777777" w:rsidR="003B1EC2" w:rsidRPr="003B1EC2" w:rsidRDefault="003B1EC2" w:rsidP="003B1EC2">
      <w:pPr>
        <w:pStyle w:val="Bibliographie"/>
        <w:spacing w:line="480" w:lineRule="auto"/>
        <w:rPr>
          <w:lang w:val="en-US"/>
        </w:rPr>
      </w:pPr>
      <w:r w:rsidRPr="003B1EC2">
        <w:rPr>
          <w:lang w:val="en-US"/>
        </w:rPr>
        <w:t>Jeffers, E.S., Nogué, S., Willis, K.J., 2015. The role of palaeoecological records in assessing ecosystem services. Quat. Sci. Rev. 112. https://doi.org/10.1016/j.quascirev.2014.12.018</w:t>
      </w:r>
    </w:p>
    <w:p w14:paraId="00D1126D" w14:textId="77777777" w:rsidR="003B1EC2" w:rsidRPr="003B1EC2" w:rsidRDefault="003B1EC2" w:rsidP="003B1EC2">
      <w:pPr>
        <w:pStyle w:val="Bibliographie"/>
        <w:spacing w:line="480" w:lineRule="auto"/>
        <w:rPr>
          <w:lang w:val="en-US"/>
        </w:rPr>
      </w:pPr>
      <w:r w:rsidRPr="003B1EC2">
        <w:rPr>
          <w:lang w:val="en-US"/>
        </w:rPr>
        <w:t>Joannin, S., Brugiapaglia, E., De Beaulieu, J.L., Bernardo, L., Magny, M., Peyron, O., Goring, S., Vannière, B., 2012. Pollen-based reconstruction of Holocene vegetation and climate in southern Italy: The case of Lago Trifoglietti. Clim. Past 8, 1973–1996. https://doi.org/10.5194/cp-8-1973-2012</w:t>
      </w:r>
    </w:p>
    <w:p w14:paraId="6FBC873B" w14:textId="77777777" w:rsidR="003B1EC2" w:rsidRPr="003B1EC2" w:rsidRDefault="003B1EC2" w:rsidP="003B1EC2">
      <w:pPr>
        <w:pStyle w:val="Bibliographie"/>
        <w:spacing w:line="480" w:lineRule="auto"/>
        <w:rPr>
          <w:lang w:val="en-US"/>
        </w:rPr>
      </w:pPr>
      <w:r w:rsidRPr="003B1EC2">
        <w:rPr>
          <w:lang w:val="en-US"/>
        </w:rPr>
        <w:t>Jolly, D., Prentice, I.C., Bonnefille, R., Ballouche, A., Bengo, M., Brenac, P., Buchet, G., Burney, D., Cazet, J.P., Cheddadi, R., Edorh, T., Elenga, H., Elmoutaki, S., Guiot, J., Laarif, F., Lamb, H., Lezine, A.M., Maley, J., Mbenza, M., Peyron, O., Reille, M., Reynaud-Farrera, I., Riollet, G., Ritchie, J.C., Roche, E., Scott, L., Ssemmanda, I., Straka, H., Umer, M., Van Campo, E., Vilimumbalo, S., Vincens, A., Waller, M., 1998. Biome reconstruction from pollen and plant macrofossil data for Africa and the Arabian peninsula at 0 and 6000 years. J. Biogeogr. 25, 1007–1027. https://doi.org/10.1046/j.1365-2699.1998.00238.x</w:t>
      </w:r>
    </w:p>
    <w:p w14:paraId="2E9CE603" w14:textId="77777777" w:rsidR="003B1EC2" w:rsidRPr="003B1EC2" w:rsidRDefault="003B1EC2" w:rsidP="003B1EC2">
      <w:pPr>
        <w:pStyle w:val="Bibliographie"/>
        <w:spacing w:line="480" w:lineRule="auto"/>
        <w:rPr>
          <w:lang w:val="en-US"/>
        </w:rPr>
      </w:pPr>
      <w:r w:rsidRPr="003B1EC2">
        <w:rPr>
          <w:lang w:val="en-US"/>
        </w:rPr>
        <w:t>Kühl, N., Gebhardt, C., Litt, T., Hense, A., 2002. Probability Density Functions as Botanical-Climatological Transfer Functions for Climate Reconstruction. Quat. Res. 58, 381–392. https://doi.org/10.1006/qres.2002.2380</w:t>
      </w:r>
    </w:p>
    <w:p w14:paraId="5430BE9B" w14:textId="77777777" w:rsidR="003B1EC2" w:rsidRDefault="003B1EC2" w:rsidP="003B1EC2">
      <w:pPr>
        <w:pStyle w:val="Bibliographie"/>
        <w:spacing w:line="480" w:lineRule="auto"/>
      </w:pPr>
      <w:r w:rsidRPr="003B1EC2">
        <w:rPr>
          <w:lang w:val="en-US"/>
        </w:rPr>
        <w:t xml:space="preserve">Landis, J.R., Koch, G.G., 1977. The Measurement of Observer Agreement for Categorical Data. </w:t>
      </w:r>
      <w:r>
        <w:t>Biometrics 33, 159. https://doi.org/10.2307/2529310</w:t>
      </w:r>
    </w:p>
    <w:p w14:paraId="6D0D1F04" w14:textId="77777777" w:rsidR="003B1EC2" w:rsidRPr="003B1EC2" w:rsidRDefault="003B1EC2" w:rsidP="003B1EC2">
      <w:pPr>
        <w:pStyle w:val="Bibliographie"/>
        <w:spacing w:line="480" w:lineRule="auto"/>
        <w:rPr>
          <w:lang w:val="en-US"/>
        </w:rPr>
      </w:pPr>
      <w:r>
        <w:lastRenderedPageBreak/>
        <w:t xml:space="preserve">Ledru, M., Montade, V., Cedex, M., Cedex, M., Pratique, E., 2016. </w:t>
      </w:r>
      <w:r w:rsidRPr="003B1EC2">
        <w:rPr>
          <w:lang w:val="en-US"/>
        </w:rPr>
        <w:t>Long-term Spatial Changes in the Distribution of the Brazilian Atlantic Forest. Biotropica 48, 159–169. https://doi.org/10.1111/btp.12266</w:t>
      </w:r>
    </w:p>
    <w:p w14:paraId="2B6BCD12" w14:textId="77777777" w:rsidR="003B1EC2" w:rsidRPr="003B1EC2" w:rsidRDefault="003B1EC2" w:rsidP="003B1EC2">
      <w:pPr>
        <w:pStyle w:val="Bibliographie"/>
        <w:spacing w:line="480" w:lineRule="auto"/>
        <w:rPr>
          <w:lang w:val="en-US"/>
        </w:rPr>
      </w:pPr>
      <w:r w:rsidRPr="003B1EC2">
        <w:rPr>
          <w:lang w:val="en-US"/>
        </w:rPr>
        <w:t>Legendre, P., Fortin, M.J., 1989. Spatial pattern and ecological analysis. Vegetatio 80, 107–138. https://doi.org/10.1007/BF00048036</w:t>
      </w:r>
    </w:p>
    <w:p w14:paraId="61A705AD" w14:textId="77777777" w:rsidR="003B1EC2" w:rsidRPr="003B1EC2" w:rsidRDefault="003B1EC2" w:rsidP="003B1EC2">
      <w:pPr>
        <w:pStyle w:val="Bibliographie"/>
        <w:spacing w:line="480" w:lineRule="auto"/>
        <w:rPr>
          <w:lang w:val="en-US"/>
        </w:rPr>
      </w:pPr>
      <w:r w:rsidRPr="003B1EC2">
        <w:rPr>
          <w:lang w:val="en-US"/>
        </w:rPr>
        <w:t>Leibold, M.A., Holyoak, M., Mouquet, N., Amarasekare, P., Chase, J.M., Hoopes, M.F., Holt, R.D., Shurin, J.B., Law, R., Tilman, D., Loreau, M., Gonzalez, A., 2004. The metacommunity concept: a framework for multi-scale community ecology. Ecol. Lett. 7, 601–613. https://doi.org/10.1111/J.1461-0248.2004.00608.X</w:t>
      </w:r>
    </w:p>
    <w:p w14:paraId="5F91AB64" w14:textId="77777777" w:rsidR="003B1EC2" w:rsidRPr="003B1EC2" w:rsidRDefault="003B1EC2" w:rsidP="003B1EC2">
      <w:pPr>
        <w:pStyle w:val="Bibliographie"/>
        <w:spacing w:line="480" w:lineRule="auto"/>
        <w:rPr>
          <w:lang w:val="en-US"/>
        </w:rPr>
      </w:pPr>
      <w:r w:rsidRPr="003B1EC2">
        <w:rPr>
          <w:lang w:val="en-US"/>
        </w:rPr>
        <w:t>Lemly, J.M., Cooper, D.J., 2011. Multiscale factors control community and species distribution in mountain peatlands. Botany 89, 689–713. https://doi.org/10.1139/b11-040</w:t>
      </w:r>
    </w:p>
    <w:p w14:paraId="72690A98" w14:textId="77777777" w:rsidR="003B1EC2" w:rsidRPr="003B1EC2" w:rsidRDefault="003B1EC2" w:rsidP="003B1EC2">
      <w:pPr>
        <w:pStyle w:val="Bibliographie"/>
        <w:spacing w:line="480" w:lineRule="auto"/>
        <w:rPr>
          <w:lang w:val="en-US"/>
        </w:rPr>
      </w:pPr>
      <w:r w:rsidRPr="003B1EC2">
        <w:rPr>
          <w:lang w:val="en-US"/>
        </w:rPr>
        <w:t>Li, F., Gaillard, M.J., Xu, Q., Bunting, M.J., Li, Y., Li, J., Mu, H., Lu, J., Zhang, P., Zhang, S., Cui, Q., Zhang, Y., Shen, W., 2018. A review of relative pollen productivity estimates from temperate China for pollen-based quantitative reconstruction of past plant cover. Front. Plant Sci. 9, 1214. https://doi.org/10.3389/FPLS.2018.01214/BIBTEX</w:t>
      </w:r>
    </w:p>
    <w:p w14:paraId="42C85F4E" w14:textId="77777777" w:rsidR="003B1EC2" w:rsidRDefault="003B1EC2" w:rsidP="003B1EC2">
      <w:pPr>
        <w:pStyle w:val="Bibliographie"/>
        <w:spacing w:line="480" w:lineRule="auto"/>
      </w:pPr>
      <w:r w:rsidRPr="003B1EC2">
        <w:rPr>
          <w:lang w:val="en-US"/>
        </w:rPr>
        <w:t xml:space="preserve">Lindbladh, M., Bradshaw, R., Holmqvist, B.H., 2000. Pattern and process in south Swedish forests during the last 3000 years, sensed at stand and regional scales. </w:t>
      </w:r>
      <w:r>
        <w:t>J. Ecol. 88, 113–128. https://doi.org/10.1046/j.1365-2745.2000.00429.x</w:t>
      </w:r>
    </w:p>
    <w:p w14:paraId="1BFD175E" w14:textId="77777777" w:rsidR="003B1EC2" w:rsidRDefault="003B1EC2" w:rsidP="003B1EC2">
      <w:pPr>
        <w:pStyle w:val="Bibliographie"/>
        <w:spacing w:line="480" w:lineRule="auto"/>
      </w:pPr>
      <w:r>
        <w:t xml:space="preserve">Marquer, L., Mazier, F., Sugita, S., Galop, D., Houet, T., Faure, E., Gaillard, M.J., Haunold, S., de Munnik, N., Simonneau, A., De Vleeschouwer, F., Le Roux, G., 2020a. </w:t>
      </w:r>
      <w:r w:rsidRPr="003B1EC2">
        <w:rPr>
          <w:lang w:val="en-US"/>
        </w:rPr>
        <w:t xml:space="preserve">Reply to Theuerkauf and Couwenberg (2020) comment on: “Pollen-based reconstruction of Holocene land-cover in mountain regions: Evaluation of the Landscape Reconstruction Algorithm in the Vicdessos valley, northern Pyrenees, France.” </w:t>
      </w:r>
      <w:r>
        <w:t>Quat. Sci. Rev. 244. https://doi.org/10.1016/J.QUASCIREV.2020.106462</w:t>
      </w:r>
    </w:p>
    <w:p w14:paraId="5776376E" w14:textId="77777777" w:rsidR="003B1EC2" w:rsidRPr="003B1EC2" w:rsidRDefault="003B1EC2" w:rsidP="003B1EC2">
      <w:pPr>
        <w:pStyle w:val="Bibliographie"/>
        <w:spacing w:line="480" w:lineRule="auto"/>
        <w:rPr>
          <w:lang w:val="en-US"/>
        </w:rPr>
      </w:pPr>
      <w:r>
        <w:t xml:space="preserve">Marquer, L., Mazier, F., Sugita, S., Galop, D., Houet, T., Faure, E., Gaillard, M.-J., Haunold, S., Munnik, N.D., Simonneau, A., De Vleeschouwer, F., Le Roux, G., 2020b. </w:t>
      </w:r>
      <w:r w:rsidRPr="003B1EC2">
        <w:rPr>
          <w:lang w:val="en-US"/>
        </w:rPr>
        <w:t xml:space="preserve">Pollen-based reconstruction of </w:t>
      </w:r>
      <w:r w:rsidRPr="003B1EC2">
        <w:rPr>
          <w:lang w:val="en-US"/>
        </w:rPr>
        <w:lastRenderedPageBreak/>
        <w:t>Holocene land-cover in mountain regions : Evaluation of the Landscape Reconstruction Algorithm in the Vicdessos valley, northern Pyrenees, France. Quat. Sci. Rev. 228, 1–14. https://doi.org/10.1016/j.quascirev.2019.106049</w:t>
      </w:r>
    </w:p>
    <w:p w14:paraId="6D395F55" w14:textId="77777777" w:rsidR="003B1EC2" w:rsidRPr="003B1EC2" w:rsidRDefault="003B1EC2" w:rsidP="003B1EC2">
      <w:pPr>
        <w:pStyle w:val="Bibliographie"/>
        <w:spacing w:line="480" w:lineRule="auto"/>
        <w:rPr>
          <w:lang w:val="en-US"/>
        </w:rPr>
      </w:pPr>
      <w:r w:rsidRPr="003B1EC2">
        <w:rPr>
          <w:lang w:val="en-US"/>
        </w:rPr>
        <w:t>Mazier, F., Brostrom, A., Bragée, P., Fredh, D., Stenberg, L., Thiere, G., Sugita, S., Hammarlund, D., 2015. Two hundred years of land-use change in the South Swedish Uplands : comparison of historical map-based estimates with a pollen-based reconstruction using the landscape reconstruction algorithm. Veg. Hist. Archaeobotany 24, 555–570. https://doi.org/10.1007/s00334-015-0516-0</w:t>
      </w:r>
    </w:p>
    <w:p w14:paraId="4D0B410E" w14:textId="77777777" w:rsidR="003B1EC2" w:rsidRPr="003B1EC2" w:rsidRDefault="003B1EC2" w:rsidP="003B1EC2">
      <w:pPr>
        <w:pStyle w:val="Bibliographie"/>
        <w:spacing w:line="480" w:lineRule="auto"/>
        <w:rPr>
          <w:lang w:val="en-US"/>
        </w:rPr>
      </w:pPr>
      <w:r w:rsidRPr="003B1EC2">
        <w:rPr>
          <w:lang w:val="en-US"/>
        </w:rPr>
        <w:t>Mazier, F., Plancher, C., Haunold, S., Bonnet, C., Belly, H., Houet, T., 2022. Vegetation surveys in a mountainous area (Pyrenees, France) [WWW Document]. GBIF.org. URL https://doi.org/10.15468/4q47d3</w:t>
      </w:r>
    </w:p>
    <w:p w14:paraId="43CB959F" w14:textId="77777777" w:rsidR="003B1EC2" w:rsidRPr="003B1EC2" w:rsidRDefault="003B1EC2" w:rsidP="003B1EC2">
      <w:pPr>
        <w:pStyle w:val="Bibliographie"/>
        <w:spacing w:line="480" w:lineRule="auto"/>
        <w:rPr>
          <w:lang w:val="en-US"/>
        </w:rPr>
      </w:pPr>
      <w:r w:rsidRPr="003B1EC2">
        <w:rPr>
          <w:lang w:val="en-US"/>
        </w:rPr>
        <w:t>McCullagh, P., 1984. Generalized linear models. Eur. J. Oper. Res. 16, 285–292. https://doi.org/10.1016/0377-2217(84)90282-0</w:t>
      </w:r>
    </w:p>
    <w:p w14:paraId="7437BEF0" w14:textId="77777777" w:rsidR="003B1EC2" w:rsidRPr="003B1EC2" w:rsidRDefault="003B1EC2" w:rsidP="003B1EC2">
      <w:pPr>
        <w:pStyle w:val="Bibliographie"/>
        <w:spacing w:line="480" w:lineRule="auto"/>
        <w:rPr>
          <w:lang w:val="en-US"/>
        </w:rPr>
      </w:pPr>
      <w:r w:rsidRPr="003B1EC2">
        <w:rPr>
          <w:lang w:val="en-US"/>
        </w:rPr>
        <w:t>Middleton, R., Bunting, M.J., 2004. Mosaic v1.1: Landscape scenario creation software for simulation of pollen dispersal and deposition. Rev. Palaeobot. Palynol. 132, 61–66. https://doi.org/10.1016/j.revpalbo.2004.04.004</w:t>
      </w:r>
    </w:p>
    <w:p w14:paraId="19A4F6A6" w14:textId="77777777" w:rsidR="003B1EC2" w:rsidRPr="003B1EC2" w:rsidRDefault="003B1EC2" w:rsidP="003B1EC2">
      <w:pPr>
        <w:pStyle w:val="Bibliographie"/>
        <w:spacing w:line="480" w:lineRule="auto"/>
        <w:rPr>
          <w:lang w:val="en-US"/>
        </w:rPr>
      </w:pPr>
      <w:r w:rsidRPr="003B1EC2">
        <w:rPr>
          <w:lang w:val="en-US"/>
        </w:rPr>
        <w:t>Nielsen, A.B., Odgaard, B.V., 2010. Quantitative landscape dynamics in Denmark through the last three millennia based on the Landscape Reconstruction Algorithm approach. Veg. Hist. Archaeobotany 19, 375–387. https://doi.org/10.1007/s00334-010-0249-z</w:t>
      </w:r>
    </w:p>
    <w:p w14:paraId="689702B6" w14:textId="77777777" w:rsidR="003B1EC2" w:rsidRDefault="003B1EC2" w:rsidP="003B1EC2">
      <w:pPr>
        <w:pStyle w:val="Bibliographie"/>
        <w:spacing w:line="480" w:lineRule="auto"/>
      </w:pPr>
      <w:r w:rsidRPr="003B1EC2">
        <w:rPr>
          <w:lang w:val="en-US"/>
        </w:rPr>
        <w:t xml:space="preserve">Nielsen, A.B., Sugita, S., 2005. Estimating relevant source area of pollen for small Danish lakes around AD 1800. </w:t>
      </w:r>
      <w:r>
        <w:t>Holocene 15, 1006–1020. https://doi.org/10.1191/0959683605hl874ra</w:t>
      </w:r>
    </w:p>
    <w:p w14:paraId="044FFA1B" w14:textId="77777777" w:rsidR="003B1EC2" w:rsidRPr="003B1EC2" w:rsidRDefault="003B1EC2" w:rsidP="003B1EC2">
      <w:pPr>
        <w:pStyle w:val="Bibliographie"/>
        <w:spacing w:line="480" w:lineRule="auto"/>
        <w:rPr>
          <w:lang w:val="en-US"/>
        </w:rPr>
      </w:pPr>
      <w:r>
        <w:t xml:space="preserve">O’Dwyer, R., Marquer, L., Trondman, A.-K., Jönsson, A.M., 2021. </w:t>
      </w:r>
      <w:r w:rsidRPr="003B1EC2">
        <w:rPr>
          <w:lang w:val="en-US"/>
        </w:rPr>
        <w:t>Spatially Continuous Land-Cover Reconstructions Through the Holocene in Southern Sweden. Ecosystems 24, 1450–1467. https://doi.org/10.1007/s10021-020-00594-5</w:t>
      </w:r>
    </w:p>
    <w:p w14:paraId="0B3A8633" w14:textId="77777777" w:rsidR="003B1EC2" w:rsidRDefault="003B1EC2" w:rsidP="003B1EC2">
      <w:pPr>
        <w:pStyle w:val="Bibliographie"/>
        <w:spacing w:line="480" w:lineRule="auto"/>
      </w:pPr>
      <w:r w:rsidRPr="003B1EC2">
        <w:rPr>
          <w:lang w:val="en-US"/>
        </w:rPr>
        <w:lastRenderedPageBreak/>
        <w:t xml:space="preserve">Overballe-Petersen, M.V., Nielsen, A.B., Bradshaw, R.H.W., 2013. Quantitative vegetation reconstruction from pollen analysis and historical inventory data around a Danish small forest hollow. </w:t>
      </w:r>
      <w:r>
        <w:t>J. Veg. Sci. https://doi.org/10.1111/jvs.12007</w:t>
      </w:r>
    </w:p>
    <w:p w14:paraId="5F3B0254" w14:textId="77777777" w:rsidR="003B1EC2" w:rsidRDefault="003B1EC2" w:rsidP="003B1EC2">
      <w:pPr>
        <w:pStyle w:val="Bibliographie"/>
        <w:spacing w:line="480" w:lineRule="auto"/>
      </w:pPr>
      <w:r>
        <w:t xml:space="preserve">Pavageau, C., Gaucherel, C., Garcia, C., Ghazoul, J., 2017. </w:t>
      </w:r>
      <w:r w:rsidRPr="003B1EC2">
        <w:rPr>
          <w:lang w:val="en-US"/>
        </w:rPr>
        <w:t xml:space="preserve">Nesting sites of giant honeybees modulated by landscape patterns. </w:t>
      </w:r>
      <w:r>
        <w:t>J. Appl. Ecol. 55, 1230–1240. https://doi.org/10.1111/1365-2664.13069</w:t>
      </w:r>
    </w:p>
    <w:p w14:paraId="75D54C5E" w14:textId="77777777" w:rsidR="003B1EC2" w:rsidRPr="003B1EC2" w:rsidRDefault="003B1EC2" w:rsidP="003B1EC2">
      <w:pPr>
        <w:pStyle w:val="Bibliographie"/>
        <w:spacing w:line="480" w:lineRule="auto"/>
        <w:rPr>
          <w:lang w:val="en-US"/>
        </w:rPr>
      </w:pPr>
      <w:r>
        <w:t xml:space="preserve">Peiry, J.-L., 2015. Zones humides et marais d’eau douce, in: L’eau à Découvert. </w:t>
      </w:r>
      <w:r w:rsidRPr="003B1EC2">
        <w:rPr>
          <w:lang w:val="en-US"/>
        </w:rPr>
        <w:t>Paris, pp. 108–109. https://doi.org/10.1071/MF99098</w:t>
      </w:r>
    </w:p>
    <w:p w14:paraId="12DFBC05" w14:textId="77777777" w:rsidR="003B1EC2" w:rsidRPr="003B1EC2" w:rsidRDefault="003B1EC2" w:rsidP="003B1EC2">
      <w:pPr>
        <w:pStyle w:val="Bibliographie"/>
        <w:spacing w:line="480" w:lineRule="auto"/>
        <w:rPr>
          <w:lang w:val="en-US"/>
        </w:rPr>
      </w:pPr>
      <w:r w:rsidRPr="003B1EC2">
        <w:rPr>
          <w:lang w:val="en-US"/>
        </w:rPr>
        <w:t>Pirzamanbein, B., Lindström, J., Poska, A., Gaillard, M.J., 2018. Modelling Spatial Compositional Data: Reconstructions of past land cover and uncertainties. Spat. Stat. 24, 14–31. https://doi.org/10.1016/j.spasta.2018.03.005</w:t>
      </w:r>
    </w:p>
    <w:p w14:paraId="2C3CC7B0" w14:textId="77777777" w:rsidR="003B1EC2" w:rsidRPr="003B1EC2" w:rsidRDefault="003B1EC2" w:rsidP="003B1EC2">
      <w:pPr>
        <w:pStyle w:val="Bibliographie"/>
        <w:spacing w:line="480" w:lineRule="auto"/>
        <w:rPr>
          <w:lang w:val="en-US"/>
        </w:rPr>
      </w:pPr>
      <w:r w:rsidRPr="003B1EC2">
        <w:rPr>
          <w:lang w:val="en-US"/>
        </w:rPr>
        <w:t>Pirzamanbein, B., Lindström, J., Poska, A., Sugita, S., Trondman, A.-K., Fyfe, R., Mazier, F., Nielsen, A.B., Kaplan, J.O., Bjune, A.E., Birks, H.J.B., Giesecke, T., Kangur, M., Latałowa, M., Marquer, L., Smith, B., Gaillard, M.J., 2014. Creating spatially continuous maps of past land cover from point estimates: A new statistical approach applied to pollen data. Ecol. Complex. 20, 127–141. https://doi.org/10.1016/j.ecocom.2014.09.005</w:t>
      </w:r>
    </w:p>
    <w:p w14:paraId="32C5636F" w14:textId="77777777" w:rsidR="003B1EC2" w:rsidRDefault="003B1EC2" w:rsidP="003B1EC2">
      <w:pPr>
        <w:pStyle w:val="Bibliographie"/>
        <w:spacing w:line="480" w:lineRule="auto"/>
      </w:pPr>
      <w:r w:rsidRPr="003B1EC2">
        <w:rPr>
          <w:lang w:val="en-US"/>
        </w:rPr>
        <w:t xml:space="preserve">Pirzamanbein, B., Poska, A., Lindström, J., 2020. Bayesian Reconstruction of Past Land Cover From Pollen Data: Model Robustness and Sensitivity to Auxiliary Variables. </w:t>
      </w:r>
      <w:r>
        <w:t>Earth Space Sci. 7, 1–13. https://doi.org/10.1029/2018EA000547</w:t>
      </w:r>
    </w:p>
    <w:p w14:paraId="59847183" w14:textId="77777777" w:rsidR="003B1EC2" w:rsidRPr="003B1EC2" w:rsidRDefault="003B1EC2" w:rsidP="003B1EC2">
      <w:pPr>
        <w:pStyle w:val="Bibliographie"/>
        <w:spacing w:line="480" w:lineRule="auto"/>
        <w:rPr>
          <w:lang w:val="en-US"/>
        </w:rPr>
      </w:pPr>
      <w:r>
        <w:t xml:space="preserve">Plancher, C., Galop, D., Houet, T., Lerigoleur, E., Marquer, L., Sugita, S., Mazier, F., 2022. </w:t>
      </w:r>
      <w:r w:rsidRPr="003B1EC2">
        <w:rPr>
          <w:lang w:val="en-US"/>
        </w:rPr>
        <w:t>Spatial and temporal patterns of upland vegetation over the last 200 years in the northern pyrenees: Example from the Bassiès valley, Ariège, France. Quat. Sci. Rev. 294, 107753. https://doi.org/10.1016/j.quascirev.2022.107753</w:t>
      </w:r>
    </w:p>
    <w:p w14:paraId="4903A6C6" w14:textId="77777777" w:rsidR="003B1EC2" w:rsidRPr="003B1EC2" w:rsidRDefault="003B1EC2" w:rsidP="003B1EC2">
      <w:pPr>
        <w:pStyle w:val="Bibliographie"/>
        <w:spacing w:line="480" w:lineRule="auto"/>
        <w:rPr>
          <w:lang w:val="en-US"/>
        </w:rPr>
      </w:pPr>
      <w:r w:rsidRPr="003B1EC2">
        <w:rPr>
          <w:lang w:val="en-US"/>
        </w:rPr>
        <w:t>Plieninger, T., Kizos, T., Bieling, C., Le Dû-Blayo, L., Budniok, M.-A., Bürgi, M., Crumley, C.L., Girod, G., Howard, P., Kolen, J., Kuemmerle, T., Milcinski, G., Palang, H., Trommler, K., Verburg, P.H., 2015. Exploring ecosystem-change and society through a landscape lens: recent progress in European landscape research 20. https://doi.org/10.5751/ES-07443-200205</w:t>
      </w:r>
    </w:p>
    <w:p w14:paraId="2C21E142" w14:textId="77777777" w:rsidR="003B1EC2" w:rsidRPr="003B1EC2" w:rsidRDefault="003B1EC2" w:rsidP="003B1EC2">
      <w:pPr>
        <w:pStyle w:val="Bibliographie"/>
        <w:spacing w:line="480" w:lineRule="auto"/>
        <w:rPr>
          <w:lang w:val="en-US"/>
        </w:rPr>
      </w:pPr>
      <w:r w:rsidRPr="003B1EC2">
        <w:rPr>
          <w:lang w:val="en-US"/>
        </w:rPr>
        <w:lastRenderedPageBreak/>
        <w:t>Poska, A., Saarse, L., Koppel, K., Nielsen, A.B., Avel, E., Vassiljev, J., Väli, V., 2014. The Verijärv area, South Estonia over the last millennium: A high resolution quantitative land-cover reconstruction based on pollen and historical data. Rev. Palaeobot. Palynol. 207, 5–17. https://doi.org/10.1016/J.REVPALBO.2014.04.001</w:t>
      </w:r>
    </w:p>
    <w:p w14:paraId="2ACB66F6" w14:textId="77777777" w:rsidR="003B1EC2" w:rsidRPr="003B1EC2" w:rsidRDefault="003B1EC2" w:rsidP="003B1EC2">
      <w:pPr>
        <w:pStyle w:val="Bibliographie"/>
        <w:spacing w:line="480" w:lineRule="auto"/>
        <w:rPr>
          <w:lang w:val="en-US"/>
        </w:rPr>
      </w:pPr>
      <w:r w:rsidRPr="003B1EC2">
        <w:rPr>
          <w:lang w:val="en-US"/>
        </w:rPr>
        <w:t>Poska, A., Sepp, E., Veski, S., Koppel, K., 2008. Using quantitative pollen-based land-cover estimations and a spatial CA_Markov model to reconstruct the development of cultural landscape at Rõuge, South Estonia. Veg. Hist. Archaeobotany 17, 527–541. https://doi.org/10.1007/s00334-007-0124-8</w:t>
      </w:r>
    </w:p>
    <w:p w14:paraId="5839B7DE" w14:textId="77777777" w:rsidR="003B1EC2" w:rsidRPr="003B1EC2" w:rsidRDefault="003B1EC2" w:rsidP="003B1EC2">
      <w:pPr>
        <w:pStyle w:val="Bibliographie"/>
        <w:spacing w:line="480" w:lineRule="auto"/>
        <w:rPr>
          <w:lang w:val="en-US"/>
        </w:rPr>
      </w:pPr>
      <w:r w:rsidRPr="003B1EC2">
        <w:rPr>
          <w:lang w:val="en-US"/>
        </w:rPr>
        <w:t>Prentice, I.C., 1988. Records of vegetation in time and space: the principles of pollen analysis., in: Huntley, B., Webb III, T. (Eds.), Vegetation History. pp. 17–42.</w:t>
      </w:r>
    </w:p>
    <w:p w14:paraId="394FAAF2" w14:textId="77777777" w:rsidR="003B1EC2" w:rsidRPr="003B1EC2" w:rsidRDefault="003B1EC2" w:rsidP="003B1EC2">
      <w:pPr>
        <w:pStyle w:val="Bibliographie"/>
        <w:spacing w:line="480" w:lineRule="auto"/>
        <w:rPr>
          <w:lang w:val="en-US"/>
        </w:rPr>
      </w:pPr>
      <w:r w:rsidRPr="003B1EC2">
        <w:rPr>
          <w:lang w:val="en-US"/>
        </w:rPr>
        <w:t>Prentice, I.C., 1985. Pollen representation, source area, and basin size: Toward a unified theory of pollen analysis. Quat. Res. 23, 76–86. https://doi.org/10.1016/0033-5894(85)90073-0</w:t>
      </w:r>
    </w:p>
    <w:p w14:paraId="405DE3F3" w14:textId="77777777" w:rsidR="003B1EC2" w:rsidRPr="003B1EC2" w:rsidRDefault="003B1EC2" w:rsidP="003B1EC2">
      <w:pPr>
        <w:pStyle w:val="Bibliographie"/>
        <w:spacing w:line="480" w:lineRule="auto"/>
        <w:rPr>
          <w:lang w:val="en-US"/>
        </w:rPr>
      </w:pPr>
      <w:r w:rsidRPr="003B1EC2">
        <w:rPr>
          <w:lang w:val="en-US"/>
        </w:rPr>
        <w:t>Prøsch-Danielsen, L., Prescott, C., Fredh, E.D., 2020. Land cover and exploitation of upland resources on the Høg-Jæren Plateau, southwestern Norway, over the last 6500 years. J. Archaeol. Sci. Rep. 32, 102443. https://doi.org/10.1016/J.JASREP.2020.102443</w:t>
      </w:r>
    </w:p>
    <w:p w14:paraId="6CFEB98A" w14:textId="77777777" w:rsidR="003B1EC2" w:rsidRPr="003B1EC2" w:rsidRDefault="003B1EC2" w:rsidP="003B1EC2">
      <w:pPr>
        <w:pStyle w:val="Bibliographie"/>
        <w:spacing w:line="480" w:lineRule="auto"/>
        <w:rPr>
          <w:lang w:val="en-US"/>
        </w:rPr>
      </w:pPr>
      <w:r w:rsidRPr="003B1EC2">
        <w:rPr>
          <w:lang w:val="en-US"/>
        </w:rPr>
        <w:t>Quintana-Seguí, P., Le Moigne, P., Durand, Y., Martin, E., Habets, F., Baillon, M., Canellas, C., Franchisteguy, L., Morel, S., 2008. Analysis of near-surface atmospheric variables: Validation of the SAFRAN analysis over France. J. Appl. Meteorol. Climatol. 47, 92–107. https://doi.org/10.1175/2007JAMC1636.1</w:t>
      </w:r>
    </w:p>
    <w:p w14:paraId="0320E24A" w14:textId="77777777" w:rsidR="003B1EC2" w:rsidRPr="003B1EC2" w:rsidRDefault="003B1EC2" w:rsidP="003B1EC2">
      <w:pPr>
        <w:pStyle w:val="Bibliographie"/>
        <w:spacing w:line="480" w:lineRule="auto"/>
        <w:rPr>
          <w:lang w:val="en-US"/>
        </w:rPr>
      </w:pPr>
      <w:r w:rsidRPr="003B1EC2">
        <w:rPr>
          <w:lang w:val="en-US"/>
        </w:rPr>
        <w:t>R Core Team, 2021. R: A Language and environment for statistical computing.</w:t>
      </w:r>
    </w:p>
    <w:p w14:paraId="1F95EDCD" w14:textId="77777777" w:rsidR="003B1EC2" w:rsidRPr="003B1EC2" w:rsidRDefault="003B1EC2" w:rsidP="003B1EC2">
      <w:pPr>
        <w:pStyle w:val="Bibliographie"/>
        <w:spacing w:line="480" w:lineRule="auto"/>
        <w:rPr>
          <w:lang w:val="en-US"/>
        </w:rPr>
      </w:pPr>
      <w:r w:rsidRPr="003B1EC2">
        <w:rPr>
          <w:lang w:val="en-US"/>
        </w:rPr>
        <w:t>Ricklefs, R.E., 1987. Community diversity: relative roles of local and regional processes. Science 235, 167–171. https://doi.org/10.1126/science.235.4785.167</w:t>
      </w:r>
    </w:p>
    <w:p w14:paraId="55D09ECD" w14:textId="77777777" w:rsidR="003B1EC2" w:rsidRPr="003B1EC2" w:rsidRDefault="003B1EC2" w:rsidP="003B1EC2">
      <w:pPr>
        <w:pStyle w:val="Bibliographie"/>
        <w:spacing w:line="480" w:lineRule="auto"/>
        <w:rPr>
          <w:lang w:val="en-US"/>
        </w:rPr>
      </w:pPr>
      <w:r w:rsidRPr="003B1EC2">
        <w:rPr>
          <w:lang w:val="en-US"/>
        </w:rPr>
        <w:t>Ripley, B., Venables, B., Bates, D.M., Hornik, K., Gebhardt, A., Firth, D., Ripley, M.B., 2013. Package “mass.” Cran R 538, 113–120.</w:t>
      </w:r>
    </w:p>
    <w:p w14:paraId="3F68FA56" w14:textId="77777777" w:rsidR="003B1EC2" w:rsidRPr="003B1EC2" w:rsidRDefault="003B1EC2" w:rsidP="003B1EC2">
      <w:pPr>
        <w:pStyle w:val="Bibliographie"/>
        <w:spacing w:line="480" w:lineRule="auto"/>
        <w:rPr>
          <w:lang w:val="en-US"/>
        </w:rPr>
      </w:pPr>
      <w:r w:rsidRPr="003B1EC2">
        <w:rPr>
          <w:lang w:val="en-US"/>
        </w:rPr>
        <w:t>Rull, V., 2014. Time continuum and true long-term ecology: from theory to practice. Front. Ecol. Evol. 2, 1–7. https://doi.org/10.3389/fevo.2014.00075</w:t>
      </w:r>
    </w:p>
    <w:p w14:paraId="3958833E" w14:textId="77777777" w:rsidR="003B1EC2" w:rsidRPr="003B1EC2" w:rsidRDefault="003B1EC2" w:rsidP="003B1EC2">
      <w:pPr>
        <w:pStyle w:val="Bibliographie"/>
        <w:spacing w:line="480" w:lineRule="auto"/>
        <w:rPr>
          <w:lang w:val="en-US"/>
        </w:rPr>
      </w:pPr>
      <w:r w:rsidRPr="003B1EC2">
        <w:rPr>
          <w:lang w:val="en-US"/>
        </w:rPr>
        <w:lastRenderedPageBreak/>
        <w:t>Seddon, A.W.R., Mackay, A.W., Baker, A.G., Birks, H.J.B., Breman, E., Buck, C.E., Ellis, E.C., Froyd, C.A., Gill, J.L., Gillson, L., Johnson, E.A., Jones, V.J., Juggins, S., Macias-Fauria, M., Mills, K., Morris, J.L., Nogués-Bravo, D., Punyasena, S.W., Roland, T.P., Tanentzap, A.J., Willis, K.J., Aberhan, M., van Asperen, E.N., Austin, W.E.N., Battarbee, R.W., Bhagwat, S., Belanger, C.L., Bennett, K.D., Birks, H.H., Bronk Ramsey, C., Brooks, S.J., de Bruyn, M., Butler, P.G., Chambers, F.M., Clarke, S.J., Davies, A.L., Dearing, J.A., Ezard, T.H.G., Feurdean, A., Flower, R.J., Gell, P., Hausmann, S., Hogan, E.J., Hopkins, M.J., Jeffers, E.S., Korhola, A.A., Marchant, R., Kiefer, T., Lamentowicz, M., Larocque-Tobler, I., López-Merino, L., Liow, L.H., Mcgowan, S., Miller, J.H., Montoya, E., Morton, O., Nogué, S., Onoufriou, C., Boush, L.P., Rodriguez-Sanchez, F., Rose, N.L., Sayer, C.D., Shaw, H.E., Payne, R., Simpson, G., Sohar, K., Whitehouse, N.J., Williams, J.W., Witkowski, A., 2014. Looking forward through the past: Identification of 50 priority research questions in palaeoecology. J. Ecol. 102. https://doi.org/10.1111/1365-2745.12195</w:t>
      </w:r>
    </w:p>
    <w:p w14:paraId="13AFBEBD" w14:textId="77777777" w:rsidR="003B1EC2" w:rsidRPr="003B1EC2" w:rsidRDefault="003B1EC2" w:rsidP="003B1EC2">
      <w:pPr>
        <w:pStyle w:val="Bibliographie"/>
        <w:spacing w:line="480" w:lineRule="auto"/>
        <w:rPr>
          <w:lang w:val="en-US"/>
        </w:rPr>
      </w:pPr>
      <w:r w:rsidRPr="003B1EC2">
        <w:rPr>
          <w:lang w:val="en-US"/>
        </w:rPr>
        <w:t>Shcherbakov, M.V., Brebels, A., Shcherbakova, N.L., Tyukov, A.P., Janovsky, T.A., Kamaev, V.A., 2013. A Survey of Forecast Error Measures. World Appl. Sci. J. 24, 171–176. https://doi.org/10.5829/idosi.wasj.2013.24.itmies.80032</w:t>
      </w:r>
    </w:p>
    <w:p w14:paraId="58350AA3" w14:textId="77777777" w:rsidR="003B1EC2" w:rsidRDefault="003B1EC2" w:rsidP="003B1EC2">
      <w:pPr>
        <w:pStyle w:val="Bibliographie"/>
        <w:spacing w:line="480" w:lineRule="auto"/>
      </w:pPr>
      <w:r w:rsidRPr="003B1EC2">
        <w:rPr>
          <w:lang w:val="en-US"/>
        </w:rPr>
        <w:t xml:space="preserve">Sheeren, D., Ladet, S., Ribiere, O., Raynaud, B., Paegelow, M., Houet, T., 2012. Assessing land cover changes in the French Pyrenees since the 1940s : a semi - automatic GEOBIA approach using aerial photographs. </w:t>
      </w:r>
      <w:r>
        <w:t>Proc. AGILE 2012 Int. Conf. Geogr. Inf. Sci. 1940–1942.</w:t>
      </w:r>
    </w:p>
    <w:p w14:paraId="05E5EEFA" w14:textId="77777777" w:rsidR="003B1EC2" w:rsidRPr="003B1EC2" w:rsidRDefault="003B1EC2" w:rsidP="003B1EC2">
      <w:pPr>
        <w:pStyle w:val="Bibliographie"/>
        <w:spacing w:line="480" w:lineRule="auto"/>
        <w:rPr>
          <w:lang w:val="en-US"/>
        </w:rPr>
      </w:pPr>
      <w:r>
        <w:t xml:space="preserve">Sugita, S., 2007a. </w:t>
      </w:r>
      <w:r w:rsidRPr="003B1EC2">
        <w:rPr>
          <w:lang w:val="en-US"/>
        </w:rPr>
        <w:t>Theory of quantitative reconstruction of vegetation I: pollen from large sites REVEALS regional vegetation composition. The Holocene 17, 229–241. https://doi.org/10.1177/0959683607075838</w:t>
      </w:r>
    </w:p>
    <w:p w14:paraId="610DA58A" w14:textId="77777777" w:rsidR="003B1EC2" w:rsidRPr="003B1EC2" w:rsidRDefault="003B1EC2" w:rsidP="003B1EC2">
      <w:pPr>
        <w:pStyle w:val="Bibliographie"/>
        <w:spacing w:line="480" w:lineRule="auto"/>
        <w:rPr>
          <w:lang w:val="en-US"/>
        </w:rPr>
      </w:pPr>
      <w:r w:rsidRPr="003B1EC2">
        <w:rPr>
          <w:lang w:val="en-US"/>
        </w:rPr>
        <w:t>Sugita, S., 2007b. Theory of quantitative reconstruction of vegetation II: All you need is LOVE. Holocene 17, 243–257. https://doi.org/10.1177/0959683607075838</w:t>
      </w:r>
    </w:p>
    <w:p w14:paraId="63948C3A" w14:textId="77777777" w:rsidR="003B1EC2" w:rsidRPr="003B1EC2" w:rsidRDefault="003B1EC2" w:rsidP="003B1EC2">
      <w:pPr>
        <w:pStyle w:val="Bibliographie"/>
        <w:spacing w:line="480" w:lineRule="auto"/>
        <w:rPr>
          <w:lang w:val="en-US"/>
        </w:rPr>
      </w:pPr>
      <w:r w:rsidRPr="003B1EC2">
        <w:rPr>
          <w:lang w:val="en-US"/>
        </w:rPr>
        <w:t>Sugita, S., 1994. Pollen representation of vegetation in quaternary sediments: Theory and method in patchy vegetation. J. Ecol. 82, 881–897. https://doi.org/10.2307/2261452</w:t>
      </w:r>
    </w:p>
    <w:p w14:paraId="54D478E4" w14:textId="77777777" w:rsidR="003B1EC2" w:rsidRDefault="003B1EC2" w:rsidP="003B1EC2">
      <w:pPr>
        <w:pStyle w:val="Bibliographie"/>
        <w:spacing w:line="480" w:lineRule="auto"/>
      </w:pPr>
      <w:r w:rsidRPr="003B1EC2">
        <w:rPr>
          <w:lang w:val="en-US"/>
        </w:rPr>
        <w:lastRenderedPageBreak/>
        <w:t xml:space="preserve">Sugita, S., 1993. A model of pollen source area for an entire basin. </w:t>
      </w:r>
      <w:r>
        <w:t>Quat. Res. 39, 239–244. https://doi.org/10.1016/0034-6667(94)90034-5</w:t>
      </w:r>
    </w:p>
    <w:p w14:paraId="762EAB46" w14:textId="77777777" w:rsidR="003B1EC2" w:rsidRPr="003B1EC2" w:rsidRDefault="003B1EC2" w:rsidP="003B1EC2">
      <w:pPr>
        <w:pStyle w:val="Bibliographie"/>
        <w:spacing w:line="480" w:lineRule="auto"/>
        <w:rPr>
          <w:lang w:val="en-US"/>
        </w:rPr>
      </w:pPr>
      <w:r>
        <w:t xml:space="preserve">Sugita, S., Hicks, S., Sormunen, H., 2010a. </w:t>
      </w:r>
      <w:r w:rsidRPr="003B1EC2">
        <w:rPr>
          <w:lang w:val="en-US"/>
        </w:rPr>
        <w:t>Absolute pollen productivity and pollen-vegetation relationships in northern Finland. J. Quat. Sci. 25, 724–736. https://doi.org/10.1002/jqs.1349</w:t>
      </w:r>
    </w:p>
    <w:p w14:paraId="776DA492" w14:textId="77777777" w:rsidR="003B1EC2" w:rsidRDefault="003B1EC2" w:rsidP="003B1EC2">
      <w:pPr>
        <w:pStyle w:val="Bibliographie"/>
        <w:spacing w:line="480" w:lineRule="auto"/>
      </w:pPr>
      <w:r w:rsidRPr="003B1EC2">
        <w:rPr>
          <w:lang w:val="en-US"/>
        </w:rPr>
        <w:t xml:space="preserve">Sugita, S., Parshall, T., Calcote, R., Walker, K., 2010b. Testing the Landscape Reconstruction Algorithm for spatially explicit reconstruction of vegetation in northern Michigan and Wisconsin. </w:t>
      </w:r>
      <w:r>
        <w:t>Quat. Res. 74, 289–300. https://doi.org/10.1016/j.yqres.2010.07.008</w:t>
      </w:r>
    </w:p>
    <w:p w14:paraId="444F76E4" w14:textId="77777777" w:rsidR="003B1EC2" w:rsidRPr="003B1EC2" w:rsidRDefault="003B1EC2" w:rsidP="003B1EC2">
      <w:pPr>
        <w:pStyle w:val="Bibliographie"/>
        <w:spacing w:line="480" w:lineRule="auto"/>
        <w:rPr>
          <w:lang w:val="en-US"/>
        </w:rPr>
      </w:pPr>
      <w:r>
        <w:t xml:space="preserve">Szczypta, C., Gascoin, S., Houet, T., Hagolle, O., Dejoux, J.F., Vigneau, C., Fanise, P., 2015. </w:t>
      </w:r>
      <w:r w:rsidRPr="003B1EC2">
        <w:rPr>
          <w:lang w:val="en-US"/>
        </w:rPr>
        <w:t>Impact of climate and land cover changes on snow cover in a small Pyrenean catchment. J. Hydrol. 521, 84–99. https://doi.org/10.1016/j.jhydrol.2014.11.060</w:t>
      </w:r>
    </w:p>
    <w:p w14:paraId="3790DA6D" w14:textId="77777777" w:rsidR="003B1EC2" w:rsidRPr="003B1EC2" w:rsidRDefault="003B1EC2" w:rsidP="003B1EC2">
      <w:pPr>
        <w:pStyle w:val="Bibliographie"/>
        <w:spacing w:line="480" w:lineRule="auto"/>
        <w:rPr>
          <w:lang w:val="en-US"/>
        </w:rPr>
      </w:pPr>
      <w:r w:rsidRPr="003B1EC2">
        <w:rPr>
          <w:lang w:val="en-US"/>
        </w:rPr>
        <w:t>Tarasov, P.E., Bezrukova, E.V., Krivonogov, S.K., 2009. Late Glacial and Holocene changes in vegetation cover and climate in southern Siberia derived from a 15 kyr long pollen record from Lake Kotokel. Clim. Past Discuss. 5, 127–151. https://doi.org/10.5194/cpd-5-127-2009</w:t>
      </w:r>
    </w:p>
    <w:p w14:paraId="4B185A05" w14:textId="77777777" w:rsidR="003B1EC2" w:rsidRPr="003B1EC2" w:rsidRDefault="003B1EC2" w:rsidP="003B1EC2">
      <w:pPr>
        <w:pStyle w:val="Bibliographie"/>
        <w:spacing w:line="480" w:lineRule="auto"/>
        <w:rPr>
          <w:lang w:val="en-US"/>
        </w:rPr>
      </w:pPr>
      <w:r w:rsidRPr="003B1EC2">
        <w:rPr>
          <w:lang w:val="en-US"/>
        </w:rPr>
        <w:t>Tarasov, P.E., Williams, J.W., Andreev, A., Nakagawa, T., Bezrukova, E., Herzschuh, U., Igarashi, Y., Müller, S., Werner, K., Zheng, Z., 2007. Satellite- and pollen-based quantitative woody cover reconstructions for northern Asia: Verification and application to late-Quaternary pollen data. Earth Planet. Sci. Lett. 264, 284–298. https://doi.org/10.1016/j.epsl.2007.10.007</w:t>
      </w:r>
    </w:p>
    <w:p w14:paraId="0042442B" w14:textId="77777777" w:rsidR="003B1EC2" w:rsidRPr="003B1EC2" w:rsidRDefault="003B1EC2" w:rsidP="003B1EC2">
      <w:pPr>
        <w:pStyle w:val="Bibliographie"/>
        <w:spacing w:line="480" w:lineRule="auto"/>
        <w:rPr>
          <w:lang w:val="en-US"/>
        </w:rPr>
      </w:pPr>
      <w:r w:rsidRPr="003B1EC2">
        <w:rPr>
          <w:lang w:val="en-US"/>
        </w:rPr>
        <w:t>Tobler, W.R., 1970. A Computer Movie Simulating Urban Growth in the Detroit Region. Econ. Geogr. 46, 234–240. https://doi.org/10.2307/143141</w:t>
      </w:r>
    </w:p>
    <w:p w14:paraId="093DCAA4" w14:textId="77777777" w:rsidR="003B1EC2" w:rsidRPr="003B1EC2" w:rsidRDefault="003B1EC2" w:rsidP="003B1EC2">
      <w:pPr>
        <w:pStyle w:val="Bibliographie"/>
        <w:spacing w:line="480" w:lineRule="auto"/>
        <w:rPr>
          <w:lang w:val="en-US"/>
        </w:rPr>
      </w:pPr>
      <w:r w:rsidRPr="003B1EC2">
        <w:rPr>
          <w:lang w:val="en-US"/>
        </w:rPr>
        <w:t>Trondman, A., Gaillard, M., Mazier, F., Sugita, S., Fyfe, R., 2015. Pollen-based quantitative reconstructions of Holocene regional vegetation cover ( plant-functional types and land-cover types ) in Europe suitable for climate modelling 46, 676–697. https://doi.org/10.1111/gcb.12737</w:t>
      </w:r>
    </w:p>
    <w:p w14:paraId="22939EB8" w14:textId="77777777" w:rsidR="003B1EC2" w:rsidRPr="003B1EC2" w:rsidRDefault="003B1EC2" w:rsidP="003B1EC2">
      <w:pPr>
        <w:pStyle w:val="Bibliographie"/>
        <w:spacing w:line="480" w:lineRule="auto"/>
        <w:rPr>
          <w:lang w:val="en-US"/>
        </w:rPr>
      </w:pPr>
      <w:r w:rsidRPr="003B1EC2">
        <w:rPr>
          <w:lang w:val="en-US"/>
        </w:rPr>
        <w:t xml:space="preserve">Tscharntke, T., Tylianakis, J.M., Rand, T.A., Didham, R.K., Fahrig, L., Bengtsson, J., Clough, Y., Crist, T.O., Dormann, C.F., Ewers, R.M., Fr, J., Holt, R.D., Klein, A.M., Kleijn, D., Kremen, C., Doug, A., Laurance, W., Lindenmayer, D., Scherber, C., Sodhi, N., Steffan-dewenter, I., Thies, C., van der </w:t>
      </w:r>
      <w:r w:rsidRPr="003B1EC2">
        <w:rPr>
          <w:lang w:val="en-US"/>
        </w:rPr>
        <w:lastRenderedPageBreak/>
        <w:t>Putten, W.H., Westphal, C., 2012. Landscape moderation of biodiversity patterns and processes - eight hypotheses. Biol. Rev. 87, 661–685. https://doi.org/10.1111/j.1469-185X.2011.00216.x</w:t>
      </w:r>
    </w:p>
    <w:p w14:paraId="143CAFFC" w14:textId="77777777" w:rsidR="003B1EC2" w:rsidRPr="003B1EC2" w:rsidRDefault="003B1EC2" w:rsidP="003B1EC2">
      <w:pPr>
        <w:pStyle w:val="Bibliographie"/>
        <w:spacing w:line="480" w:lineRule="auto"/>
        <w:rPr>
          <w:lang w:val="en-US"/>
        </w:rPr>
      </w:pPr>
      <w:r w:rsidRPr="003B1EC2">
        <w:rPr>
          <w:lang w:val="en-US"/>
        </w:rPr>
        <w:t>Viers, J.H., Fremier, A.K., Hutchinson, R.A., Quinn, J.F., Thorne, J.H., Vaghti, M.G., 2012. Multiscale Patterns of Riparian Plant Diversity and Implications for Restoration. Restor. Ecol. 20, 160–169. https://doi.org/10.1111/j.1526-100X.2011.00787.x</w:t>
      </w:r>
    </w:p>
    <w:p w14:paraId="77381525" w14:textId="77777777" w:rsidR="003B1EC2" w:rsidRPr="003B1EC2" w:rsidRDefault="003B1EC2" w:rsidP="003B1EC2">
      <w:pPr>
        <w:pStyle w:val="Bibliographie"/>
        <w:spacing w:line="480" w:lineRule="auto"/>
        <w:rPr>
          <w:lang w:val="en-US"/>
        </w:rPr>
      </w:pPr>
      <w:r w:rsidRPr="003B1EC2">
        <w:rPr>
          <w:lang w:val="en-US"/>
        </w:rPr>
        <w:t>White, E.P., Ernest, M.S.K., Adler, P.B., Hurlbert, A.H., Lyons, S.K., 2010. Integrating spatial and temporal approaches to understanding species richness. Philos. Trans. R. Soc. B Biol. Sci. 365, 3633–3643. https://doi.org/10.1098/rstb.2010.0280</w:t>
      </w:r>
    </w:p>
    <w:p w14:paraId="3D9036A6" w14:textId="77777777" w:rsidR="003B1EC2" w:rsidRPr="003B1EC2" w:rsidRDefault="003B1EC2" w:rsidP="003B1EC2">
      <w:pPr>
        <w:pStyle w:val="Bibliographie"/>
        <w:spacing w:line="480" w:lineRule="auto"/>
        <w:rPr>
          <w:lang w:val="en-US"/>
        </w:rPr>
      </w:pPr>
      <w:r w:rsidRPr="003B1EC2">
        <w:rPr>
          <w:lang w:val="en-US"/>
        </w:rPr>
        <w:t>Wieczorek, M., Herzschuh, U., 2020. Compilation of relative pollen productivity (RPP) estimates and taxonomically harmonised RPP datasets for single continents and Northern Hemisphere extratropics. Earth Syst. Sci. Data 12, 3515–3528. https://doi.org/10.5194/essd-12-3515-2020</w:t>
      </w:r>
    </w:p>
    <w:p w14:paraId="608D4675" w14:textId="77777777" w:rsidR="003B1EC2" w:rsidRDefault="003B1EC2" w:rsidP="003B1EC2">
      <w:pPr>
        <w:pStyle w:val="Bibliographie"/>
        <w:spacing w:line="480" w:lineRule="auto"/>
      </w:pPr>
      <w:r w:rsidRPr="003B1EC2">
        <w:rPr>
          <w:lang w:val="en-US"/>
        </w:rPr>
        <w:t xml:space="preserve">Zanon, M., Davis, B.A.S., Marquer, L., Brewer, S., Kaplan, J.O., 2018. European Forest Cover During the Past 12,000 Years: A Palynological Reconstruction Based on Modern Analogs and Remote Sensing. </w:t>
      </w:r>
      <w:r>
        <w:t>Front. Plant Sci. 9, 1:25. https://doi.org/10.3389/fpls.2018.00253</w:t>
      </w:r>
    </w:p>
    <w:p w14:paraId="7D2D4C68" w14:textId="26D4F3A3" w:rsidR="008649C3" w:rsidRPr="00F36F31" w:rsidRDefault="008649C3" w:rsidP="003B1EC2">
      <w:pPr>
        <w:spacing w:line="480" w:lineRule="auto"/>
        <w:rPr>
          <w:rFonts w:cstheme="minorHAnsi"/>
          <w:lang w:val="en-US"/>
        </w:rPr>
      </w:pPr>
      <w:r w:rsidRPr="00941F74">
        <w:rPr>
          <w:rFonts w:cstheme="minorHAnsi"/>
          <w:lang w:val="en-US"/>
        </w:rPr>
        <w:fldChar w:fldCharType="end"/>
      </w:r>
    </w:p>
    <w:sectPr w:rsidR="008649C3" w:rsidRPr="00F36F31" w:rsidSect="00060700">
      <w:footerReference w:type="default" r:id="rId19"/>
      <w:pgSz w:w="11906" w:h="16838"/>
      <w:pgMar w:top="1411" w:right="1411" w:bottom="1411" w:left="1411" w:header="706" w:footer="706" w:gutter="0"/>
      <w:lnNumType w:countBy="1" w:restart="continuou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419F67" w14:textId="77777777" w:rsidR="001242E5" w:rsidRDefault="001242E5" w:rsidP="00941F74">
      <w:pPr>
        <w:spacing w:after="0" w:line="240" w:lineRule="auto"/>
      </w:pPr>
      <w:r>
        <w:separator/>
      </w:r>
    </w:p>
  </w:endnote>
  <w:endnote w:type="continuationSeparator" w:id="0">
    <w:p w14:paraId="63AFB01C" w14:textId="77777777" w:rsidR="001242E5" w:rsidRDefault="001242E5" w:rsidP="00941F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44168200"/>
      <w:docPartObj>
        <w:docPartGallery w:val="Page Numbers (Bottom of Page)"/>
        <w:docPartUnique/>
      </w:docPartObj>
    </w:sdtPr>
    <w:sdtEndPr/>
    <w:sdtContent>
      <w:p w14:paraId="60F1B4F5" w14:textId="330AD636" w:rsidR="000E0FBE" w:rsidRDefault="000E0FBE">
        <w:pPr>
          <w:pStyle w:val="Pieddepage"/>
          <w:jc w:val="right"/>
        </w:pPr>
        <w:r>
          <w:fldChar w:fldCharType="begin"/>
        </w:r>
        <w:r>
          <w:instrText>PAGE   \* MERGEFORMAT</w:instrText>
        </w:r>
        <w:r>
          <w:fldChar w:fldCharType="separate"/>
        </w:r>
        <w:r w:rsidR="0093577E">
          <w:rPr>
            <w:noProof/>
          </w:rPr>
          <w:t>34</w:t>
        </w:r>
        <w:r>
          <w:fldChar w:fldCharType="end"/>
        </w:r>
      </w:p>
    </w:sdtContent>
  </w:sdt>
  <w:p w14:paraId="759A7212" w14:textId="77777777" w:rsidR="000E0FBE" w:rsidRDefault="000E0FBE">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7A7831" w14:textId="77777777" w:rsidR="001242E5" w:rsidRDefault="001242E5" w:rsidP="00941F74">
      <w:pPr>
        <w:spacing w:after="0" w:line="240" w:lineRule="auto"/>
      </w:pPr>
      <w:r>
        <w:separator/>
      </w:r>
    </w:p>
  </w:footnote>
  <w:footnote w:type="continuationSeparator" w:id="0">
    <w:p w14:paraId="38CAF651" w14:textId="77777777" w:rsidR="001242E5" w:rsidRDefault="001242E5" w:rsidP="00941F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623CF3"/>
    <w:multiLevelType w:val="hybridMultilevel"/>
    <w:tmpl w:val="FD8A195C"/>
    <w:lvl w:ilvl="0" w:tplc="E70E9A2C">
      <w:start w:val="1"/>
      <w:numFmt w:val="lowerLetter"/>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 w15:restartNumberingAfterBreak="0">
    <w:nsid w:val="06BC023E"/>
    <w:multiLevelType w:val="hybridMultilevel"/>
    <w:tmpl w:val="6514399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B211FDF"/>
    <w:multiLevelType w:val="hybridMultilevel"/>
    <w:tmpl w:val="60F65C20"/>
    <w:lvl w:ilvl="0" w:tplc="42A29B9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9A1825"/>
    <w:multiLevelType w:val="hybridMultilevel"/>
    <w:tmpl w:val="5A0E508A"/>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FDF161F"/>
    <w:multiLevelType w:val="hybridMultilevel"/>
    <w:tmpl w:val="FD8A195C"/>
    <w:lvl w:ilvl="0" w:tplc="E70E9A2C">
      <w:start w:val="1"/>
      <w:numFmt w:val="lowerLetter"/>
      <w:lvlText w:val="%1)"/>
      <w:lvlJc w:val="left"/>
      <w:pPr>
        <w:ind w:left="2160" w:hanging="360"/>
      </w:pPr>
    </w:lvl>
    <w:lvl w:ilvl="1" w:tplc="040C0019" w:tentative="1">
      <w:start w:val="1"/>
      <w:numFmt w:val="lowerLetter"/>
      <w:lvlText w:val="%2."/>
      <w:lvlJc w:val="left"/>
      <w:pPr>
        <w:ind w:left="2880" w:hanging="360"/>
      </w:pPr>
    </w:lvl>
    <w:lvl w:ilvl="2" w:tplc="040C001B" w:tentative="1">
      <w:start w:val="1"/>
      <w:numFmt w:val="lowerRoman"/>
      <w:lvlText w:val="%3."/>
      <w:lvlJc w:val="right"/>
      <w:pPr>
        <w:ind w:left="3600" w:hanging="180"/>
      </w:pPr>
    </w:lvl>
    <w:lvl w:ilvl="3" w:tplc="040C000F" w:tentative="1">
      <w:start w:val="1"/>
      <w:numFmt w:val="decimal"/>
      <w:lvlText w:val="%4."/>
      <w:lvlJc w:val="left"/>
      <w:pPr>
        <w:ind w:left="4320" w:hanging="360"/>
      </w:pPr>
    </w:lvl>
    <w:lvl w:ilvl="4" w:tplc="040C0019" w:tentative="1">
      <w:start w:val="1"/>
      <w:numFmt w:val="lowerLetter"/>
      <w:lvlText w:val="%5."/>
      <w:lvlJc w:val="left"/>
      <w:pPr>
        <w:ind w:left="5040" w:hanging="360"/>
      </w:pPr>
    </w:lvl>
    <w:lvl w:ilvl="5" w:tplc="040C001B" w:tentative="1">
      <w:start w:val="1"/>
      <w:numFmt w:val="lowerRoman"/>
      <w:lvlText w:val="%6."/>
      <w:lvlJc w:val="right"/>
      <w:pPr>
        <w:ind w:left="5760" w:hanging="180"/>
      </w:pPr>
    </w:lvl>
    <w:lvl w:ilvl="6" w:tplc="040C000F" w:tentative="1">
      <w:start w:val="1"/>
      <w:numFmt w:val="decimal"/>
      <w:lvlText w:val="%7."/>
      <w:lvlJc w:val="left"/>
      <w:pPr>
        <w:ind w:left="6480" w:hanging="360"/>
      </w:pPr>
    </w:lvl>
    <w:lvl w:ilvl="7" w:tplc="040C0019" w:tentative="1">
      <w:start w:val="1"/>
      <w:numFmt w:val="lowerLetter"/>
      <w:lvlText w:val="%8."/>
      <w:lvlJc w:val="left"/>
      <w:pPr>
        <w:ind w:left="7200" w:hanging="360"/>
      </w:pPr>
    </w:lvl>
    <w:lvl w:ilvl="8" w:tplc="040C001B" w:tentative="1">
      <w:start w:val="1"/>
      <w:numFmt w:val="lowerRoman"/>
      <w:lvlText w:val="%9."/>
      <w:lvlJc w:val="right"/>
      <w:pPr>
        <w:ind w:left="7920" w:hanging="180"/>
      </w:pPr>
    </w:lvl>
  </w:abstractNum>
  <w:abstractNum w:abstractNumId="5" w15:restartNumberingAfterBreak="0">
    <w:nsid w:val="1F4317E1"/>
    <w:multiLevelType w:val="hybridMultilevel"/>
    <w:tmpl w:val="A7085E0C"/>
    <w:lvl w:ilvl="0" w:tplc="42C4A46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0892ECB"/>
    <w:multiLevelType w:val="hybridMultilevel"/>
    <w:tmpl w:val="22AC74AC"/>
    <w:lvl w:ilvl="0" w:tplc="11CC4494">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34945CEC"/>
    <w:multiLevelType w:val="hybridMultilevel"/>
    <w:tmpl w:val="4532E49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35930A15"/>
    <w:multiLevelType w:val="multilevel"/>
    <w:tmpl w:val="3A6A5D0C"/>
    <w:lvl w:ilvl="0">
      <w:start w:val="1"/>
      <w:numFmt w:val="decimal"/>
      <w:pStyle w:val="Titre1"/>
      <w:lvlText w:val="%1."/>
      <w:lvlJc w:val="left"/>
      <w:pPr>
        <w:ind w:left="720" w:hanging="360"/>
      </w:pPr>
      <w:rPr>
        <w:rFonts w:ascii="Calibri" w:hAnsi="Calibri" w:cs="Calibri" w:hint="default"/>
        <w:sz w:val="22"/>
        <w:szCs w:val="22"/>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39CF6FD9"/>
    <w:multiLevelType w:val="hybridMultilevel"/>
    <w:tmpl w:val="CA827D9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59364713"/>
    <w:multiLevelType w:val="hybridMultilevel"/>
    <w:tmpl w:val="FD8A195C"/>
    <w:lvl w:ilvl="0" w:tplc="E70E9A2C">
      <w:start w:val="1"/>
      <w:numFmt w:val="lowerLetter"/>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1" w15:restartNumberingAfterBreak="0">
    <w:nsid w:val="59AD0499"/>
    <w:multiLevelType w:val="hybridMultilevel"/>
    <w:tmpl w:val="A6F237B4"/>
    <w:lvl w:ilvl="0" w:tplc="2D848EEE">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60D758DB"/>
    <w:multiLevelType w:val="hybridMultilevel"/>
    <w:tmpl w:val="E2ECFDA4"/>
    <w:lvl w:ilvl="0" w:tplc="AF0E2800">
      <w:start w:val="2"/>
      <w:numFmt w:val="lowerLetter"/>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3" w15:restartNumberingAfterBreak="0">
    <w:nsid w:val="68D877C9"/>
    <w:multiLevelType w:val="hybridMultilevel"/>
    <w:tmpl w:val="22AC74AC"/>
    <w:lvl w:ilvl="0" w:tplc="11CC4494">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6D9A060C"/>
    <w:multiLevelType w:val="hybridMultilevel"/>
    <w:tmpl w:val="386A9D0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76CB1118"/>
    <w:multiLevelType w:val="multilevel"/>
    <w:tmpl w:val="DEE222DC"/>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num w:numId="1">
    <w:abstractNumId w:val="15"/>
  </w:num>
  <w:num w:numId="2">
    <w:abstractNumId w:val="5"/>
  </w:num>
  <w:num w:numId="3">
    <w:abstractNumId w:val="13"/>
  </w:num>
  <w:num w:numId="4">
    <w:abstractNumId w:val="13"/>
    <w:lvlOverride w:ilvl="0">
      <w:startOverride w:val="1"/>
    </w:lvlOverride>
  </w:num>
  <w:num w:numId="5">
    <w:abstractNumId w:val="4"/>
  </w:num>
  <w:num w:numId="6">
    <w:abstractNumId w:val="13"/>
    <w:lvlOverride w:ilvl="0">
      <w:startOverride w:val="1"/>
    </w:lvlOverride>
  </w:num>
  <w:num w:numId="7">
    <w:abstractNumId w:val="4"/>
    <w:lvlOverride w:ilvl="0">
      <w:startOverride w:val="1"/>
    </w:lvlOverride>
  </w:num>
  <w:num w:numId="8">
    <w:abstractNumId w:val="13"/>
  </w:num>
  <w:num w:numId="9">
    <w:abstractNumId w:val="4"/>
    <w:lvlOverride w:ilvl="0">
      <w:startOverride w:val="1"/>
    </w:lvlOverride>
  </w:num>
  <w:num w:numId="10">
    <w:abstractNumId w:val="4"/>
    <w:lvlOverride w:ilvl="0">
      <w:startOverride w:val="1"/>
    </w:lvlOverride>
  </w:num>
  <w:num w:numId="11">
    <w:abstractNumId w:val="13"/>
    <w:lvlOverride w:ilvl="0">
      <w:startOverride w:val="1"/>
    </w:lvlOverride>
  </w:num>
  <w:num w:numId="12">
    <w:abstractNumId w:val="4"/>
  </w:num>
  <w:num w:numId="13">
    <w:abstractNumId w:val="6"/>
  </w:num>
  <w:num w:numId="14">
    <w:abstractNumId w:val="12"/>
  </w:num>
  <w:num w:numId="15">
    <w:abstractNumId w:val="11"/>
  </w:num>
  <w:num w:numId="16">
    <w:abstractNumId w:val="1"/>
  </w:num>
  <w:num w:numId="17">
    <w:abstractNumId w:val="9"/>
  </w:num>
  <w:num w:numId="18">
    <w:abstractNumId w:val="3"/>
  </w:num>
  <w:num w:numId="19">
    <w:abstractNumId w:val="14"/>
  </w:num>
  <w:num w:numId="20">
    <w:abstractNumId w:val="10"/>
  </w:num>
  <w:num w:numId="21">
    <w:abstractNumId w:val="0"/>
  </w:num>
  <w:num w:numId="22">
    <w:abstractNumId w:val="8"/>
  </w:num>
  <w:num w:numId="23">
    <w:abstractNumId w:val="8"/>
    <w:lvlOverride w:ilvl="0">
      <w:startOverride w:val="3"/>
    </w:lvlOverride>
    <w:lvlOverride w:ilvl="1">
      <w:startOverride w:val="1"/>
    </w:lvlOverride>
    <w:lvlOverride w:ilvl="2">
      <w:startOverride w:val="2"/>
    </w:lvlOverride>
  </w:num>
  <w:num w:numId="24">
    <w:abstractNumId w:val="8"/>
    <w:lvlOverride w:ilvl="0">
      <w:startOverride w:val="4"/>
    </w:lvlOverride>
    <w:lvlOverride w:ilvl="1">
      <w:startOverride w:val="2"/>
    </w:lvlOverride>
  </w:num>
  <w:num w:numId="25">
    <w:abstractNumId w:val="8"/>
    <w:lvlOverride w:ilvl="0">
      <w:startOverride w:val="4"/>
    </w:lvlOverride>
    <w:lvlOverride w:ilvl="1">
      <w:startOverride w:val="2"/>
    </w:lvlOverride>
    <w:lvlOverride w:ilvl="2">
      <w:startOverride w:val="2"/>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2"/>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64EB"/>
    <w:rsid w:val="00001E30"/>
    <w:rsid w:val="000036C9"/>
    <w:rsid w:val="00004996"/>
    <w:rsid w:val="00006FF3"/>
    <w:rsid w:val="00011273"/>
    <w:rsid w:val="00014033"/>
    <w:rsid w:val="00014890"/>
    <w:rsid w:val="000154B2"/>
    <w:rsid w:val="00015516"/>
    <w:rsid w:val="00015F16"/>
    <w:rsid w:val="000164CD"/>
    <w:rsid w:val="000201A2"/>
    <w:rsid w:val="00021322"/>
    <w:rsid w:val="000217DE"/>
    <w:rsid w:val="00021BD3"/>
    <w:rsid w:val="00023DD5"/>
    <w:rsid w:val="000242B7"/>
    <w:rsid w:val="000256AB"/>
    <w:rsid w:val="00034036"/>
    <w:rsid w:val="000349D3"/>
    <w:rsid w:val="00035176"/>
    <w:rsid w:val="00035BCB"/>
    <w:rsid w:val="000404B4"/>
    <w:rsid w:val="00042AE9"/>
    <w:rsid w:val="00042DE6"/>
    <w:rsid w:val="0004405D"/>
    <w:rsid w:val="00044835"/>
    <w:rsid w:val="00047895"/>
    <w:rsid w:val="00047FE7"/>
    <w:rsid w:val="000544E9"/>
    <w:rsid w:val="0005697D"/>
    <w:rsid w:val="0005715F"/>
    <w:rsid w:val="00057910"/>
    <w:rsid w:val="00060012"/>
    <w:rsid w:val="00060700"/>
    <w:rsid w:val="00060F18"/>
    <w:rsid w:val="0006195A"/>
    <w:rsid w:val="0006286B"/>
    <w:rsid w:val="00064117"/>
    <w:rsid w:val="00065595"/>
    <w:rsid w:val="00066F43"/>
    <w:rsid w:val="000721AB"/>
    <w:rsid w:val="00072D2A"/>
    <w:rsid w:val="00072DF0"/>
    <w:rsid w:val="00073B44"/>
    <w:rsid w:val="0007408E"/>
    <w:rsid w:val="00074BE3"/>
    <w:rsid w:val="00074F19"/>
    <w:rsid w:val="000767D0"/>
    <w:rsid w:val="0007689E"/>
    <w:rsid w:val="00076F90"/>
    <w:rsid w:val="00077C3F"/>
    <w:rsid w:val="000803A1"/>
    <w:rsid w:val="0008231F"/>
    <w:rsid w:val="00087997"/>
    <w:rsid w:val="00091A12"/>
    <w:rsid w:val="00093C56"/>
    <w:rsid w:val="00094533"/>
    <w:rsid w:val="000A1C61"/>
    <w:rsid w:val="000A556E"/>
    <w:rsid w:val="000B3044"/>
    <w:rsid w:val="000B3326"/>
    <w:rsid w:val="000B551C"/>
    <w:rsid w:val="000C4971"/>
    <w:rsid w:val="000C622A"/>
    <w:rsid w:val="000D2021"/>
    <w:rsid w:val="000D45AD"/>
    <w:rsid w:val="000D475F"/>
    <w:rsid w:val="000D4E21"/>
    <w:rsid w:val="000D520D"/>
    <w:rsid w:val="000D59A6"/>
    <w:rsid w:val="000D6511"/>
    <w:rsid w:val="000D72EC"/>
    <w:rsid w:val="000D79A2"/>
    <w:rsid w:val="000E0FBE"/>
    <w:rsid w:val="000E10AF"/>
    <w:rsid w:val="000E2C48"/>
    <w:rsid w:val="000E3BCF"/>
    <w:rsid w:val="000E3F34"/>
    <w:rsid w:val="000E4DAE"/>
    <w:rsid w:val="000E545E"/>
    <w:rsid w:val="000E5CB3"/>
    <w:rsid w:val="000F1904"/>
    <w:rsid w:val="000F38BA"/>
    <w:rsid w:val="000F7989"/>
    <w:rsid w:val="001017CC"/>
    <w:rsid w:val="00102C7D"/>
    <w:rsid w:val="00103046"/>
    <w:rsid w:val="0010609A"/>
    <w:rsid w:val="00106D20"/>
    <w:rsid w:val="00110F69"/>
    <w:rsid w:val="00111EDF"/>
    <w:rsid w:val="0011536D"/>
    <w:rsid w:val="00122811"/>
    <w:rsid w:val="001242E5"/>
    <w:rsid w:val="001243F0"/>
    <w:rsid w:val="001264DF"/>
    <w:rsid w:val="0013266C"/>
    <w:rsid w:val="00133D12"/>
    <w:rsid w:val="001347A9"/>
    <w:rsid w:val="001428C4"/>
    <w:rsid w:val="0014350C"/>
    <w:rsid w:val="00145E04"/>
    <w:rsid w:val="00146A59"/>
    <w:rsid w:val="001478C4"/>
    <w:rsid w:val="00152D34"/>
    <w:rsid w:val="00152EB7"/>
    <w:rsid w:val="001579CC"/>
    <w:rsid w:val="001604C3"/>
    <w:rsid w:val="00161DBA"/>
    <w:rsid w:val="00163919"/>
    <w:rsid w:val="001645B1"/>
    <w:rsid w:val="001649B7"/>
    <w:rsid w:val="00165AE6"/>
    <w:rsid w:val="00171736"/>
    <w:rsid w:val="00172729"/>
    <w:rsid w:val="0017281A"/>
    <w:rsid w:val="001729A3"/>
    <w:rsid w:val="00181E32"/>
    <w:rsid w:val="0018257F"/>
    <w:rsid w:val="00182614"/>
    <w:rsid w:val="001827FA"/>
    <w:rsid w:val="00182DC9"/>
    <w:rsid w:val="00183848"/>
    <w:rsid w:val="00183882"/>
    <w:rsid w:val="00183CBD"/>
    <w:rsid w:val="00190051"/>
    <w:rsid w:val="001907AF"/>
    <w:rsid w:val="00190B06"/>
    <w:rsid w:val="00191012"/>
    <w:rsid w:val="00191292"/>
    <w:rsid w:val="00195050"/>
    <w:rsid w:val="00197637"/>
    <w:rsid w:val="001A02F2"/>
    <w:rsid w:val="001A2406"/>
    <w:rsid w:val="001A2995"/>
    <w:rsid w:val="001A2BE5"/>
    <w:rsid w:val="001A2EB0"/>
    <w:rsid w:val="001A3A99"/>
    <w:rsid w:val="001A3EF2"/>
    <w:rsid w:val="001A445B"/>
    <w:rsid w:val="001B12E8"/>
    <w:rsid w:val="001B1964"/>
    <w:rsid w:val="001B3201"/>
    <w:rsid w:val="001B42F9"/>
    <w:rsid w:val="001B45F5"/>
    <w:rsid w:val="001B5BC6"/>
    <w:rsid w:val="001B64EB"/>
    <w:rsid w:val="001B67E3"/>
    <w:rsid w:val="001C17E7"/>
    <w:rsid w:val="001C187A"/>
    <w:rsid w:val="001C4CB5"/>
    <w:rsid w:val="001C5E64"/>
    <w:rsid w:val="001C607C"/>
    <w:rsid w:val="001C694B"/>
    <w:rsid w:val="001C6CE0"/>
    <w:rsid w:val="001D03E8"/>
    <w:rsid w:val="001D21A4"/>
    <w:rsid w:val="001D2E37"/>
    <w:rsid w:val="001D46F2"/>
    <w:rsid w:val="001D5F3F"/>
    <w:rsid w:val="001E0688"/>
    <w:rsid w:val="001E1412"/>
    <w:rsid w:val="001E1B43"/>
    <w:rsid w:val="001E1F2B"/>
    <w:rsid w:val="001E5009"/>
    <w:rsid w:val="001E6113"/>
    <w:rsid w:val="001F0F08"/>
    <w:rsid w:val="001F1C6F"/>
    <w:rsid w:val="00202A7E"/>
    <w:rsid w:val="0020314A"/>
    <w:rsid w:val="002036A3"/>
    <w:rsid w:val="00204BEF"/>
    <w:rsid w:val="002053F4"/>
    <w:rsid w:val="0020616A"/>
    <w:rsid w:val="002070F4"/>
    <w:rsid w:val="00211C86"/>
    <w:rsid w:val="00212A06"/>
    <w:rsid w:val="002141DB"/>
    <w:rsid w:val="002174B1"/>
    <w:rsid w:val="00220390"/>
    <w:rsid w:val="002232C3"/>
    <w:rsid w:val="00227D4B"/>
    <w:rsid w:val="002311B5"/>
    <w:rsid w:val="002342AF"/>
    <w:rsid w:val="002345D4"/>
    <w:rsid w:val="00236532"/>
    <w:rsid w:val="0023660D"/>
    <w:rsid w:val="002369BD"/>
    <w:rsid w:val="002402F8"/>
    <w:rsid w:val="00243A9B"/>
    <w:rsid w:val="00244E6D"/>
    <w:rsid w:val="0024767E"/>
    <w:rsid w:val="00247D55"/>
    <w:rsid w:val="00250397"/>
    <w:rsid w:val="00251E94"/>
    <w:rsid w:val="00252373"/>
    <w:rsid w:val="00256F91"/>
    <w:rsid w:val="00257754"/>
    <w:rsid w:val="00262AA2"/>
    <w:rsid w:val="00262DF6"/>
    <w:rsid w:val="00264563"/>
    <w:rsid w:val="002709CC"/>
    <w:rsid w:val="00270BBC"/>
    <w:rsid w:val="0027145B"/>
    <w:rsid w:val="002733D2"/>
    <w:rsid w:val="00275285"/>
    <w:rsid w:val="00280A19"/>
    <w:rsid w:val="002812F5"/>
    <w:rsid w:val="00283431"/>
    <w:rsid w:val="00283BDE"/>
    <w:rsid w:val="00284167"/>
    <w:rsid w:val="00285581"/>
    <w:rsid w:val="00285849"/>
    <w:rsid w:val="00285EA6"/>
    <w:rsid w:val="002862CA"/>
    <w:rsid w:val="002921BE"/>
    <w:rsid w:val="00296D80"/>
    <w:rsid w:val="002970EB"/>
    <w:rsid w:val="002A0348"/>
    <w:rsid w:val="002A187C"/>
    <w:rsid w:val="002A1DBE"/>
    <w:rsid w:val="002A383D"/>
    <w:rsid w:val="002A3ADE"/>
    <w:rsid w:val="002A3DBC"/>
    <w:rsid w:val="002A50DC"/>
    <w:rsid w:val="002B14B9"/>
    <w:rsid w:val="002B238E"/>
    <w:rsid w:val="002B2750"/>
    <w:rsid w:val="002B4DE7"/>
    <w:rsid w:val="002B4F61"/>
    <w:rsid w:val="002C242C"/>
    <w:rsid w:val="002C35E0"/>
    <w:rsid w:val="002C54F8"/>
    <w:rsid w:val="002C762A"/>
    <w:rsid w:val="002C7FAC"/>
    <w:rsid w:val="002D5C92"/>
    <w:rsid w:val="002D5D8D"/>
    <w:rsid w:val="002E1DD3"/>
    <w:rsid w:val="002E24E5"/>
    <w:rsid w:val="002E50A6"/>
    <w:rsid w:val="002E58F7"/>
    <w:rsid w:val="002E6144"/>
    <w:rsid w:val="003008F1"/>
    <w:rsid w:val="0030165A"/>
    <w:rsid w:val="003017AF"/>
    <w:rsid w:val="0030201E"/>
    <w:rsid w:val="00302639"/>
    <w:rsid w:val="00303130"/>
    <w:rsid w:val="00303A01"/>
    <w:rsid w:val="003076E4"/>
    <w:rsid w:val="00307759"/>
    <w:rsid w:val="00307CEB"/>
    <w:rsid w:val="003101A0"/>
    <w:rsid w:val="00310EFF"/>
    <w:rsid w:val="00312784"/>
    <w:rsid w:val="00312E75"/>
    <w:rsid w:val="00314B4B"/>
    <w:rsid w:val="00317CB5"/>
    <w:rsid w:val="00317EE3"/>
    <w:rsid w:val="00320530"/>
    <w:rsid w:val="00320816"/>
    <w:rsid w:val="003213EE"/>
    <w:rsid w:val="00321744"/>
    <w:rsid w:val="00322D0A"/>
    <w:rsid w:val="00325385"/>
    <w:rsid w:val="003275B2"/>
    <w:rsid w:val="003308D1"/>
    <w:rsid w:val="003310DB"/>
    <w:rsid w:val="00332425"/>
    <w:rsid w:val="00333876"/>
    <w:rsid w:val="0033408B"/>
    <w:rsid w:val="0033471B"/>
    <w:rsid w:val="00335552"/>
    <w:rsid w:val="00336255"/>
    <w:rsid w:val="00336631"/>
    <w:rsid w:val="003400E7"/>
    <w:rsid w:val="00340A08"/>
    <w:rsid w:val="00344DB4"/>
    <w:rsid w:val="00344DD0"/>
    <w:rsid w:val="00345827"/>
    <w:rsid w:val="00347562"/>
    <w:rsid w:val="003541DA"/>
    <w:rsid w:val="00362E31"/>
    <w:rsid w:val="003640A0"/>
    <w:rsid w:val="003642B1"/>
    <w:rsid w:val="003662F7"/>
    <w:rsid w:val="0037241D"/>
    <w:rsid w:val="00372D63"/>
    <w:rsid w:val="00375C2C"/>
    <w:rsid w:val="003762E6"/>
    <w:rsid w:val="0038034D"/>
    <w:rsid w:val="00380926"/>
    <w:rsid w:val="00383F1A"/>
    <w:rsid w:val="00385B9C"/>
    <w:rsid w:val="003871C1"/>
    <w:rsid w:val="003872EA"/>
    <w:rsid w:val="00393CED"/>
    <w:rsid w:val="003962B7"/>
    <w:rsid w:val="0039766A"/>
    <w:rsid w:val="003A2A60"/>
    <w:rsid w:val="003A3D1A"/>
    <w:rsid w:val="003A3D36"/>
    <w:rsid w:val="003A464F"/>
    <w:rsid w:val="003A5E27"/>
    <w:rsid w:val="003A6F66"/>
    <w:rsid w:val="003A72E1"/>
    <w:rsid w:val="003B17D4"/>
    <w:rsid w:val="003B1C95"/>
    <w:rsid w:val="003B1EC2"/>
    <w:rsid w:val="003B21C4"/>
    <w:rsid w:val="003B3409"/>
    <w:rsid w:val="003B3CE9"/>
    <w:rsid w:val="003B4B6E"/>
    <w:rsid w:val="003B4E05"/>
    <w:rsid w:val="003B587D"/>
    <w:rsid w:val="003B6671"/>
    <w:rsid w:val="003B7970"/>
    <w:rsid w:val="003C0A96"/>
    <w:rsid w:val="003C13BD"/>
    <w:rsid w:val="003C25B1"/>
    <w:rsid w:val="003C2D83"/>
    <w:rsid w:val="003C3D12"/>
    <w:rsid w:val="003C6AA7"/>
    <w:rsid w:val="003D1A64"/>
    <w:rsid w:val="003D35C8"/>
    <w:rsid w:val="003D36C3"/>
    <w:rsid w:val="003D46FF"/>
    <w:rsid w:val="003D4D3F"/>
    <w:rsid w:val="003D5FDF"/>
    <w:rsid w:val="003D6351"/>
    <w:rsid w:val="003D6AAC"/>
    <w:rsid w:val="003E240E"/>
    <w:rsid w:val="003E6377"/>
    <w:rsid w:val="003E6A94"/>
    <w:rsid w:val="003F0EA9"/>
    <w:rsid w:val="003F2E51"/>
    <w:rsid w:val="003F3229"/>
    <w:rsid w:val="003F6393"/>
    <w:rsid w:val="003F7510"/>
    <w:rsid w:val="00402190"/>
    <w:rsid w:val="004039B0"/>
    <w:rsid w:val="00403A3F"/>
    <w:rsid w:val="004043DB"/>
    <w:rsid w:val="00405420"/>
    <w:rsid w:val="0040547F"/>
    <w:rsid w:val="00405D87"/>
    <w:rsid w:val="004106C3"/>
    <w:rsid w:val="0041099F"/>
    <w:rsid w:val="00412C8B"/>
    <w:rsid w:val="00417007"/>
    <w:rsid w:val="004201E7"/>
    <w:rsid w:val="00422A15"/>
    <w:rsid w:val="004310CD"/>
    <w:rsid w:val="004317F2"/>
    <w:rsid w:val="0043226B"/>
    <w:rsid w:val="00433E02"/>
    <w:rsid w:val="00433FC6"/>
    <w:rsid w:val="00436747"/>
    <w:rsid w:val="004367D6"/>
    <w:rsid w:val="00440609"/>
    <w:rsid w:val="0044160A"/>
    <w:rsid w:val="0044385A"/>
    <w:rsid w:val="00446600"/>
    <w:rsid w:val="00446F13"/>
    <w:rsid w:val="00451B2B"/>
    <w:rsid w:val="00453285"/>
    <w:rsid w:val="00454F47"/>
    <w:rsid w:val="00455CF3"/>
    <w:rsid w:val="00455D9A"/>
    <w:rsid w:val="00456070"/>
    <w:rsid w:val="004562C6"/>
    <w:rsid w:val="00456ECF"/>
    <w:rsid w:val="00461803"/>
    <w:rsid w:val="00462058"/>
    <w:rsid w:val="00463E69"/>
    <w:rsid w:val="004664A4"/>
    <w:rsid w:val="00467AF9"/>
    <w:rsid w:val="00470561"/>
    <w:rsid w:val="00473CC0"/>
    <w:rsid w:val="0047569F"/>
    <w:rsid w:val="00475BE8"/>
    <w:rsid w:val="0047756F"/>
    <w:rsid w:val="00484445"/>
    <w:rsid w:val="00485A56"/>
    <w:rsid w:val="00492E48"/>
    <w:rsid w:val="00495034"/>
    <w:rsid w:val="0049695F"/>
    <w:rsid w:val="004A0ECC"/>
    <w:rsid w:val="004A2B2F"/>
    <w:rsid w:val="004A2D35"/>
    <w:rsid w:val="004A3F75"/>
    <w:rsid w:val="004A4068"/>
    <w:rsid w:val="004A4964"/>
    <w:rsid w:val="004A4FD8"/>
    <w:rsid w:val="004A6BA4"/>
    <w:rsid w:val="004A7FD9"/>
    <w:rsid w:val="004B0F2E"/>
    <w:rsid w:val="004B2284"/>
    <w:rsid w:val="004B2AE1"/>
    <w:rsid w:val="004B405F"/>
    <w:rsid w:val="004B4493"/>
    <w:rsid w:val="004B4AA0"/>
    <w:rsid w:val="004B64D5"/>
    <w:rsid w:val="004B7059"/>
    <w:rsid w:val="004B7A95"/>
    <w:rsid w:val="004C1B60"/>
    <w:rsid w:val="004C1C49"/>
    <w:rsid w:val="004C39E9"/>
    <w:rsid w:val="004D1738"/>
    <w:rsid w:val="004D3B8E"/>
    <w:rsid w:val="004D4A63"/>
    <w:rsid w:val="004D5837"/>
    <w:rsid w:val="004D6464"/>
    <w:rsid w:val="004E0DC4"/>
    <w:rsid w:val="004E29D8"/>
    <w:rsid w:val="004E2E53"/>
    <w:rsid w:val="004E30D3"/>
    <w:rsid w:val="004E4F58"/>
    <w:rsid w:val="004E5C8F"/>
    <w:rsid w:val="004E7F89"/>
    <w:rsid w:val="004F1B9B"/>
    <w:rsid w:val="004F32A5"/>
    <w:rsid w:val="004F62CB"/>
    <w:rsid w:val="004F63C3"/>
    <w:rsid w:val="004F73AC"/>
    <w:rsid w:val="004F7525"/>
    <w:rsid w:val="005012D0"/>
    <w:rsid w:val="00501784"/>
    <w:rsid w:val="0050222B"/>
    <w:rsid w:val="005026EE"/>
    <w:rsid w:val="005027F4"/>
    <w:rsid w:val="00502E15"/>
    <w:rsid w:val="00503CFA"/>
    <w:rsid w:val="005061EA"/>
    <w:rsid w:val="00506842"/>
    <w:rsid w:val="00507598"/>
    <w:rsid w:val="0051009B"/>
    <w:rsid w:val="005112B4"/>
    <w:rsid w:val="005154B0"/>
    <w:rsid w:val="005155F6"/>
    <w:rsid w:val="00515BCC"/>
    <w:rsid w:val="00516FCA"/>
    <w:rsid w:val="005212FB"/>
    <w:rsid w:val="00523727"/>
    <w:rsid w:val="00523F42"/>
    <w:rsid w:val="00524569"/>
    <w:rsid w:val="005250BC"/>
    <w:rsid w:val="005268AF"/>
    <w:rsid w:val="00527557"/>
    <w:rsid w:val="005276EE"/>
    <w:rsid w:val="00527750"/>
    <w:rsid w:val="00527D1E"/>
    <w:rsid w:val="00527FF2"/>
    <w:rsid w:val="0053014C"/>
    <w:rsid w:val="005322F7"/>
    <w:rsid w:val="005342BC"/>
    <w:rsid w:val="00534DC3"/>
    <w:rsid w:val="00540465"/>
    <w:rsid w:val="0054246C"/>
    <w:rsid w:val="0054679F"/>
    <w:rsid w:val="0055090A"/>
    <w:rsid w:val="00550C61"/>
    <w:rsid w:val="005529AE"/>
    <w:rsid w:val="00553EEB"/>
    <w:rsid w:val="00555090"/>
    <w:rsid w:val="00555C2B"/>
    <w:rsid w:val="0055710E"/>
    <w:rsid w:val="0056075B"/>
    <w:rsid w:val="005614A0"/>
    <w:rsid w:val="005662EE"/>
    <w:rsid w:val="00570CAA"/>
    <w:rsid w:val="0057527F"/>
    <w:rsid w:val="005764D1"/>
    <w:rsid w:val="00576CC6"/>
    <w:rsid w:val="00576F92"/>
    <w:rsid w:val="005771E8"/>
    <w:rsid w:val="005835FD"/>
    <w:rsid w:val="00585AE7"/>
    <w:rsid w:val="00585FF1"/>
    <w:rsid w:val="00587C49"/>
    <w:rsid w:val="0059103D"/>
    <w:rsid w:val="00591CE9"/>
    <w:rsid w:val="0059440E"/>
    <w:rsid w:val="00597DC1"/>
    <w:rsid w:val="005A31DE"/>
    <w:rsid w:val="005A3A32"/>
    <w:rsid w:val="005A4033"/>
    <w:rsid w:val="005A4231"/>
    <w:rsid w:val="005A59AF"/>
    <w:rsid w:val="005A6804"/>
    <w:rsid w:val="005A74F9"/>
    <w:rsid w:val="005B21C2"/>
    <w:rsid w:val="005B38AB"/>
    <w:rsid w:val="005B38F6"/>
    <w:rsid w:val="005B3DA7"/>
    <w:rsid w:val="005C05FD"/>
    <w:rsid w:val="005C35A3"/>
    <w:rsid w:val="005C712A"/>
    <w:rsid w:val="005D3954"/>
    <w:rsid w:val="005D6A38"/>
    <w:rsid w:val="005D6B72"/>
    <w:rsid w:val="005E2981"/>
    <w:rsid w:val="005E4DA2"/>
    <w:rsid w:val="005E6170"/>
    <w:rsid w:val="005E6B69"/>
    <w:rsid w:val="005F0B65"/>
    <w:rsid w:val="005F201E"/>
    <w:rsid w:val="005F3614"/>
    <w:rsid w:val="005F44E5"/>
    <w:rsid w:val="005F6540"/>
    <w:rsid w:val="005F688A"/>
    <w:rsid w:val="005F74D5"/>
    <w:rsid w:val="00600DDF"/>
    <w:rsid w:val="00601071"/>
    <w:rsid w:val="0060337B"/>
    <w:rsid w:val="00603434"/>
    <w:rsid w:val="0060394B"/>
    <w:rsid w:val="00605DCC"/>
    <w:rsid w:val="0060600B"/>
    <w:rsid w:val="006063F5"/>
    <w:rsid w:val="0060712F"/>
    <w:rsid w:val="0060724C"/>
    <w:rsid w:val="006127F0"/>
    <w:rsid w:val="00614E00"/>
    <w:rsid w:val="006154BC"/>
    <w:rsid w:val="0061556D"/>
    <w:rsid w:val="0061577C"/>
    <w:rsid w:val="00616922"/>
    <w:rsid w:val="00616A1A"/>
    <w:rsid w:val="00617689"/>
    <w:rsid w:val="006176DA"/>
    <w:rsid w:val="00617790"/>
    <w:rsid w:val="00620867"/>
    <w:rsid w:val="00622B84"/>
    <w:rsid w:val="006238B6"/>
    <w:rsid w:val="00623F9B"/>
    <w:rsid w:val="00625813"/>
    <w:rsid w:val="00625879"/>
    <w:rsid w:val="00625AE8"/>
    <w:rsid w:val="006316A7"/>
    <w:rsid w:val="00632A53"/>
    <w:rsid w:val="006330DE"/>
    <w:rsid w:val="0063315F"/>
    <w:rsid w:val="006352AF"/>
    <w:rsid w:val="00635981"/>
    <w:rsid w:val="00637EF3"/>
    <w:rsid w:val="0064050D"/>
    <w:rsid w:val="0064108B"/>
    <w:rsid w:val="0064196D"/>
    <w:rsid w:val="006442F0"/>
    <w:rsid w:val="00653E5B"/>
    <w:rsid w:val="006558EB"/>
    <w:rsid w:val="00660666"/>
    <w:rsid w:val="00660C7B"/>
    <w:rsid w:val="006612D6"/>
    <w:rsid w:val="00662C90"/>
    <w:rsid w:val="00662EB3"/>
    <w:rsid w:val="00664F62"/>
    <w:rsid w:val="00665065"/>
    <w:rsid w:val="00665B9A"/>
    <w:rsid w:val="00666504"/>
    <w:rsid w:val="00672B5A"/>
    <w:rsid w:val="0067304F"/>
    <w:rsid w:val="0067590B"/>
    <w:rsid w:val="006769DE"/>
    <w:rsid w:val="00677561"/>
    <w:rsid w:val="006811A2"/>
    <w:rsid w:val="00681F5E"/>
    <w:rsid w:val="0068675B"/>
    <w:rsid w:val="00686FB8"/>
    <w:rsid w:val="00687F30"/>
    <w:rsid w:val="00693DAA"/>
    <w:rsid w:val="00694391"/>
    <w:rsid w:val="006A02A3"/>
    <w:rsid w:val="006A0CFB"/>
    <w:rsid w:val="006A430E"/>
    <w:rsid w:val="006A44BD"/>
    <w:rsid w:val="006A6A82"/>
    <w:rsid w:val="006B1297"/>
    <w:rsid w:val="006B1B6C"/>
    <w:rsid w:val="006B32D4"/>
    <w:rsid w:val="006B380E"/>
    <w:rsid w:val="006B3FEB"/>
    <w:rsid w:val="006B5CD9"/>
    <w:rsid w:val="006B7B58"/>
    <w:rsid w:val="006C2085"/>
    <w:rsid w:val="006C35D9"/>
    <w:rsid w:val="006C4521"/>
    <w:rsid w:val="006C729F"/>
    <w:rsid w:val="006D00F4"/>
    <w:rsid w:val="006D37CE"/>
    <w:rsid w:val="006D5982"/>
    <w:rsid w:val="006D6387"/>
    <w:rsid w:val="006E2032"/>
    <w:rsid w:val="006E2FE8"/>
    <w:rsid w:val="006E45A2"/>
    <w:rsid w:val="006E4DA4"/>
    <w:rsid w:val="006E6AF5"/>
    <w:rsid w:val="006F07F8"/>
    <w:rsid w:val="006F0F22"/>
    <w:rsid w:val="006F18A5"/>
    <w:rsid w:val="006F62E8"/>
    <w:rsid w:val="006F7110"/>
    <w:rsid w:val="00700857"/>
    <w:rsid w:val="00701F19"/>
    <w:rsid w:val="007024F9"/>
    <w:rsid w:val="007029CF"/>
    <w:rsid w:val="00704840"/>
    <w:rsid w:val="00707925"/>
    <w:rsid w:val="00710522"/>
    <w:rsid w:val="0071096D"/>
    <w:rsid w:val="00714886"/>
    <w:rsid w:val="00715505"/>
    <w:rsid w:val="00715DDF"/>
    <w:rsid w:val="00717C24"/>
    <w:rsid w:val="00717F7F"/>
    <w:rsid w:val="00723BBE"/>
    <w:rsid w:val="00726889"/>
    <w:rsid w:val="00730F7B"/>
    <w:rsid w:val="00731F06"/>
    <w:rsid w:val="0073399C"/>
    <w:rsid w:val="007341A7"/>
    <w:rsid w:val="00741BB4"/>
    <w:rsid w:val="00742053"/>
    <w:rsid w:val="00744A24"/>
    <w:rsid w:val="00744D1E"/>
    <w:rsid w:val="0074640A"/>
    <w:rsid w:val="0074726E"/>
    <w:rsid w:val="00747526"/>
    <w:rsid w:val="00747D32"/>
    <w:rsid w:val="007509D1"/>
    <w:rsid w:val="007513B0"/>
    <w:rsid w:val="0075148F"/>
    <w:rsid w:val="00755397"/>
    <w:rsid w:val="00760DFF"/>
    <w:rsid w:val="007625D1"/>
    <w:rsid w:val="00763AC5"/>
    <w:rsid w:val="007654A5"/>
    <w:rsid w:val="007669D6"/>
    <w:rsid w:val="00775061"/>
    <w:rsid w:val="007754E1"/>
    <w:rsid w:val="007759EF"/>
    <w:rsid w:val="00775F55"/>
    <w:rsid w:val="0077610B"/>
    <w:rsid w:val="00776B90"/>
    <w:rsid w:val="007779BA"/>
    <w:rsid w:val="0078043A"/>
    <w:rsid w:val="00780A0D"/>
    <w:rsid w:val="00780C04"/>
    <w:rsid w:val="00780C63"/>
    <w:rsid w:val="00781999"/>
    <w:rsid w:val="007828EB"/>
    <w:rsid w:val="00784924"/>
    <w:rsid w:val="00784998"/>
    <w:rsid w:val="00786676"/>
    <w:rsid w:val="0079113D"/>
    <w:rsid w:val="00791AF4"/>
    <w:rsid w:val="00797721"/>
    <w:rsid w:val="007978B1"/>
    <w:rsid w:val="007979AC"/>
    <w:rsid w:val="007A1873"/>
    <w:rsid w:val="007A225A"/>
    <w:rsid w:val="007A4478"/>
    <w:rsid w:val="007A54FC"/>
    <w:rsid w:val="007A5800"/>
    <w:rsid w:val="007A6A4E"/>
    <w:rsid w:val="007B3FB6"/>
    <w:rsid w:val="007B467B"/>
    <w:rsid w:val="007B71EB"/>
    <w:rsid w:val="007B7498"/>
    <w:rsid w:val="007B7530"/>
    <w:rsid w:val="007B7D46"/>
    <w:rsid w:val="007C050E"/>
    <w:rsid w:val="007C0D8E"/>
    <w:rsid w:val="007C12AF"/>
    <w:rsid w:val="007C1B61"/>
    <w:rsid w:val="007C28C5"/>
    <w:rsid w:val="007C33FB"/>
    <w:rsid w:val="007C3582"/>
    <w:rsid w:val="007C3820"/>
    <w:rsid w:val="007C4906"/>
    <w:rsid w:val="007C587B"/>
    <w:rsid w:val="007C5C3D"/>
    <w:rsid w:val="007C7654"/>
    <w:rsid w:val="007D2229"/>
    <w:rsid w:val="007D3186"/>
    <w:rsid w:val="007D5BB7"/>
    <w:rsid w:val="007E0037"/>
    <w:rsid w:val="007E3FCC"/>
    <w:rsid w:val="007F0119"/>
    <w:rsid w:val="007F1ED6"/>
    <w:rsid w:val="007F3822"/>
    <w:rsid w:val="007F52E1"/>
    <w:rsid w:val="007F6386"/>
    <w:rsid w:val="008006EB"/>
    <w:rsid w:val="0080105F"/>
    <w:rsid w:val="008015DC"/>
    <w:rsid w:val="008023D0"/>
    <w:rsid w:val="008068C8"/>
    <w:rsid w:val="008112A3"/>
    <w:rsid w:val="00812BD9"/>
    <w:rsid w:val="008131D1"/>
    <w:rsid w:val="008155D9"/>
    <w:rsid w:val="00816761"/>
    <w:rsid w:val="0082048E"/>
    <w:rsid w:val="00820BB9"/>
    <w:rsid w:val="00820E9E"/>
    <w:rsid w:val="00821A21"/>
    <w:rsid w:val="00823CD6"/>
    <w:rsid w:val="00824A2B"/>
    <w:rsid w:val="00825F70"/>
    <w:rsid w:val="0082682C"/>
    <w:rsid w:val="008269F3"/>
    <w:rsid w:val="00831AEE"/>
    <w:rsid w:val="00831EA7"/>
    <w:rsid w:val="00833EC7"/>
    <w:rsid w:val="00834991"/>
    <w:rsid w:val="00835676"/>
    <w:rsid w:val="00835A52"/>
    <w:rsid w:val="00837AC0"/>
    <w:rsid w:val="0084248C"/>
    <w:rsid w:val="008441E1"/>
    <w:rsid w:val="0084711D"/>
    <w:rsid w:val="00847319"/>
    <w:rsid w:val="00850EA0"/>
    <w:rsid w:val="00855BEE"/>
    <w:rsid w:val="00860BC3"/>
    <w:rsid w:val="00863AE7"/>
    <w:rsid w:val="008649C3"/>
    <w:rsid w:val="00865AB9"/>
    <w:rsid w:val="00867075"/>
    <w:rsid w:val="0087255C"/>
    <w:rsid w:val="00872D91"/>
    <w:rsid w:val="00873462"/>
    <w:rsid w:val="00873F30"/>
    <w:rsid w:val="00875997"/>
    <w:rsid w:val="00875ECB"/>
    <w:rsid w:val="0087724C"/>
    <w:rsid w:val="008859E9"/>
    <w:rsid w:val="00886273"/>
    <w:rsid w:val="008A4616"/>
    <w:rsid w:val="008A6BC8"/>
    <w:rsid w:val="008A6C9B"/>
    <w:rsid w:val="008A73D7"/>
    <w:rsid w:val="008B0ADC"/>
    <w:rsid w:val="008B2043"/>
    <w:rsid w:val="008B50FB"/>
    <w:rsid w:val="008B7197"/>
    <w:rsid w:val="008C0986"/>
    <w:rsid w:val="008C0CBF"/>
    <w:rsid w:val="008C22E8"/>
    <w:rsid w:val="008C47BD"/>
    <w:rsid w:val="008C47C8"/>
    <w:rsid w:val="008C4845"/>
    <w:rsid w:val="008C49BA"/>
    <w:rsid w:val="008C5119"/>
    <w:rsid w:val="008D5DDA"/>
    <w:rsid w:val="008D63D0"/>
    <w:rsid w:val="008D648D"/>
    <w:rsid w:val="008D65F1"/>
    <w:rsid w:val="008D7EAA"/>
    <w:rsid w:val="008E250A"/>
    <w:rsid w:val="008E5CC5"/>
    <w:rsid w:val="008F118E"/>
    <w:rsid w:val="008F171E"/>
    <w:rsid w:val="008F3D36"/>
    <w:rsid w:val="008F4AEC"/>
    <w:rsid w:val="008F61E7"/>
    <w:rsid w:val="008F66C0"/>
    <w:rsid w:val="009012F1"/>
    <w:rsid w:val="00902190"/>
    <w:rsid w:val="00902E7E"/>
    <w:rsid w:val="00904126"/>
    <w:rsid w:val="00906CC2"/>
    <w:rsid w:val="00910DAD"/>
    <w:rsid w:val="00915B9D"/>
    <w:rsid w:val="00915C28"/>
    <w:rsid w:val="00915E32"/>
    <w:rsid w:val="009204E7"/>
    <w:rsid w:val="00920D72"/>
    <w:rsid w:val="00921508"/>
    <w:rsid w:val="009241F2"/>
    <w:rsid w:val="009270F1"/>
    <w:rsid w:val="0093082B"/>
    <w:rsid w:val="00932736"/>
    <w:rsid w:val="00932DD5"/>
    <w:rsid w:val="00933063"/>
    <w:rsid w:val="0093403E"/>
    <w:rsid w:val="0093577E"/>
    <w:rsid w:val="0093756C"/>
    <w:rsid w:val="009376EC"/>
    <w:rsid w:val="00937848"/>
    <w:rsid w:val="009404FA"/>
    <w:rsid w:val="00941786"/>
    <w:rsid w:val="00941F74"/>
    <w:rsid w:val="00942733"/>
    <w:rsid w:val="0094284E"/>
    <w:rsid w:val="009446A9"/>
    <w:rsid w:val="0094522E"/>
    <w:rsid w:val="009459E0"/>
    <w:rsid w:val="00946207"/>
    <w:rsid w:val="009467C3"/>
    <w:rsid w:val="00950157"/>
    <w:rsid w:val="00950B38"/>
    <w:rsid w:val="00954FE2"/>
    <w:rsid w:val="009561D8"/>
    <w:rsid w:val="00961378"/>
    <w:rsid w:val="00961FB9"/>
    <w:rsid w:val="009706B2"/>
    <w:rsid w:val="009718FD"/>
    <w:rsid w:val="009733CF"/>
    <w:rsid w:val="009737A9"/>
    <w:rsid w:val="00977AF6"/>
    <w:rsid w:val="00982326"/>
    <w:rsid w:val="0098499D"/>
    <w:rsid w:val="00986305"/>
    <w:rsid w:val="00987719"/>
    <w:rsid w:val="00990CA9"/>
    <w:rsid w:val="00991646"/>
    <w:rsid w:val="009951BD"/>
    <w:rsid w:val="0099538C"/>
    <w:rsid w:val="00996006"/>
    <w:rsid w:val="00997AC8"/>
    <w:rsid w:val="009A15DE"/>
    <w:rsid w:val="009A181D"/>
    <w:rsid w:val="009A1B5F"/>
    <w:rsid w:val="009A37C1"/>
    <w:rsid w:val="009A386F"/>
    <w:rsid w:val="009A3C76"/>
    <w:rsid w:val="009A4A6D"/>
    <w:rsid w:val="009A59E5"/>
    <w:rsid w:val="009A7E7C"/>
    <w:rsid w:val="009B0078"/>
    <w:rsid w:val="009B0A33"/>
    <w:rsid w:val="009B5562"/>
    <w:rsid w:val="009B6BB5"/>
    <w:rsid w:val="009B6D53"/>
    <w:rsid w:val="009B7540"/>
    <w:rsid w:val="009C2CC3"/>
    <w:rsid w:val="009C33D1"/>
    <w:rsid w:val="009C3ED1"/>
    <w:rsid w:val="009C46AE"/>
    <w:rsid w:val="009C6372"/>
    <w:rsid w:val="009C7FC3"/>
    <w:rsid w:val="009D45F9"/>
    <w:rsid w:val="009D4F21"/>
    <w:rsid w:val="009D52D5"/>
    <w:rsid w:val="009D5E94"/>
    <w:rsid w:val="009D67A2"/>
    <w:rsid w:val="009E16CC"/>
    <w:rsid w:val="009E276E"/>
    <w:rsid w:val="009E3CD9"/>
    <w:rsid w:val="009E6BFC"/>
    <w:rsid w:val="009F0419"/>
    <w:rsid w:val="009F1624"/>
    <w:rsid w:val="009F1F8D"/>
    <w:rsid w:val="009F43FA"/>
    <w:rsid w:val="009F456E"/>
    <w:rsid w:val="00A002B5"/>
    <w:rsid w:val="00A02001"/>
    <w:rsid w:val="00A0340E"/>
    <w:rsid w:val="00A03E78"/>
    <w:rsid w:val="00A07C83"/>
    <w:rsid w:val="00A109CB"/>
    <w:rsid w:val="00A1199A"/>
    <w:rsid w:val="00A11FE4"/>
    <w:rsid w:val="00A121C5"/>
    <w:rsid w:val="00A13EA1"/>
    <w:rsid w:val="00A15A69"/>
    <w:rsid w:val="00A16204"/>
    <w:rsid w:val="00A16C8B"/>
    <w:rsid w:val="00A20377"/>
    <w:rsid w:val="00A23740"/>
    <w:rsid w:val="00A24189"/>
    <w:rsid w:val="00A2611B"/>
    <w:rsid w:val="00A31F9F"/>
    <w:rsid w:val="00A32415"/>
    <w:rsid w:val="00A3258D"/>
    <w:rsid w:val="00A41DD9"/>
    <w:rsid w:val="00A4389A"/>
    <w:rsid w:val="00A45685"/>
    <w:rsid w:val="00A45DFE"/>
    <w:rsid w:val="00A47FB0"/>
    <w:rsid w:val="00A50A0D"/>
    <w:rsid w:val="00A50FC1"/>
    <w:rsid w:val="00A514E7"/>
    <w:rsid w:val="00A5175F"/>
    <w:rsid w:val="00A549F5"/>
    <w:rsid w:val="00A60751"/>
    <w:rsid w:val="00A61EB2"/>
    <w:rsid w:val="00A63885"/>
    <w:rsid w:val="00A63C83"/>
    <w:rsid w:val="00A63D2C"/>
    <w:rsid w:val="00A63DAB"/>
    <w:rsid w:val="00A67261"/>
    <w:rsid w:val="00A7068C"/>
    <w:rsid w:val="00A71B60"/>
    <w:rsid w:val="00A71E4B"/>
    <w:rsid w:val="00A71ECD"/>
    <w:rsid w:val="00A72CCC"/>
    <w:rsid w:val="00A72F19"/>
    <w:rsid w:val="00A735C9"/>
    <w:rsid w:val="00A7685A"/>
    <w:rsid w:val="00A772D6"/>
    <w:rsid w:val="00A81846"/>
    <w:rsid w:val="00A845FA"/>
    <w:rsid w:val="00A87126"/>
    <w:rsid w:val="00A91B71"/>
    <w:rsid w:val="00A93B99"/>
    <w:rsid w:val="00A93BD5"/>
    <w:rsid w:val="00A94029"/>
    <w:rsid w:val="00A94518"/>
    <w:rsid w:val="00A97064"/>
    <w:rsid w:val="00AA19FB"/>
    <w:rsid w:val="00AA1B0A"/>
    <w:rsid w:val="00AA2DDE"/>
    <w:rsid w:val="00AA2F42"/>
    <w:rsid w:val="00AA4C2B"/>
    <w:rsid w:val="00AA5C9E"/>
    <w:rsid w:val="00AA5E1F"/>
    <w:rsid w:val="00AA6069"/>
    <w:rsid w:val="00AB24B2"/>
    <w:rsid w:val="00AB36DF"/>
    <w:rsid w:val="00AB5472"/>
    <w:rsid w:val="00AB5B0F"/>
    <w:rsid w:val="00AB64B4"/>
    <w:rsid w:val="00AB678B"/>
    <w:rsid w:val="00AC048C"/>
    <w:rsid w:val="00AC10A6"/>
    <w:rsid w:val="00AC2460"/>
    <w:rsid w:val="00AC3135"/>
    <w:rsid w:val="00AC35B6"/>
    <w:rsid w:val="00AC4008"/>
    <w:rsid w:val="00AC5CA3"/>
    <w:rsid w:val="00AC7FC6"/>
    <w:rsid w:val="00AD3A50"/>
    <w:rsid w:val="00AD4C81"/>
    <w:rsid w:val="00AD60CC"/>
    <w:rsid w:val="00AD66D3"/>
    <w:rsid w:val="00AD6987"/>
    <w:rsid w:val="00AE04EA"/>
    <w:rsid w:val="00AE1178"/>
    <w:rsid w:val="00AE2EBC"/>
    <w:rsid w:val="00AE4C55"/>
    <w:rsid w:val="00AE51E5"/>
    <w:rsid w:val="00AE5A9E"/>
    <w:rsid w:val="00AF14E3"/>
    <w:rsid w:val="00AF2975"/>
    <w:rsid w:val="00AF5361"/>
    <w:rsid w:val="00AF751D"/>
    <w:rsid w:val="00B00855"/>
    <w:rsid w:val="00B018A4"/>
    <w:rsid w:val="00B0269C"/>
    <w:rsid w:val="00B02897"/>
    <w:rsid w:val="00B02A6D"/>
    <w:rsid w:val="00B0532C"/>
    <w:rsid w:val="00B06139"/>
    <w:rsid w:val="00B06491"/>
    <w:rsid w:val="00B07F37"/>
    <w:rsid w:val="00B10ABB"/>
    <w:rsid w:val="00B111D1"/>
    <w:rsid w:val="00B21B73"/>
    <w:rsid w:val="00B22975"/>
    <w:rsid w:val="00B24C4B"/>
    <w:rsid w:val="00B25DB0"/>
    <w:rsid w:val="00B2625C"/>
    <w:rsid w:val="00B2768C"/>
    <w:rsid w:val="00B31011"/>
    <w:rsid w:val="00B356B8"/>
    <w:rsid w:val="00B37106"/>
    <w:rsid w:val="00B376ED"/>
    <w:rsid w:val="00B41764"/>
    <w:rsid w:val="00B42F77"/>
    <w:rsid w:val="00B431FC"/>
    <w:rsid w:val="00B435D6"/>
    <w:rsid w:val="00B44539"/>
    <w:rsid w:val="00B45F94"/>
    <w:rsid w:val="00B46B46"/>
    <w:rsid w:val="00B50945"/>
    <w:rsid w:val="00B523DA"/>
    <w:rsid w:val="00B52E99"/>
    <w:rsid w:val="00B54BCE"/>
    <w:rsid w:val="00B55890"/>
    <w:rsid w:val="00B600C8"/>
    <w:rsid w:val="00B621E3"/>
    <w:rsid w:val="00B62464"/>
    <w:rsid w:val="00B63845"/>
    <w:rsid w:val="00B66001"/>
    <w:rsid w:val="00B67BDE"/>
    <w:rsid w:val="00B70619"/>
    <w:rsid w:val="00B72285"/>
    <w:rsid w:val="00B74055"/>
    <w:rsid w:val="00B753CD"/>
    <w:rsid w:val="00B80421"/>
    <w:rsid w:val="00B820F4"/>
    <w:rsid w:val="00B838A8"/>
    <w:rsid w:val="00B83A2E"/>
    <w:rsid w:val="00B83D8E"/>
    <w:rsid w:val="00B84387"/>
    <w:rsid w:val="00B93898"/>
    <w:rsid w:val="00B965DD"/>
    <w:rsid w:val="00B96D94"/>
    <w:rsid w:val="00BA1B61"/>
    <w:rsid w:val="00BA2B7E"/>
    <w:rsid w:val="00BA3E36"/>
    <w:rsid w:val="00BA3FDF"/>
    <w:rsid w:val="00BA5BCD"/>
    <w:rsid w:val="00BA6A55"/>
    <w:rsid w:val="00BA6F3E"/>
    <w:rsid w:val="00BA77D3"/>
    <w:rsid w:val="00BA78BF"/>
    <w:rsid w:val="00BB0EB2"/>
    <w:rsid w:val="00BB1C09"/>
    <w:rsid w:val="00BB302C"/>
    <w:rsid w:val="00BB4012"/>
    <w:rsid w:val="00BB4E41"/>
    <w:rsid w:val="00BB5618"/>
    <w:rsid w:val="00BB5E56"/>
    <w:rsid w:val="00BC10A2"/>
    <w:rsid w:val="00BC123E"/>
    <w:rsid w:val="00BC30CB"/>
    <w:rsid w:val="00BC3842"/>
    <w:rsid w:val="00BC4597"/>
    <w:rsid w:val="00BC49CB"/>
    <w:rsid w:val="00BC544F"/>
    <w:rsid w:val="00BC54B2"/>
    <w:rsid w:val="00BC77DA"/>
    <w:rsid w:val="00BD0488"/>
    <w:rsid w:val="00BD2391"/>
    <w:rsid w:val="00BD423A"/>
    <w:rsid w:val="00BD500A"/>
    <w:rsid w:val="00BD5B48"/>
    <w:rsid w:val="00BD69A9"/>
    <w:rsid w:val="00BE1E5B"/>
    <w:rsid w:val="00BE4782"/>
    <w:rsid w:val="00BE48D7"/>
    <w:rsid w:val="00BE5C07"/>
    <w:rsid w:val="00BF604B"/>
    <w:rsid w:val="00BF76D4"/>
    <w:rsid w:val="00C01449"/>
    <w:rsid w:val="00C01777"/>
    <w:rsid w:val="00C056D1"/>
    <w:rsid w:val="00C11CA1"/>
    <w:rsid w:val="00C12076"/>
    <w:rsid w:val="00C12ED5"/>
    <w:rsid w:val="00C15E7E"/>
    <w:rsid w:val="00C1610D"/>
    <w:rsid w:val="00C16CEB"/>
    <w:rsid w:val="00C16DE7"/>
    <w:rsid w:val="00C17016"/>
    <w:rsid w:val="00C17638"/>
    <w:rsid w:val="00C17D1C"/>
    <w:rsid w:val="00C220CC"/>
    <w:rsid w:val="00C23D0D"/>
    <w:rsid w:val="00C23F4E"/>
    <w:rsid w:val="00C263C2"/>
    <w:rsid w:val="00C26BA0"/>
    <w:rsid w:val="00C3070A"/>
    <w:rsid w:val="00C312CE"/>
    <w:rsid w:val="00C31EAD"/>
    <w:rsid w:val="00C32C86"/>
    <w:rsid w:val="00C364D9"/>
    <w:rsid w:val="00C400D2"/>
    <w:rsid w:val="00C41643"/>
    <w:rsid w:val="00C41D5C"/>
    <w:rsid w:val="00C4305B"/>
    <w:rsid w:val="00C43BB7"/>
    <w:rsid w:val="00C4531F"/>
    <w:rsid w:val="00C515FA"/>
    <w:rsid w:val="00C53173"/>
    <w:rsid w:val="00C53D93"/>
    <w:rsid w:val="00C5444A"/>
    <w:rsid w:val="00C54C29"/>
    <w:rsid w:val="00C551CA"/>
    <w:rsid w:val="00C56644"/>
    <w:rsid w:val="00C57619"/>
    <w:rsid w:val="00C605A5"/>
    <w:rsid w:val="00C619B6"/>
    <w:rsid w:val="00C62373"/>
    <w:rsid w:val="00C62D4A"/>
    <w:rsid w:val="00C6342F"/>
    <w:rsid w:val="00C6383D"/>
    <w:rsid w:val="00C6448D"/>
    <w:rsid w:val="00C663E9"/>
    <w:rsid w:val="00C71C02"/>
    <w:rsid w:val="00C72424"/>
    <w:rsid w:val="00C72CB4"/>
    <w:rsid w:val="00C74BF3"/>
    <w:rsid w:val="00C75769"/>
    <w:rsid w:val="00C81CD0"/>
    <w:rsid w:val="00C8252F"/>
    <w:rsid w:val="00C839C7"/>
    <w:rsid w:val="00C83EB4"/>
    <w:rsid w:val="00C86550"/>
    <w:rsid w:val="00C87EC7"/>
    <w:rsid w:val="00C93592"/>
    <w:rsid w:val="00C94AD7"/>
    <w:rsid w:val="00C950B7"/>
    <w:rsid w:val="00C9593F"/>
    <w:rsid w:val="00CA0766"/>
    <w:rsid w:val="00CA3235"/>
    <w:rsid w:val="00CA68B0"/>
    <w:rsid w:val="00CB0DCB"/>
    <w:rsid w:val="00CB34CE"/>
    <w:rsid w:val="00CB3B03"/>
    <w:rsid w:val="00CB5F7E"/>
    <w:rsid w:val="00CC09E4"/>
    <w:rsid w:val="00CC2BB2"/>
    <w:rsid w:val="00CC3128"/>
    <w:rsid w:val="00CC3BAC"/>
    <w:rsid w:val="00CC527C"/>
    <w:rsid w:val="00CC5937"/>
    <w:rsid w:val="00CC61C1"/>
    <w:rsid w:val="00CC7ABF"/>
    <w:rsid w:val="00CD0094"/>
    <w:rsid w:val="00CD1108"/>
    <w:rsid w:val="00CD3F94"/>
    <w:rsid w:val="00CD6883"/>
    <w:rsid w:val="00CD7378"/>
    <w:rsid w:val="00CE1FEE"/>
    <w:rsid w:val="00CE2494"/>
    <w:rsid w:val="00CE52CC"/>
    <w:rsid w:val="00CE5CD8"/>
    <w:rsid w:val="00CE6E08"/>
    <w:rsid w:val="00CE71F0"/>
    <w:rsid w:val="00CE7834"/>
    <w:rsid w:val="00CF69B7"/>
    <w:rsid w:val="00D00E9E"/>
    <w:rsid w:val="00D0261D"/>
    <w:rsid w:val="00D028AD"/>
    <w:rsid w:val="00D02A97"/>
    <w:rsid w:val="00D036FC"/>
    <w:rsid w:val="00D04A32"/>
    <w:rsid w:val="00D04F7A"/>
    <w:rsid w:val="00D05999"/>
    <w:rsid w:val="00D079D8"/>
    <w:rsid w:val="00D1097E"/>
    <w:rsid w:val="00D17B10"/>
    <w:rsid w:val="00D20B35"/>
    <w:rsid w:val="00D2193F"/>
    <w:rsid w:val="00D24EB5"/>
    <w:rsid w:val="00D264F9"/>
    <w:rsid w:val="00D3007E"/>
    <w:rsid w:val="00D3559B"/>
    <w:rsid w:val="00D35EF8"/>
    <w:rsid w:val="00D427C0"/>
    <w:rsid w:val="00D43869"/>
    <w:rsid w:val="00D479BA"/>
    <w:rsid w:val="00D55910"/>
    <w:rsid w:val="00D55F54"/>
    <w:rsid w:val="00D57B90"/>
    <w:rsid w:val="00D57F3C"/>
    <w:rsid w:val="00D6192D"/>
    <w:rsid w:val="00D62525"/>
    <w:rsid w:val="00D64003"/>
    <w:rsid w:val="00D649D2"/>
    <w:rsid w:val="00D650ED"/>
    <w:rsid w:val="00D674A7"/>
    <w:rsid w:val="00D713E0"/>
    <w:rsid w:val="00D714A3"/>
    <w:rsid w:val="00D7156B"/>
    <w:rsid w:val="00D73922"/>
    <w:rsid w:val="00D73C9C"/>
    <w:rsid w:val="00D77680"/>
    <w:rsid w:val="00D80000"/>
    <w:rsid w:val="00D807E5"/>
    <w:rsid w:val="00D81AF9"/>
    <w:rsid w:val="00D84142"/>
    <w:rsid w:val="00D87154"/>
    <w:rsid w:val="00D90D22"/>
    <w:rsid w:val="00D91D6C"/>
    <w:rsid w:val="00D91D7F"/>
    <w:rsid w:val="00D920F9"/>
    <w:rsid w:val="00D92EB3"/>
    <w:rsid w:val="00D937C8"/>
    <w:rsid w:val="00D9397A"/>
    <w:rsid w:val="00D95E5D"/>
    <w:rsid w:val="00D97F37"/>
    <w:rsid w:val="00DA13BE"/>
    <w:rsid w:val="00DA2D81"/>
    <w:rsid w:val="00DA4887"/>
    <w:rsid w:val="00DA5C3F"/>
    <w:rsid w:val="00DB14DD"/>
    <w:rsid w:val="00DB1961"/>
    <w:rsid w:val="00DB2846"/>
    <w:rsid w:val="00DB424C"/>
    <w:rsid w:val="00DB7187"/>
    <w:rsid w:val="00DB7CDC"/>
    <w:rsid w:val="00DC0B27"/>
    <w:rsid w:val="00DC50D5"/>
    <w:rsid w:val="00DC79C0"/>
    <w:rsid w:val="00DD0410"/>
    <w:rsid w:val="00DD6564"/>
    <w:rsid w:val="00DD6575"/>
    <w:rsid w:val="00DD722A"/>
    <w:rsid w:val="00DE1D90"/>
    <w:rsid w:val="00DE24EE"/>
    <w:rsid w:val="00DE29C5"/>
    <w:rsid w:val="00DE41B7"/>
    <w:rsid w:val="00DE4453"/>
    <w:rsid w:val="00DF14DD"/>
    <w:rsid w:val="00DF1E92"/>
    <w:rsid w:val="00DF307B"/>
    <w:rsid w:val="00DF445A"/>
    <w:rsid w:val="00DF48E6"/>
    <w:rsid w:val="00DF6F66"/>
    <w:rsid w:val="00DF7D78"/>
    <w:rsid w:val="00E01F45"/>
    <w:rsid w:val="00E0230A"/>
    <w:rsid w:val="00E02642"/>
    <w:rsid w:val="00E02822"/>
    <w:rsid w:val="00E02D2E"/>
    <w:rsid w:val="00E0534F"/>
    <w:rsid w:val="00E063AC"/>
    <w:rsid w:val="00E07DAF"/>
    <w:rsid w:val="00E12862"/>
    <w:rsid w:val="00E13D7B"/>
    <w:rsid w:val="00E163DB"/>
    <w:rsid w:val="00E17A68"/>
    <w:rsid w:val="00E21B7F"/>
    <w:rsid w:val="00E222FE"/>
    <w:rsid w:val="00E26EA3"/>
    <w:rsid w:val="00E35AE6"/>
    <w:rsid w:val="00E36674"/>
    <w:rsid w:val="00E36F9B"/>
    <w:rsid w:val="00E3720B"/>
    <w:rsid w:val="00E42EB3"/>
    <w:rsid w:val="00E4557F"/>
    <w:rsid w:val="00E46452"/>
    <w:rsid w:val="00E50828"/>
    <w:rsid w:val="00E523EE"/>
    <w:rsid w:val="00E53ADF"/>
    <w:rsid w:val="00E54681"/>
    <w:rsid w:val="00E612F4"/>
    <w:rsid w:val="00E62255"/>
    <w:rsid w:val="00E63ABD"/>
    <w:rsid w:val="00E64925"/>
    <w:rsid w:val="00E66558"/>
    <w:rsid w:val="00E73452"/>
    <w:rsid w:val="00E75475"/>
    <w:rsid w:val="00E76259"/>
    <w:rsid w:val="00E80CA2"/>
    <w:rsid w:val="00E818B5"/>
    <w:rsid w:val="00E862D7"/>
    <w:rsid w:val="00E864E9"/>
    <w:rsid w:val="00E90219"/>
    <w:rsid w:val="00E917A0"/>
    <w:rsid w:val="00E92283"/>
    <w:rsid w:val="00E929BF"/>
    <w:rsid w:val="00E94592"/>
    <w:rsid w:val="00E95F4E"/>
    <w:rsid w:val="00E9603E"/>
    <w:rsid w:val="00E96756"/>
    <w:rsid w:val="00EA0A6E"/>
    <w:rsid w:val="00EA0B3F"/>
    <w:rsid w:val="00EA0DA2"/>
    <w:rsid w:val="00EA2014"/>
    <w:rsid w:val="00EA291A"/>
    <w:rsid w:val="00EA32C6"/>
    <w:rsid w:val="00EA33C9"/>
    <w:rsid w:val="00EA40A6"/>
    <w:rsid w:val="00EA43F4"/>
    <w:rsid w:val="00EA511B"/>
    <w:rsid w:val="00EB0292"/>
    <w:rsid w:val="00EB1187"/>
    <w:rsid w:val="00EB75D3"/>
    <w:rsid w:val="00EB7F3C"/>
    <w:rsid w:val="00EC5395"/>
    <w:rsid w:val="00EC6EDB"/>
    <w:rsid w:val="00ED1A4D"/>
    <w:rsid w:val="00ED1C3C"/>
    <w:rsid w:val="00ED224F"/>
    <w:rsid w:val="00ED227D"/>
    <w:rsid w:val="00ED5C1A"/>
    <w:rsid w:val="00ED672E"/>
    <w:rsid w:val="00ED6794"/>
    <w:rsid w:val="00EE26DA"/>
    <w:rsid w:val="00EE348B"/>
    <w:rsid w:val="00EE37E2"/>
    <w:rsid w:val="00EE4C3E"/>
    <w:rsid w:val="00EE6505"/>
    <w:rsid w:val="00EE697A"/>
    <w:rsid w:val="00EE7982"/>
    <w:rsid w:val="00EF017D"/>
    <w:rsid w:val="00EF043D"/>
    <w:rsid w:val="00EF09AF"/>
    <w:rsid w:val="00EF111D"/>
    <w:rsid w:val="00EF1F50"/>
    <w:rsid w:val="00EF4205"/>
    <w:rsid w:val="00EF4B74"/>
    <w:rsid w:val="00EF6029"/>
    <w:rsid w:val="00EF6398"/>
    <w:rsid w:val="00F00294"/>
    <w:rsid w:val="00F020F6"/>
    <w:rsid w:val="00F0330D"/>
    <w:rsid w:val="00F048D4"/>
    <w:rsid w:val="00F05B6F"/>
    <w:rsid w:val="00F05DA5"/>
    <w:rsid w:val="00F1053A"/>
    <w:rsid w:val="00F10850"/>
    <w:rsid w:val="00F10ED3"/>
    <w:rsid w:val="00F133A4"/>
    <w:rsid w:val="00F15DB2"/>
    <w:rsid w:val="00F174A4"/>
    <w:rsid w:val="00F20480"/>
    <w:rsid w:val="00F20A19"/>
    <w:rsid w:val="00F2104E"/>
    <w:rsid w:val="00F238C7"/>
    <w:rsid w:val="00F23DE3"/>
    <w:rsid w:val="00F23E74"/>
    <w:rsid w:val="00F246EF"/>
    <w:rsid w:val="00F325F5"/>
    <w:rsid w:val="00F34624"/>
    <w:rsid w:val="00F34B0C"/>
    <w:rsid w:val="00F36A07"/>
    <w:rsid w:val="00F36F31"/>
    <w:rsid w:val="00F42085"/>
    <w:rsid w:val="00F4792B"/>
    <w:rsid w:val="00F5169D"/>
    <w:rsid w:val="00F52959"/>
    <w:rsid w:val="00F533AB"/>
    <w:rsid w:val="00F53454"/>
    <w:rsid w:val="00F53DEA"/>
    <w:rsid w:val="00F55716"/>
    <w:rsid w:val="00F55C79"/>
    <w:rsid w:val="00F55CD5"/>
    <w:rsid w:val="00F55F0D"/>
    <w:rsid w:val="00F56423"/>
    <w:rsid w:val="00F569A4"/>
    <w:rsid w:val="00F61687"/>
    <w:rsid w:val="00F6295F"/>
    <w:rsid w:val="00F63A8D"/>
    <w:rsid w:val="00F662BA"/>
    <w:rsid w:val="00F677ED"/>
    <w:rsid w:val="00F67DFE"/>
    <w:rsid w:val="00F717A7"/>
    <w:rsid w:val="00F75B6F"/>
    <w:rsid w:val="00F763D4"/>
    <w:rsid w:val="00F76DD9"/>
    <w:rsid w:val="00F77D95"/>
    <w:rsid w:val="00F816C4"/>
    <w:rsid w:val="00F81CBC"/>
    <w:rsid w:val="00F83AF5"/>
    <w:rsid w:val="00F843AE"/>
    <w:rsid w:val="00F85433"/>
    <w:rsid w:val="00F86DC8"/>
    <w:rsid w:val="00F91839"/>
    <w:rsid w:val="00F91B45"/>
    <w:rsid w:val="00F9222A"/>
    <w:rsid w:val="00F945A9"/>
    <w:rsid w:val="00F95782"/>
    <w:rsid w:val="00F963C6"/>
    <w:rsid w:val="00FA07B1"/>
    <w:rsid w:val="00FA2F72"/>
    <w:rsid w:val="00FA72C9"/>
    <w:rsid w:val="00FA7DCF"/>
    <w:rsid w:val="00FB0CF3"/>
    <w:rsid w:val="00FB0E58"/>
    <w:rsid w:val="00FB1663"/>
    <w:rsid w:val="00FB38CA"/>
    <w:rsid w:val="00FB420C"/>
    <w:rsid w:val="00FB6706"/>
    <w:rsid w:val="00FB6735"/>
    <w:rsid w:val="00FB7473"/>
    <w:rsid w:val="00FC0A5C"/>
    <w:rsid w:val="00FC0E27"/>
    <w:rsid w:val="00FC3CC7"/>
    <w:rsid w:val="00FC3DD7"/>
    <w:rsid w:val="00FC6C15"/>
    <w:rsid w:val="00FD0B7E"/>
    <w:rsid w:val="00FD0E87"/>
    <w:rsid w:val="00FD4128"/>
    <w:rsid w:val="00FD5277"/>
    <w:rsid w:val="00FD56B0"/>
    <w:rsid w:val="00FD74AD"/>
    <w:rsid w:val="00FE0145"/>
    <w:rsid w:val="00FE1272"/>
    <w:rsid w:val="00FE235B"/>
    <w:rsid w:val="00FE48E7"/>
    <w:rsid w:val="00FE5EC7"/>
    <w:rsid w:val="00FE600A"/>
    <w:rsid w:val="00FF163B"/>
    <w:rsid w:val="00FF2216"/>
    <w:rsid w:val="00FF27F0"/>
    <w:rsid w:val="00FF2C82"/>
    <w:rsid w:val="00FF3312"/>
    <w:rsid w:val="00FF5196"/>
    <w:rsid w:val="00FF67BC"/>
    <w:rsid w:val="00FF7616"/>
    <w:rsid w:val="00FF77F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F4D9CF"/>
  <w15:docId w15:val="{DA255DFD-D874-426A-9F20-E5478ABE2F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en-US" w:bidi="ar-SA"/>
      </w:rPr>
    </w:rPrDefault>
    <w:pPrDefault>
      <w:pPr>
        <w:spacing w:after="160" w:line="252"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593F"/>
  </w:style>
  <w:style w:type="paragraph" w:styleId="Titre1">
    <w:name w:val="heading 1"/>
    <w:basedOn w:val="Normal"/>
    <w:next w:val="Normal"/>
    <w:link w:val="Titre1Car"/>
    <w:uiPriority w:val="9"/>
    <w:qFormat/>
    <w:rsid w:val="00D62525"/>
    <w:pPr>
      <w:keepNext/>
      <w:keepLines/>
      <w:numPr>
        <w:numId w:val="22"/>
      </w:numPr>
      <w:spacing w:before="320" w:after="40"/>
      <w:outlineLvl w:val="0"/>
    </w:pPr>
    <w:rPr>
      <w:rFonts w:ascii="Calibri" w:eastAsiaTheme="majorEastAsia" w:hAnsi="Calibri" w:cstheme="majorBidi"/>
      <w:b/>
      <w:bCs/>
      <w:spacing w:val="4"/>
      <w:sz w:val="28"/>
      <w:szCs w:val="28"/>
    </w:rPr>
  </w:style>
  <w:style w:type="paragraph" w:styleId="Titre2">
    <w:name w:val="heading 2"/>
    <w:basedOn w:val="Normal"/>
    <w:next w:val="Normal"/>
    <w:link w:val="Titre2Car"/>
    <w:uiPriority w:val="9"/>
    <w:unhideWhenUsed/>
    <w:qFormat/>
    <w:rsid w:val="00C9593F"/>
    <w:pPr>
      <w:keepNext/>
      <w:keepLines/>
      <w:spacing w:before="120" w:after="0"/>
      <w:outlineLvl w:val="1"/>
    </w:pPr>
    <w:rPr>
      <w:rFonts w:asciiTheme="majorHAnsi" w:eastAsiaTheme="majorEastAsia" w:hAnsiTheme="majorHAnsi" w:cstheme="majorBidi"/>
      <w:b/>
      <w:bCs/>
      <w:sz w:val="28"/>
      <w:szCs w:val="28"/>
    </w:rPr>
  </w:style>
  <w:style w:type="paragraph" w:styleId="Titre3">
    <w:name w:val="heading 3"/>
    <w:basedOn w:val="Normal"/>
    <w:next w:val="Normal"/>
    <w:link w:val="Titre3Car"/>
    <w:uiPriority w:val="9"/>
    <w:unhideWhenUsed/>
    <w:qFormat/>
    <w:rsid w:val="00C9593F"/>
    <w:pPr>
      <w:keepNext/>
      <w:keepLines/>
      <w:spacing w:before="120" w:after="0"/>
      <w:outlineLvl w:val="2"/>
    </w:pPr>
    <w:rPr>
      <w:rFonts w:asciiTheme="majorHAnsi" w:eastAsiaTheme="majorEastAsia" w:hAnsiTheme="majorHAnsi" w:cstheme="majorBidi"/>
      <w:spacing w:val="4"/>
      <w:sz w:val="24"/>
      <w:szCs w:val="24"/>
    </w:rPr>
  </w:style>
  <w:style w:type="paragraph" w:styleId="Titre4">
    <w:name w:val="heading 4"/>
    <w:basedOn w:val="Normal"/>
    <w:next w:val="Normal"/>
    <w:link w:val="Titre4Car"/>
    <w:uiPriority w:val="9"/>
    <w:unhideWhenUsed/>
    <w:qFormat/>
    <w:rsid w:val="00C9593F"/>
    <w:pPr>
      <w:keepNext/>
      <w:keepLines/>
      <w:spacing w:before="120" w:after="0"/>
      <w:outlineLvl w:val="3"/>
    </w:pPr>
    <w:rPr>
      <w:rFonts w:asciiTheme="majorHAnsi" w:eastAsiaTheme="majorEastAsia" w:hAnsiTheme="majorHAnsi" w:cstheme="majorBidi"/>
      <w:i/>
      <w:iCs/>
      <w:sz w:val="24"/>
      <w:szCs w:val="24"/>
    </w:rPr>
  </w:style>
  <w:style w:type="paragraph" w:styleId="Titre5">
    <w:name w:val="heading 5"/>
    <w:basedOn w:val="Normal"/>
    <w:next w:val="Normal"/>
    <w:link w:val="Titre5Car"/>
    <w:uiPriority w:val="9"/>
    <w:unhideWhenUsed/>
    <w:qFormat/>
    <w:rsid w:val="00C9593F"/>
    <w:pPr>
      <w:keepNext/>
      <w:keepLines/>
      <w:spacing w:before="120" w:after="0"/>
      <w:outlineLvl w:val="4"/>
    </w:pPr>
    <w:rPr>
      <w:rFonts w:asciiTheme="majorHAnsi" w:eastAsiaTheme="majorEastAsia" w:hAnsiTheme="majorHAnsi" w:cstheme="majorBidi"/>
      <w:b/>
      <w:bCs/>
    </w:rPr>
  </w:style>
  <w:style w:type="paragraph" w:styleId="Titre6">
    <w:name w:val="heading 6"/>
    <w:basedOn w:val="Normal"/>
    <w:next w:val="Normal"/>
    <w:link w:val="Titre6Car"/>
    <w:uiPriority w:val="9"/>
    <w:semiHidden/>
    <w:unhideWhenUsed/>
    <w:qFormat/>
    <w:rsid w:val="00C9593F"/>
    <w:pPr>
      <w:keepNext/>
      <w:keepLines/>
      <w:spacing w:before="120" w:after="0"/>
      <w:outlineLvl w:val="5"/>
    </w:pPr>
    <w:rPr>
      <w:rFonts w:asciiTheme="majorHAnsi" w:eastAsiaTheme="majorEastAsia" w:hAnsiTheme="majorHAnsi" w:cstheme="majorBidi"/>
      <w:b/>
      <w:bCs/>
      <w:i/>
      <w:iCs/>
    </w:rPr>
  </w:style>
  <w:style w:type="paragraph" w:styleId="Titre7">
    <w:name w:val="heading 7"/>
    <w:basedOn w:val="Normal"/>
    <w:next w:val="Normal"/>
    <w:link w:val="Titre7Car"/>
    <w:uiPriority w:val="9"/>
    <w:semiHidden/>
    <w:unhideWhenUsed/>
    <w:qFormat/>
    <w:rsid w:val="00C9593F"/>
    <w:pPr>
      <w:keepNext/>
      <w:keepLines/>
      <w:spacing w:before="120" w:after="0"/>
      <w:outlineLvl w:val="6"/>
    </w:pPr>
    <w:rPr>
      <w:i/>
      <w:iCs/>
    </w:rPr>
  </w:style>
  <w:style w:type="paragraph" w:styleId="Titre8">
    <w:name w:val="heading 8"/>
    <w:basedOn w:val="Normal"/>
    <w:next w:val="Normal"/>
    <w:link w:val="Titre8Car"/>
    <w:uiPriority w:val="9"/>
    <w:semiHidden/>
    <w:unhideWhenUsed/>
    <w:qFormat/>
    <w:rsid w:val="00C9593F"/>
    <w:pPr>
      <w:keepNext/>
      <w:keepLines/>
      <w:spacing w:before="120" w:after="0"/>
      <w:outlineLvl w:val="7"/>
    </w:pPr>
    <w:rPr>
      <w:b/>
      <w:bCs/>
    </w:rPr>
  </w:style>
  <w:style w:type="paragraph" w:styleId="Titre9">
    <w:name w:val="heading 9"/>
    <w:basedOn w:val="Normal"/>
    <w:next w:val="Normal"/>
    <w:link w:val="Titre9Car"/>
    <w:uiPriority w:val="9"/>
    <w:semiHidden/>
    <w:unhideWhenUsed/>
    <w:qFormat/>
    <w:rsid w:val="00C9593F"/>
    <w:pPr>
      <w:keepNext/>
      <w:keepLines/>
      <w:spacing w:before="120" w:after="0"/>
      <w:outlineLvl w:val="8"/>
    </w:pPr>
    <w:rPr>
      <w:i/>
      <w:i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D62525"/>
    <w:rPr>
      <w:rFonts w:ascii="Calibri" w:eastAsiaTheme="majorEastAsia" w:hAnsi="Calibri" w:cstheme="majorBidi"/>
      <w:b/>
      <w:bCs/>
      <w:spacing w:val="4"/>
      <w:sz w:val="28"/>
      <w:szCs w:val="28"/>
    </w:rPr>
  </w:style>
  <w:style w:type="character" w:customStyle="1" w:styleId="Titre2Car">
    <w:name w:val="Titre 2 Car"/>
    <w:basedOn w:val="Policepardfaut"/>
    <w:link w:val="Titre2"/>
    <w:uiPriority w:val="9"/>
    <w:rsid w:val="00C9593F"/>
    <w:rPr>
      <w:rFonts w:asciiTheme="majorHAnsi" w:eastAsiaTheme="majorEastAsia" w:hAnsiTheme="majorHAnsi" w:cstheme="majorBidi"/>
      <w:b/>
      <w:bCs/>
      <w:sz w:val="28"/>
      <w:szCs w:val="28"/>
    </w:rPr>
  </w:style>
  <w:style w:type="character" w:customStyle="1" w:styleId="Titre3Car">
    <w:name w:val="Titre 3 Car"/>
    <w:basedOn w:val="Policepardfaut"/>
    <w:link w:val="Titre3"/>
    <w:uiPriority w:val="9"/>
    <w:rsid w:val="00C9593F"/>
    <w:rPr>
      <w:rFonts w:asciiTheme="majorHAnsi" w:eastAsiaTheme="majorEastAsia" w:hAnsiTheme="majorHAnsi" w:cstheme="majorBidi"/>
      <w:spacing w:val="4"/>
      <w:sz w:val="24"/>
      <w:szCs w:val="24"/>
    </w:rPr>
  </w:style>
  <w:style w:type="character" w:customStyle="1" w:styleId="Titre4Car">
    <w:name w:val="Titre 4 Car"/>
    <w:basedOn w:val="Policepardfaut"/>
    <w:link w:val="Titre4"/>
    <w:uiPriority w:val="9"/>
    <w:rsid w:val="00C9593F"/>
    <w:rPr>
      <w:rFonts w:asciiTheme="majorHAnsi" w:eastAsiaTheme="majorEastAsia" w:hAnsiTheme="majorHAnsi" w:cstheme="majorBidi"/>
      <w:i/>
      <w:iCs/>
      <w:sz w:val="24"/>
      <w:szCs w:val="24"/>
    </w:rPr>
  </w:style>
  <w:style w:type="character" w:customStyle="1" w:styleId="Titre5Car">
    <w:name w:val="Titre 5 Car"/>
    <w:basedOn w:val="Policepardfaut"/>
    <w:link w:val="Titre5"/>
    <w:uiPriority w:val="9"/>
    <w:rsid w:val="00C9593F"/>
    <w:rPr>
      <w:rFonts w:asciiTheme="majorHAnsi" w:eastAsiaTheme="majorEastAsia" w:hAnsiTheme="majorHAnsi" w:cstheme="majorBidi"/>
      <w:b/>
      <w:bCs/>
    </w:rPr>
  </w:style>
  <w:style w:type="character" w:customStyle="1" w:styleId="Titre6Car">
    <w:name w:val="Titre 6 Car"/>
    <w:basedOn w:val="Policepardfaut"/>
    <w:link w:val="Titre6"/>
    <w:uiPriority w:val="9"/>
    <w:semiHidden/>
    <w:rsid w:val="00C9593F"/>
    <w:rPr>
      <w:rFonts w:asciiTheme="majorHAnsi" w:eastAsiaTheme="majorEastAsia" w:hAnsiTheme="majorHAnsi" w:cstheme="majorBidi"/>
      <w:b/>
      <w:bCs/>
      <w:i/>
      <w:iCs/>
    </w:rPr>
  </w:style>
  <w:style w:type="character" w:customStyle="1" w:styleId="Titre7Car">
    <w:name w:val="Titre 7 Car"/>
    <w:basedOn w:val="Policepardfaut"/>
    <w:link w:val="Titre7"/>
    <w:uiPriority w:val="9"/>
    <w:semiHidden/>
    <w:rsid w:val="00C9593F"/>
    <w:rPr>
      <w:i/>
      <w:iCs/>
    </w:rPr>
  </w:style>
  <w:style w:type="character" w:customStyle="1" w:styleId="Titre8Car">
    <w:name w:val="Titre 8 Car"/>
    <w:basedOn w:val="Policepardfaut"/>
    <w:link w:val="Titre8"/>
    <w:uiPriority w:val="9"/>
    <w:semiHidden/>
    <w:rsid w:val="00C9593F"/>
    <w:rPr>
      <w:b/>
      <w:bCs/>
    </w:rPr>
  </w:style>
  <w:style w:type="character" w:customStyle="1" w:styleId="Titre9Car">
    <w:name w:val="Titre 9 Car"/>
    <w:basedOn w:val="Policepardfaut"/>
    <w:link w:val="Titre9"/>
    <w:uiPriority w:val="9"/>
    <w:semiHidden/>
    <w:rsid w:val="00C9593F"/>
    <w:rPr>
      <w:i/>
      <w:iCs/>
    </w:rPr>
  </w:style>
  <w:style w:type="paragraph" w:styleId="Paragraphedeliste">
    <w:name w:val="List Paragraph"/>
    <w:basedOn w:val="Normal"/>
    <w:uiPriority w:val="34"/>
    <w:qFormat/>
    <w:rsid w:val="001B64EB"/>
    <w:pPr>
      <w:ind w:left="720"/>
      <w:contextualSpacing/>
    </w:pPr>
  </w:style>
  <w:style w:type="character" w:styleId="Marquedecommentaire">
    <w:name w:val="annotation reference"/>
    <w:basedOn w:val="Policepardfaut"/>
    <w:uiPriority w:val="99"/>
    <w:semiHidden/>
    <w:unhideWhenUsed/>
    <w:rsid w:val="001B64EB"/>
    <w:rPr>
      <w:sz w:val="16"/>
      <w:szCs w:val="16"/>
    </w:rPr>
  </w:style>
  <w:style w:type="paragraph" w:styleId="Commentaire">
    <w:name w:val="annotation text"/>
    <w:basedOn w:val="Normal"/>
    <w:link w:val="CommentaireCar"/>
    <w:uiPriority w:val="99"/>
    <w:unhideWhenUsed/>
    <w:rsid w:val="001B64EB"/>
    <w:pPr>
      <w:spacing w:line="240" w:lineRule="auto"/>
    </w:pPr>
    <w:rPr>
      <w:sz w:val="20"/>
      <w:szCs w:val="20"/>
    </w:rPr>
  </w:style>
  <w:style w:type="character" w:customStyle="1" w:styleId="CommentaireCar">
    <w:name w:val="Commentaire Car"/>
    <w:basedOn w:val="Policepardfaut"/>
    <w:link w:val="Commentaire"/>
    <w:uiPriority w:val="99"/>
    <w:rsid w:val="001B64EB"/>
    <w:rPr>
      <w:sz w:val="20"/>
      <w:szCs w:val="20"/>
    </w:rPr>
  </w:style>
  <w:style w:type="paragraph" w:styleId="Textedebulles">
    <w:name w:val="Balloon Text"/>
    <w:basedOn w:val="Normal"/>
    <w:link w:val="TextedebullesCar"/>
    <w:uiPriority w:val="99"/>
    <w:semiHidden/>
    <w:unhideWhenUsed/>
    <w:rsid w:val="001B64EB"/>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B64EB"/>
    <w:rPr>
      <w:rFonts w:ascii="Tahoma" w:hAnsi="Tahoma" w:cs="Tahoma"/>
      <w:sz w:val="16"/>
      <w:szCs w:val="16"/>
    </w:rPr>
  </w:style>
  <w:style w:type="paragraph" w:styleId="Objetducommentaire">
    <w:name w:val="annotation subject"/>
    <w:basedOn w:val="Commentaire"/>
    <w:next w:val="Commentaire"/>
    <w:link w:val="ObjetducommentaireCar"/>
    <w:uiPriority w:val="99"/>
    <w:semiHidden/>
    <w:unhideWhenUsed/>
    <w:rsid w:val="002E50A6"/>
    <w:rPr>
      <w:b/>
      <w:bCs/>
    </w:rPr>
  </w:style>
  <w:style w:type="character" w:customStyle="1" w:styleId="ObjetducommentaireCar">
    <w:name w:val="Objet du commentaire Car"/>
    <w:basedOn w:val="CommentaireCar"/>
    <w:link w:val="Objetducommentaire"/>
    <w:uiPriority w:val="99"/>
    <w:semiHidden/>
    <w:rsid w:val="002E50A6"/>
    <w:rPr>
      <w:b/>
      <w:bCs/>
      <w:sz w:val="20"/>
      <w:szCs w:val="20"/>
    </w:rPr>
  </w:style>
  <w:style w:type="character" w:styleId="Textedelespacerserv">
    <w:name w:val="Placeholder Text"/>
    <w:basedOn w:val="Policepardfaut"/>
    <w:uiPriority w:val="99"/>
    <w:semiHidden/>
    <w:rsid w:val="005662EE"/>
    <w:rPr>
      <w:color w:val="808080"/>
    </w:rPr>
  </w:style>
  <w:style w:type="paragraph" w:styleId="Rvision">
    <w:name w:val="Revision"/>
    <w:hidden/>
    <w:uiPriority w:val="99"/>
    <w:semiHidden/>
    <w:rsid w:val="00B06491"/>
    <w:pPr>
      <w:spacing w:after="0" w:line="240" w:lineRule="auto"/>
    </w:pPr>
  </w:style>
  <w:style w:type="paragraph" w:customStyle="1" w:styleId="Default">
    <w:name w:val="Default"/>
    <w:rsid w:val="00B06491"/>
    <w:pPr>
      <w:autoSpaceDE w:val="0"/>
      <w:autoSpaceDN w:val="0"/>
      <w:adjustRightInd w:val="0"/>
      <w:spacing w:after="0" w:line="240" w:lineRule="auto"/>
    </w:pPr>
    <w:rPr>
      <w:rFonts w:ascii="Calibri" w:hAnsi="Calibri" w:cs="Calibri"/>
      <w:color w:val="000000"/>
      <w:sz w:val="24"/>
      <w:szCs w:val="24"/>
    </w:rPr>
  </w:style>
  <w:style w:type="paragraph" w:styleId="Sansinterligne">
    <w:name w:val="No Spacing"/>
    <w:uiPriority w:val="1"/>
    <w:qFormat/>
    <w:rsid w:val="00C9593F"/>
    <w:pPr>
      <w:spacing w:after="0" w:line="240" w:lineRule="auto"/>
    </w:pPr>
  </w:style>
  <w:style w:type="paragraph" w:styleId="Lgende">
    <w:name w:val="caption"/>
    <w:basedOn w:val="Normal"/>
    <w:next w:val="Normal"/>
    <w:uiPriority w:val="35"/>
    <w:semiHidden/>
    <w:unhideWhenUsed/>
    <w:qFormat/>
    <w:rsid w:val="00C9593F"/>
    <w:rPr>
      <w:b/>
      <w:bCs/>
      <w:sz w:val="18"/>
      <w:szCs w:val="18"/>
    </w:rPr>
  </w:style>
  <w:style w:type="paragraph" w:styleId="Titre">
    <w:name w:val="Title"/>
    <w:basedOn w:val="Normal"/>
    <w:next w:val="Normal"/>
    <w:link w:val="TitreCar"/>
    <w:uiPriority w:val="10"/>
    <w:qFormat/>
    <w:rsid w:val="00C9593F"/>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TitreCar">
    <w:name w:val="Titre Car"/>
    <w:basedOn w:val="Policepardfaut"/>
    <w:link w:val="Titre"/>
    <w:uiPriority w:val="10"/>
    <w:rsid w:val="00C9593F"/>
    <w:rPr>
      <w:rFonts w:asciiTheme="majorHAnsi" w:eastAsiaTheme="majorEastAsia" w:hAnsiTheme="majorHAnsi" w:cstheme="majorBidi"/>
      <w:b/>
      <w:bCs/>
      <w:spacing w:val="-7"/>
      <w:sz w:val="48"/>
      <w:szCs w:val="48"/>
    </w:rPr>
  </w:style>
  <w:style w:type="paragraph" w:styleId="Sous-titre">
    <w:name w:val="Subtitle"/>
    <w:basedOn w:val="Normal"/>
    <w:next w:val="Normal"/>
    <w:link w:val="Sous-titreCar"/>
    <w:uiPriority w:val="11"/>
    <w:qFormat/>
    <w:rsid w:val="00C9593F"/>
    <w:pPr>
      <w:numPr>
        <w:ilvl w:val="1"/>
      </w:numPr>
      <w:spacing w:after="240"/>
      <w:jc w:val="center"/>
    </w:pPr>
    <w:rPr>
      <w:rFonts w:asciiTheme="majorHAnsi" w:eastAsiaTheme="majorEastAsia" w:hAnsiTheme="majorHAnsi" w:cstheme="majorBidi"/>
      <w:sz w:val="24"/>
      <w:szCs w:val="24"/>
    </w:rPr>
  </w:style>
  <w:style w:type="character" w:customStyle="1" w:styleId="Sous-titreCar">
    <w:name w:val="Sous-titre Car"/>
    <w:basedOn w:val="Policepardfaut"/>
    <w:link w:val="Sous-titre"/>
    <w:uiPriority w:val="11"/>
    <w:rsid w:val="00C9593F"/>
    <w:rPr>
      <w:rFonts w:asciiTheme="majorHAnsi" w:eastAsiaTheme="majorEastAsia" w:hAnsiTheme="majorHAnsi" w:cstheme="majorBidi"/>
      <w:sz w:val="24"/>
      <w:szCs w:val="24"/>
    </w:rPr>
  </w:style>
  <w:style w:type="character" w:styleId="lev">
    <w:name w:val="Strong"/>
    <w:basedOn w:val="Policepardfaut"/>
    <w:uiPriority w:val="22"/>
    <w:qFormat/>
    <w:rsid w:val="00C9593F"/>
    <w:rPr>
      <w:b/>
      <w:bCs/>
      <w:color w:val="auto"/>
    </w:rPr>
  </w:style>
  <w:style w:type="character" w:styleId="Accentuation">
    <w:name w:val="Emphasis"/>
    <w:basedOn w:val="Policepardfaut"/>
    <w:uiPriority w:val="20"/>
    <w:qFormat/>
    <w:rsid w:val="00C9593F"/>
    <w:rPr>
      <w:i/>
      <w:iCs/>
      <w:color w:val="auto"/>
    </w:rPr>
  </w:style>
  <w:style w:type="paragraph" w:styleId="Citation">
    <w:name w:val="Quote"/>
    <w:basedOn w:val="Normal"/>
    <w:next w:val="Normal"/>
    <w:link w:val="CitationCar"/>
    <w:uiPriority w:val="29"/>
    <w:qFormat/>
    <w:rsid w:val="00C9593F"/>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tionCar">
    <w:name w:val="Citation Car"/>
    <w:basedOn w:val="Policepardfaut"/>
    <w:link w:val="Citation"/>
    <w:uiPriority w:val="29"/>
    <w:rsid w:val="00C9593F"/>
    <w:rPr>
      <w:rFonts w:asciiTheme="majorHAnsi" w:eastAsiaTheme="majorEastAsia" w:hAnsiTheme="majorHAnsi" w:cstheme="majorBidi"/>
      <w:i/>
      <w:iCs/>
      <w:sz w:val="24"/>
      <w:szCs w:val="24"/>
    </w:rPr>
  </w:style>
  <w:style w:type="paragraph" w:styleId="Citationintense">
    <w:name w:val="Intense Quote"/>
    <w:basedOn w:val="Normal"/>
    <w:next w:val="Normal"/>
    <w:link w:val="CitationintenseCar"/>
    <w:uiPriority w:val="30"/>
    <w:qFormat/>
    <w:rsid w:val="00C9593F"/>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CitationintenseCar">
    <w:name w:val="Citation intense Car"/>
    <w:basedOn w:val="Policepardfaut"/>
    <w:link w:val="Citationintense"/>
    <w:uiPriority w:val="30"/>
    <w:rsid w:val="00C9593F"/>
    <w:rPr>
      <w:rFonts w:asciiTheme="majorHAnsi" w:eastAsiaTheme="majorEastAsia" w:hAnsiTheme="majorHAnsi" w:cstheme="majorBidi"/>
      <w:sz w:val="26"/>
      <w:szCs w:val="26"/>
    </w:rPr>
  </w:style>
  <w:style w:type="character" w:styleId="Emphaseple">
    <w:name w:val="Subtle Emphasis"/>
    <w:basedOn w:val="Policepardfaut"/>
    <w:uiPriority w:val="19"/>
    <w:qFormat/>
    <w:rsid w:val="00C9593F"/>
    <w:rPr>
      <w:i/>
      <w:iCs/>
      <w:color w:val="auto"/>
    </w:rPr>
  </w:style>
  <w:style w:type="character" w:styleId="Emphaseintense">
    <w:name w:val="Intense Emphasis"/>
    <w:basedOn w:val="Policepardfaut"/>
    <w:uiPriority w:val="21"/>
    <w:qFormat/>
    <w:rsid w:val="00C9593F"/>
    <w:rPr>
      <w:b/>
      <w:bCs/>
      <w:i/>
      <w:iCs/>
      <w:color w:val="auto"/>
    </w:rPr>
  </w:style>
  <w:style w:type="character" w:styleId="Rfrenceple">
    <w:name w:val="Subtle Reference"/>
    <w:basedOn w:val="Policepardfaut"/>
    <w:uiPriority w:val="31"/>
    <w:qFormat/>
    <w:rsid w:val="00C9593F"/>
    <w:rPr>
      <w:smallCaps/>
      <w:color w:val="auto"/>
      <w:u w:val="single" w:color="7F7F7F" w:themeColor="text1" w:themeTint="80"/>
    </w:rPr>
  </w:style>
  <w:style w:type="character" w:styleId="Rfrenceintense">
    <w:name w:val="Intense Reference"/>
    <w:basedOn w:val="Policepardfaut"/>
    <w:uiPriority w:val="32"/>
    <w:qFormat/>
    <w:rsid w:val="00C9593F"/>
    <w:rPr>
      <w:b/>
      <w:bCs/>
      <w:smallCaps/>
      <w:color w:val="auto"/>
      <w:u w:val="single"/>
    </w:rPr>
  </w:style>
  <w:style w:type="character" w:styleId="Titredulivre">
    <w:name w:val="Book Title"/>
    <w:basedOn w:val="Policepardfaut"/>
    <w:uiPriority w:val="33"/>
    <w:qFormat/>
    <w:rsid w:val="00C9593F"/>
    <w:rPr>
      <w:b/>
      <w:bCs/>
      <w:smallCaps/>
      <w:color w:val="auto"/>
    </w:rPr>
  </w:style>
  <w:style w:type="paragraph" w:styleId="En-ttedetabledesmatires">
    <w:name w:val="TOC Heading"/>
    <w:basedOn w:val="Titre1"/>
    <w:next w:val="Normal"/>
    <w:uiPriority w:val="39"/>
    <w:semiHidden/>
    <w:unhideWhenUsed/>
    <w:qFormat/>
    <w:rsid w:val="00C9593F"/>
    <w:pPr>
      <w:outlineLvl w:val="9"/>
    </w:pPr>
  </w:style>
  <w:style w:type="character" w:styleId="Lienhypertexte">
    <w:name w:val="Hyperlink"/>
    <w:basedOn w:val="Policepardfaut"/>
    <w:uiPriority w:val="99"/>
    <w:semiHidden/>
    <w:unhideWhenUsed/>
    <w:rsid w:val="00283BDE"/>
    <w:rPr>
      <w:color w:val="0000FF"/>
      <w:u w:val="single"/>
    </w:rPr>
  </w:style>
  <w:style w:type="paragraph" w:styleId="NormalWeb">
    <w:name w:val="Normal (Web)"/>
    <w:basedOn w:val="Normal"/>
    <w:uiPriority w:val="99"/>
    <w:semiHidden/>
    <w:unhideWhenUsed/>
    <w:rsid w:val="000F1904"/>
    <w:pPr>
      <w:spacing w:before="100" w:beforeAutospacing="1" w:after="100" w:afterAutospacing="1" w:line="240" w:lineRule="auto"/>
      <w:jc w:val="left"/>
    </w:pPr>
    <w:rPr>
      <w:rFonts w:ascii="Times New Roman" w:hAnsi="Times New Roman" w:cs="Times New Roman"/>
      <w:sz w:val="24"/>
      <w:szCs w:val="24"/>
      <w:lang w:eastAsia="fr-FR"/>
    </w:rPr>
  </w:style>
  <w:style w:type="paragraph" w:styleId="Bibliographie">
    <w:name w:val="Bibliography"/>
    <w:basedOn w:val="Normal"/>
    <w:next w:val="Normal"/>
    <w:uiPriority w:val="37"/>
    <w:unhideWhenUsed/>
    <w:rsid w:val="008649C3"/>
    <w:pPr>
      <w:spacing w:after="0" w:line="240" w:lineRule="auto"/>
      <w:ind w:left="720" w:hanging="720"/>
    </w:pPr>
  </w:style>
  <w:style w:type="character" w:customStyle="1" w:styleId="hwtze">
    <w:name w:val="hwtze"/>
    <w:basedOn w:val="Policepardfaut"/>
    <w:rsid w:val="003F3229"/>
  </w:style>
  <w:style w:type="character" w:customStyle="1" w:styleId="rynqvb">
    <w:name w:val="rynqvb"/>
    <w:basedOn w:val="Policepardfaut"/>
    <w:rsid w:val="003F3229"/>
  </w:style>
  <w:style w:type="character" w:styleId="Numrodeligne">
    <w:name w:val="line number"/>
    <w:basedOn w:val="Policepardfaut"/>
    <w:uiPriority w:val="99"/>
    <w:semiHidden/>
    <w:unhideWhenUsed/>
    <w:rsid w:val="00B45F94"/>
  </w:style>
  <w:style w:type="paragraph" w:styleId="En-tte">
    <w:name w:val="header"/>
    <w:basedOn w:val="Normal"/>
    <w:link w:val="En-tteCar"/>
    <w:uiPriority w:val="99"/>
    <w:unhideWhenUsed/>
    <w:rsid w:val="00941F74"/>
    <w:pPr>
      <w:tabs>
        <w:tab w:val="center" w:pos="4536"/>
        <w:tab w:val="right" w:pos="9072"/>
      </w:tabs>
      <w:spacing w:after="0" w:line="240" w:lineRule="auto"/>
    </w:pPr>
  </w:style>
  <w:style w:type="character" w:customStyle="1" w:styleId="En-tteCar">
    <w:name w:val="En-tête Car"/>
    <w:basedOn w:val="Policepardfaut"/>
    <w:link w:val="En-tte"/>
    <w:uiPriority w:val="99"/>
    <w:rsid w:val="00941F74"/>
  </w:style>
  <w:style w:type="paragraph" w:styleId="Pieddepage">
    <w:name w:val="footer"/>
    <w:basedOn w:val="Normal"/>
    <w:link w:val="PieddepageCar"/>
    <w:uiPriority w:val="99"/>
    <w:unhideWhenUsed/>
    <w:rsid w:val="00941F7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41F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824841">
      <w:bodyDiv w:val="1"/>
      <w:marLeft w:val="0"/>
      <w:marRight w:val="0"/>
      <w:marTop w:val="0"/>
      <w:marBottom w:val="0"/>
      <w:divBdr>
        <w:top w:val="none" w:sz="0" w:space="0" w:color="auto"/>
        <w:left w:val="none" w:sz="0" w:space="0" w:color="auto"/>
        <w:bottom w:val="none" w:sz="0" w:space="0" w:color="auto"/>
        <w:right w:val="none" w:sz="0" w:space="0" w:color="auto"/>
      </w:divBdr>
    </w:div>
    <w:div w:id="263147910">
      <w:bodyDiv w:val="1"/>
      <w:marLeft w:val="0"/>
      <w:marRight w:val="0"/>
      <w:marTop w:val="0"/>
      <w:marBottom w:val="0"/>
      <w:divBdr>
        <w:top w:val="none" w:sz="0" w:space="0" w:color="auto"/>
        <w:left w:val="none" w:sz="0" w:space="0" w:color="auto"/>
        <w:bottom w:val="none" w:sz="0" w:space="0" w:color="auto"/>
        <w:right w:val="none" w:sz="0" w:space="0" w:color="auto"/>
      </w:divBdr>
    </w:div>
    <w:div w:id="266960686">
      <w:bodyDiv w:val="1"/>
      <w:marLeft w:val="0"/>
      <w:marRight w:val="0"/>
      <w:marTop w:val="0"/>
      <w:marBottom w:val="0"/>
      <w:divBdr>
        <w:top w:val="none" w:sz="0" w:space="0" w:color="auto"/>
        <w:left w:val="none" w:sz="0" w:space="0" w:color="auto"/>
        <w:bottom w:val="none" w:sz="0" w:space="0" w:color="auto"/>
        <w:right w:val="none" w:sz="0" w:space="0" w:color="auto"/>
      </w:divBdr>
    </w:div>
    <w:div w:id="330915712">
      <w:bodyDiv w:val="1"/>
      <w:marLeft w:val="0"/>
      <w:marRight w:val="0"/>
      <w:marTop w:val="0"/>
      <w:marBottom w:val="0"/>
      <w:divBdr>
        <w:top w:val="none" w:sz="0" w:space="0" w:color="auto"/>
        <w:left w:val="none" w:sz="0" w:space="0" w:color="auto"/>
        <w:bottom w:val="none" w:sz="0" w:space="0" w:color="auto"/>
        <w:right w:val="none" w:sz="0" w:space="0" w:color="auto"/>
      </w:divBdr>
    </w:div>
    <w:div w:id="362749684">
      <w:bodyDiv w:val="1"/>
      <w:marLeft w:val="0"/>
      <w:marRight w:val="0"/>
      <w:marTop w:val="0"/>
      <w:marBottom w:val="0"/>
      <w:divBdr>
        <w:top w:val="none" w:sz="0" w:space="0" w:color="auto"/>
        <w:left w:val="none" w:sz="0" w:space="0" w:color="auto"/>
        <w:bottom w:val="none" w:sz="0" w:space="0" w:color="auto"/>
        <w:right w:val="none" w:sz="0" w:space="0" w:color="auto"/>
      </w:divBdr>
    </w:div>
    <w:div w:id="497619509">
      <w:bodyDiv w:val="1"/>
      <w:marLeft w:val="0"/>
      <w:marRight w:val="0"/>
      <w:marTop w:val="0"/>
      <w:marBottom w:val="0"/>
      <w:divBdr>
        <w:top w:val="none" w:sz="0" w:space="0" w:color="auto"/>
        <w:left w:val="none" w:sz="0" w:space="0" w:color="auto"/>
        <w:bottom w:val="none" w:sz="0" w:space="0" w:color="auto"/>
        <w:right w:val="none" w:sz="0" w:space="0" w:color="auto"/>
      </w:divBdr>
    </w:div>
    <w:div w:id="595788598">
      <w:bodyDiv w:val="1"/>
      <w:marLeft w:val="0"/>
      <w:marRight w:val="0"/>
      <w:marTop w:val="0"/>
      <w:marBottom w:val="0"/>
      <w:divBdr>
        <w:top w:val="none" w:sz="0" w:space="0" w:color="auto"/>
        <w:left w:val="none" w:sz="0" w:space="0" w:color="auto"/>
        <w:bottom w:val="none" w:sz="0" w:space="0" w:color="auto"/>
        <w:right w:val="none" w:sz="0" w:space="0" w:color="auto"/>
      </w:divBdr>
    </w:div>
    <w:div w:id="613484781">
      <w:bodyDiv w:val="1"/>
      <w:marLeft w:val="0"/>
      <w:marRight w:val="0"/>
      <w:marTop w:val="0"/>
      <w:marBottom w:val="0"/>
      <w:divBdr>
        <w:top w:val="none" w:sz="0" w:space="0" w:color="auto"/>
        <w:left w:val="none" w:sz="0" w:space="0" w:color="auto"/>
        <w:bottom w:val="none" w:sz="0" w:space="0" w:color="auto"/>
        <w:right w:val="none" w:sz="0" w:space="0" w:color="auto"/>
      </w:divBdr>
    </w:div>
    <w:div w:id="824974318">
      <w:bodyDiv w:val="1"/>
      <w:marLeft w:val="0"/>
      <w:marRight w:val="0"/>
      <w:marTop w:val="0"/>
      <w:marBottom w:val="0"/>
      <w:divBdr>
        <w:top w:val="none" w:sz="0" w:space="0" w:color="auto"/>
        <w:left w:val="none" w:sz="0" w:space="0" w:color="auto"/>
        <w:bottom w:val="none" w:sz="0" w:space="0" w:color="auto"/>
        <w:right w:val="none" w:sz="0" w:space="0" w:color="auto"/>
      </w:divBdr>
    </w:div>
    <w:div w:id="901330153">
      <w:bodyDiv w:val="1"/>
      <w:marLeft w:val="0"/>
      <w:marRight w:val="0"/>
      <w:marTop w:val="0"/>
      <w:marBottom w:val="0"/>
      <w:divBdr>
        <w:top w:val="none" w:sz="0" w:space="0" w:color="auto"/>
        <w:left w:val="none" w:sz="0" w:space="0" w:color="auto"/>
        <w:bottom w:val="none" w:sz="0" w:space="0" w:color="auto"/>
        <w:right w:val="none" w:sz="0" w:space="0" w:color="auto"/>
      </w:divBdr>
    </w:div>
    <w:div w:id="901595628">
      <w:bodyDiv w:val="1"/>
      <w:marLeft w:val="0"/>
      <w:marRight w:val="0"/>
      <w:marTop w:val="0"/>
      <w:marBottom w:val="0"/>
      <w:divBdr>
        <w:top w:val="none" w:sz="0" w:space="0" w:color="auto"/>
        <w:left w:val="none" w:sz="0" w:space="0" w:color="auto"/>
        <w:bottom w:val="none" w:sz="0" w:space="0" w:color="auto"/>
        <w:right w:val="none" w:sz="0" w:space="0" w:color="auto"/>
      </w:divBdr>
    </w:div>
    <w:div w:id="1078746006">
      <w:bodyDiv w:val="1"/>
      <w:marLeft w:val="0"/>
      <w:marRight w:val="0"/>
      <w:marTop w:val="0"/>
      <w:marBottom w:val="0"/>
      <w:divBdr>
        <w:top w:val="none" w:sz="0" w:space="0" w:color="auto"/>
        <w:left w:val="none" w:sz="0" w:space="0" w:color="auto"/>
        <w:bottom w:val="none" w:sz="0" w:space="0" w:color="auto"/>
        <w:right w:val="none" w:sz="0" w:space="0" w:color="auto"/>
      </w:divBdr>
    </w:div>
    <w:div w:id="1287662014">
      <w:bodyDiv w:val="1"/>
      <w:marLeft w:val="0"/>
      <w:marRight w:val="0"/>
      <w:marTop w:val="0"/>
      <w:marBottom w:val="0"/>
      <w:divBdr>
        <w:top w:val="none" w:sz="0" w:space="0" w:color="auto"/>
        <w:left w:val="none" w:sz="0" w:space="0" w:color="auto"/>
        <w:bottom w:val="none" w:sz="0" w:space="0" w:color="auto"/>
        <w:right w:val="none" w:sz="0" w:space="0" w:color="auto"/>
      </w:divBdr>
    </w:div>
    <w:div w:id="1778669130">
      <w:bodyDiv w:val="1"/>
      <w:marLeft w:val="0"/>
      <w:marRight w:val="0"/>
      <w:marTop w:val="0"/>
      <w:marBottom w:val="0"/>
      <w:divBdr>
        <w:top w:val="none" w:sz="0" w:space="0" w:color="auto"/>
        <w:left w:val="none" w:sz="0" w:space="0" w:color="auto"/>
        <w:bottom w:val="none" w:sz="0" w:space="0" w:color="auto"/>
        <w:right w:val="none" w:sz="0" w:space="0" w:color="auto"/>
      </w:divBdr>
    </w:div>
    <w:div w:id="1836533594">
      <w:bodyDiv w:val="1"/>
      <w:marLeft w:val="0"/>
      <w:marRight w:val="0"/>
      <w:marTop w:val="0"/>
      <w:marBottom w:val="0"/>
      <w:divBdr>
        <w:top w:val="none" w:sz="0" w:space="0" w:color="auto"/>
        <w:left w:val="none" w:sz="0" w:space="0" w:color="auto"/>
        <w:bottom w:val="none" w:sz="0" w:space="0" w:color="auto"/>
        <w:right w:val="none" w:sz="0" w:space="0" w:color="auto"/>
      </w:divBdr>
    </w:div>
    <w:div w:id="1872184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B87FF5-DD41-4EDD-A510-7792076B82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48</Pages>
  <Words>69780</Words>
  <Characters>383793</Characters>
  <Application>Microsoft Office Word</Application>
  <DocSecurity>0</DocSecurity>
  <Lines>3198</Lines>
  <Paragraphs>905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452668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PLANCHER Clara</dc:creator>
  <cp:lastModifiedBy>Compte Microsoft</cp:lastModifiedBy>
  <cp:revision>12</cp:revision>
  <dcterms:created xsi:type="dcterms:W3CDTF">2023-03-15T09:39:00Z</dcterms:created>
  <dcterms:modified xsi:type="dcterms:W3CDTF">2023-03-16T15:50:00Z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zotero-version="6.0.23"&gt;&lt;session id="tUHEsdEP"/&gt;&lt;style id="http://www.zotero.org/styles/ecological-indicators" hasBibliography="1" bibliographyStyleHasBeenSet="1"/&gt;&lt;prefs&gt;&lt;pref name="fieldType" value="Field"/&gt;&lt;pref name="automaticJo</vt:lpwstr>
  </property>
  <property fmtid="{D5CDD505-2E9C-101B-9397-08002B2CF9AE}" pid="3" name="ZOTERO_PREF_2">
    <vt:lpwstr>urnalAbbreviations" value="true"/&gt;&lt;/prefs&gt;&lt;/data&gt;</vt:lpwstr>
  </property>
</Properties>
</file>