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5FC483" w14:textId="77777777" w:rsidR="0014356F" w:rsidRPr="00706F48" w:rsidRDefault="0014356F" w:rsidP="0014356F">
      <w:pPr>
        <w:pStyle w:val="MDPI11articletype"/>
      </w:pPr>
      <w:r w:rsidRPr="00706F48">
        <w:t>Article</w:t>
      </w:r>
    </w:p>
    <w:p w14:paraId="5E02DB43" w14:textId="7C138E45" w:rsidR="0014356F" w:rsidRPr="00706F48" w:rsidRDefault="00701344" w:rsidP="0014356F">
      <w:pPr>
        <w:pStyle w:val="MDPI12title"/>
        <w:spacing w:line="240" w:lineRule="atLeast"/>
      </w:pPr>
      <w:r>
        <w:t>Sea Surface Salinity Seasonal Variability in the Tropics from Satellite</w:t>
      </w:r>
      <w:r w:rsidR="00E50A6F">
        <w:t>s</w:t>
      </w:r>
      <w:r w:rsidR="00FC4D40">
        <w:t>, in situ</w:t>
      </w:r>
      <w:r>
        <w:t xml:space="preserve"> </w:t>
      </w:r>
      <w:r w:rsidR="00E50A6F">
        <w:t xml:space="preserve">compilations </w:t>
      </w:r>
      <w:r>
        <w:t>and Mooring Observations</w:t>
      </w:r>
    </w:p>
    <w:p w14:paraId="2EA274FB" w14:textId="3FA90EA9" w:rsidR="0014356F" w:rsidRPr="001A23A7" w:rsidRDefault="00701344" w:rsidP="0014356F">
      <w:pPr>
        <w:pStyle w:val="MDPI13authornames"/>
      </w:pPr>
      <w:r>
        <w:t>Frederick M.</w:t>
      </w:r>
      <w:r w:rsidR="0014356F" w:rsidRPr="00706F48">
        <w:t xml:space="preserve"> </w:t>
      </w:r>
      <w:r>
        <w:t>Bingham</w:t>
      </w:r>
      <w:r w:rsidR="0014356F" w:rsidRPr="00706F48">
        <w:t xml:space="preserve"> </w:t>
      </w:r>
      <w:r w:rsidR="0014356F" w:rsidRPr="00706F48">
        <w:rPr>
          <w:vertAlign w:val="superscript"/>
        </w:rPr>
        <w:t>1</w:t>
      </w:r>
      <w:r>
        <w:rPr>
          <w:vertAlign w:val="superscript"/>
        </w:rPr>
        <w:t>*</w:t>
      </w:r>
      <w:r w:rsidR="0014356F" w:rsidRPr="00706F48">
        <w:t xml:space="preserve">, </w:t>
      </w:r>
      <w:r>
        <w:t>Susannah</w:t>
      </w:r>
      <w:r w:rsidR="0014356F" w:rsidRPr="00706F48">
        <w:t xml:space="preserve"> </w:t>
      </w:r>
      <w:proofErr w:type="spellStart"/>
      <w:r>
        <w:t>Brodnitz</w:t>
      </w:r>
      <w:proofErr w:type="spellEnd"/>
      <w:r w:rsidR="0014356F" w:rsidRPr="00706F48">
        <w:t xml:space="preserve"> </w:t>
      </w:r>
      <w:r w:rsidR="001A23A7">
        <w:rPr>
          <w:vertAlign w:val="superscript"/>
        </w:rPr>
        <w:t>2</w:t>
      </w:r>
      <w:r w:rsidR="001A23A7">
        <w:t xml:space="preserve">, and </w:t>
      </w:r>
      <w:proofErr w:type="spellStart"/>
      <w:r w:rsidR="001A23A7">
        <w:t>Lisan</w:t>
      </w:r>
      <w:proofErr w:type="spellEnd"/>
      <w:r w:rsidR="001A23A7">
        <w:t xml:space="preserve"> Yu</w:t>
      </w:r>
      <w:r w:rsidR="001A23A7">
        <w:rPr>
          <w:vertAlign w:val="superscript"/>
        </w:rPr>
        <w:t>3</w:t>
      </w:r>
    </w:p>
    <w:p w14:paraId="296E7A48" w14:textId="6E27F5F4" w:rsidR="0014356F" w:rsidRPr="00706F48" w:rsidRDefault="0014356F" w:rsidP="0014356F">
      <w:pPr>
        <w:pStyle w:val="MDPI16affiliation"/>
      </w:pPr>
      <w:r w:rsidRPr="00706F48">
        <w:rPr>
          <w:vertAlign w:val="superscript"/>
        </w:rPr>
        <w:t>1</w:t>
      </w:r>
      <w:r w:rsidRPr="00706F48">
        <w:tab/>
      </w:r>
      <w:r w:rsidR="0016220D" w:rsidRPr="0016220D">
        <w:t>Center for Marine Science, University of North Carolina Wilmington, NC 28403-5928, USA; binghamf@uncw.edu</w:t>
      </w:r>
    </w:p>
    <w:p w14:paraId="0E39593E" w14:textId="2D0C82AD" w:rsidR="00B61E1A" w:rsidRPr="00706F48" w:rsidRDefault="00B61E1A" w:rsidP="00B61E1A">
      <w:pPr>
        <w:pStyle w:val="MDPI16affiliation"/>
      </w:pPr>
      <w:r w:rsidRPr="00706F48">
        <w:rPr>
          <w:szCs w:val="20"/>
          <w:vertAlign w:val="superscript"/>
        </w:rPr>
        <w:t>2</w:t>
      </w:r>
      <w:r w:rsidRPr="00706F48">
        <w:rPr>
          <w:szCs w:val="20"/>
        </w:rPr>
        <w:tab/>
      </w:r>
      <w:r>
        <w:t>University of North Carolina Wilmington</w:t>
      </w:r>
      <w:r w:rsidRPr="00706F48">
        <w:rPr>
          <w:szCs w:val="20"/>
        </w:rPr>
        <w:t xml:space="preserve">; </w:t>
      </w:r>
      <w:r>
        <w:t>skbrodnitz</w:t>
      </w:r>
      <w:r w:rsidRPr="00706F48">
        <w:t>@</w:t>
      </w:r>
      <w:r>
        <w:t>g</w:t>
      </w:r>
      <w:r w:rsidRPr="00706F48">
        <w:t>mail.com</w:t>
      </w:r>
    </w:p>
    <w:p w14:paraId="76CC6FF2" w14:textId="71A3D19B" w:rsidR="00B61E1A" w:rsidRPr="00706F48" w:rsidRDefault="00E33FDA" w:rsidP="00B61E1A">
      <w:pPr>
        <w:pStyle w:val="MDPI16affiliation"/>
      </w:pPr>
      <w:r>
        <w:rPr>
          <w:szCs w:val="20"/>
          <w:vertAlign w:val="superscript"/>
        </w:rPr>
        <w:t>3</w:t>
      </w:r>
      <w:r w:rsidR="00B61E1A" w:rsidRPr="00706F48">
        <w:rPr>
          <w:szCs w:val="20"/>
        </w:rPr>
        <w:tab/>
      </w:r>
      <w:r w:rsidR="00B61E1A">
        <w:rPr>
          <w:szCs w:val="20"/>
        </w:rPr>
        <w:t>Woods Hole Oceanographic Institution</w:t>
      </w:r>
      <w:r w:rsidR="00B61E1A" w:rsidRPr="00706F48">
        <w:rPr>
          <w:szCs w:val="20"/>
        </w:rPr>
        <w:t xml:space="preserve">; </w:t>
      </w:r>
      <w:r w:rsidR="00B61E1A">
        <w:t>lyu</w:t>
      </w:r>
      <w:r w:rsidR="00B61E1A" w:rsidRPr="00706F48">
        <w:t>@</w:t>
      </w:r>
      <w:r w:rsidR="00B61E1A">
        <w:t>whoi.edu</w:t>
      </w:r>
    </w:p>
    <w:p w14:paraId="0F66F05E" w14:textId="4C2740F2" w:rsidR="0014356F" w:rsidRPr="00706F48" w:rsidRDefault="0014356F" w:rsidP="0014356F">
      <w:pPr>
        <w:pStyle w:val="MDPI14history"/>
        <w:spacing w:before="0"/>
        <w:ind w:left="311" w:hanging="198"/>
      </w:pPr>
      <w:r w:rsidRPr="00706F48">
        <w:rPr>
          <w:b/>
        </w:rPr>
        <w:t>*</w:t>
      </w:r>
      <w:r w:rsidRPr="00706F48">
        <w:tab/>
        <w:t xml:space="preserve">Correspondence: </w:t>
      </w:r>
      <w:r w:rsidR="00701344">
        <w:t>bingham</w:t>
      </w:r>
      <w:r w:rsidR="0016220D">
        <w:t>f</w:t>
      </w:r>
      <w:r w:rsidRPr="00706F48">
        <w:t>@</w:t>
      </w:r>
      <w:r w:rsidR="0016220D">
        <w:t>uncw.edu</w:t>
      </w:r>
      <w:r w:rsidRPr="00706F48">
        <w:t xml:space="preserve">; </w:t>
      </w:r>
      <w:r w:rsidR="00046F7B">
        <w:t>Tel.: +</w:t>
      </w:r>
      <w:r w:rsidR="00701344">
        <w:t>1</w:t>
      </w:r>
      <w:r w:rsidR="00046F7B">
        <w:t>-</w:t>
      </w:r>
      <w:r w:rsidR="00701344">
        <w:t>910</w:t>
      </w:r>
      <w:r w:rsidR="00046F7B">
        <w:t>-</w:t>
      </w:r>
      <w:r w:rsidR="00701344">
        <w:t>962</w:t>
      </w:r>
      <w:r w:rsidR="00046F7B">
        <w:t>-</w:t>
      </w:r>
      <w:r w:rsidR="00701344">
        <w:t>2383</w:t>
      </w:r>
    </w:p>
    <w:p w14:paraId="7B200A1B" w14:textId="77777777" w:rsidR="0014356F" w:rsidRPr="00706F48" w:rsidRDefault="0014356F" w:rsidP="0014356F">
      <w:pPr>
        <w:pStyle w:val="MDPI14history"/>
      </w:pPr>
      <w:r w:rsidRPr="008D5B7C">
        <w:rPr>
          <w:highlight w:val="yellow"/>
        </w:rPr>
        <w:t>Received: date; Accepted: date; Published: date</w:t>
      </w:r>
    </w:p>
    <w:p w14:paraId="4047E35E" w14:textId="22EB5C58" w:rsidR="00E50A6F" w:rsidRDefault="0014356F" w:rsidP="0014356F">
      <w:pPr>
        <w:pStyle w:val="MDPI17abstract"/>
        <w:rPr>
          <w:b/>
        </w:rPr>
      </w:pPr>
      <w:r w:rsidRPr="00706F48">
        <w:rPr>
          <w:b/>
        </w:rPr>
        <w:t xml:space="preserve">Abstract: </w:t>
      </w:r>
      <w:r w:rsidR="00E50A6F" w:rsidRPr="0004307C">
        <w:rPr>
          <w:bCs/>
        </w:rPr>
        <w:t xml:space="preserve">Satellite observations of sea surface salinity (SSS) have been validated in a number of instances using different forms of in situ data. One of the most energetic timescales of variability of SSS is the seasonal. Thus, it is important to know </w:t>
      </w:r>
      <w:r w:rsidR="007D2DB3" w:rsidRPr="0004307C">
        <w:rPr>
          <w:bCs/>
        </w:rPr>
        <w:t>if satellites are getting the seasonal variability correct</w:t>
      </w:r>
      <w:r w:rsidR="009C67CD" w:rsidRPr="0004307C">
        <w:rPr>
          <w:bCs/>
        </w:rPr>
        <w:t xml:space="preserve">, and if the </w:t>
      </w:r>
      <w:proofErr w:type="gramStart"/>
      <w:r w:rsidR="009C67CD" w:rsidRPr="0004307C">
        <w:rPr>
          <w:bCs/>
        </w:rPr>
        <w:t>in situ</w:t>
      </w:r>
      <w:proofErr w:type="gramEnd"/>
      <w:r w:rsidR="009C67CD" w:rsidRPr="0004307C">
        <w:rPr>
          <w:bCs/>
        </w:rPr>
        <w:t xml:space="preserve"> products being used for validation are correct as well</w:t>
      </w:r>
      <w:r w:rsidR="007D2DB3" w:rsidRPr="0004307C">
        <w:rPr>
          <w:bCs/>
        </w:rPr>
        <w:t xml:space="preserve">. In this study we validate </w:t>
      </w:r>
      <w:r w:rsidR="005A4A77">
        <w:rPr>
          <w:bCs/>
        </w:rPr>
        <w:t xml:space="preserve">SSS from </w:t>
      </w:r>
      <w:r w:rsidR="007D2DB3" w:rsidRPr="0004307C">
        <w:rPr>
          <w:bCs/>
        </w:rPr>
        <w:t xml:space="preserve">satellite </w:t>
      </w:r>
      <w:r w:rsidR="009C67CD" w:rsidRPr="0004307C">
        <w:rPr>
          <w:bCs/>
        </w:rPr>
        <w:t xml:space="preserve">and in situ products </w:t>
      </w:r>
      <w:r w:rsidR="007D2DB3" w:rsidRPr="0004307C">
        <w:rPr>
          <w:bCs/>
        </w:rPr>
        <w:t>using observations from moorings in the global tropical moored buoy array.</w:t>
      </w:r>
      <w:r w:rsidR="009C67CD" w:rsidRPr="0004307C">
        <w:rPr>
          <w:bCs/>
        </w:rPr>
        <w:t xml:space="preserve"> We utilize 6 different satellite products, and two different in situ compilation products. For each product we have computed </w:t>
      </w:r>
      <w:r w:rsidR="008F5DF6" w:rsidRPr="0004307C">
        <w:rPr>
          <w:bCs/>
        </w:rPr>
        <w:t xml:space="preserve">seasonal </w:t>
      </w:r>
      <w:r w:rsidR="009C67CD" w:rsidRPr="0004307C">
        <w:rPr>
          <w:bCs/>
        </w:rPr>
        <w:t>harmonics</w:t>
      </w:r>
      <w:r w:rsidR="008F5DF6" w:rsidRPr="0004307C">
        <w:rPr>
          <w:bCs/>
        </w:rPr>
        <w:t>, including amplitude, phase and fraction of variance</w:t>
      </w:r>
      <w:r w:rsidR="00093CA7" w:rsidRPr="0004307C">
        <w:rPr>
          <w:bCs/>
        </w:rPr>
        <w:t xml:space="preserve"> (R</w:t>
      </w:r>
      <w:r w:rsidR="00093CA7" w:rsidRPr="0004307C">
        <w:rPr>
          <w:bCs/>
          <w:vertAlign w:val="superscript"/>
        </w:rPr>
        <w:t>2</w:t>
      </w:r>
      <w:r w:rsidR="00093CA7" w:rsidRPr="0004307C">
        <w:rPr>
          <w:bCs/>
        </w:rPr>
        <w:t>)</w:t>
      </w:r>
      <w:r w:rsidR="008F5DF6" w:rsidRPr="0004307C">
        <w:rPr>
          <w:bCs/>
        </w:rPr>
        <w:t>. These quantities are mapped for each product and</w:t>
      </w:r>
      <w:r w:rsidR="00093CA7" w:rsidRPr="0004307C">
        <w:rPr>
          <w:bCs/>
        </w:rPr>
        <w:t xml:space="preserve"> for</w:t>
      </w:r>
      <w:r w:rsidR="008F5DF6" w:rsidRPr="0004307C">
        <w:rPr>
          <w:bCs/>
        </w:rPr>
        <w:t xml:space="preserve"> the moorings. We also do comparisons </w:t>
      </w:r>
      <w:r w:rsidR="00093CA7" w:rsidRPr="0004307C">
        <w:rPr>
          <w:bCs/>
        </w:rPr>
        <w:t>of</w:t>
      </w:r>
      <w:r w:rsidR="008F5DF6" w:rsidRPr="0004307C">
        <w:rPr>
          <w:bCs/>
        </w:rPr>
        <w:t xml:space="preserve"> amplitude, phase and </w:t>
      </w:r>
      <w:r w:rsidR="00093CA7" w:rsidRPr="0004307C">
        <w:rPr>
          <w:bCs/>
        </w:rPr>
        <w:t>R</w:t>
      </w:r>
      <w:r w:rsidR="00093CA7" w:rsidRPr="0004307C">
        <w:rPr>
          <w:bCs/>
          <w:vertAlign w:val="superscript"/>
        </w:rPr>
        <w:t>2</w:t>
      </w:r>
      <w:r w:rsidR="00093CA7" w:rsidRPr="0004307C">
        <w:rPr>
          <w:bCs/>
        </w:rPr>
        <w:t xml:space="preserve"> between moorings and all the satellite and in situ products.</w:t>
      </w:r>
      <w:r w:rsidR="00A46B42" w:rsidRPr="0004307C">
        <w:rPr>
          <w:bCs/>
        </w:rPr>
        <w:t xml:space="preserve"> Taking the mooring observations as ground truth, we find general good agreement between them and the satellite and in situ products, with near zero bias in phase and amplitude and small RMS differences.</w:t>
      </w:r>
      <w:r w:rsidR="00E816E8" w:rsidRPr="0004307C">
        <w:rPr>
          <w:bCs/>
        </w:rPr>
        <w:t xml:space="preserve"> Tables are presented with these quantities for each product quantifying the degree of agreement.</w:t>
      </w:r>
    </w:p>
    <w:p w14:paraId="401DAB98" w14:textId="64CD9A2C" w:rsidR="0014356F" w:rsidRPr="00706F48" w:rsidRDefault="0014356F" w:rsidP="0014356F">
      <w:pPr>
        <w:pStyle w:val="MDPI18keywords"/>
      </w:pPr>
      <w:r w:rsidRPr="00706F48">
        <w:rPr>
          <w:b/>
        </w:rPr>
        <w:t xml:space="preserve">Keywords: </w:t>
      </w:r>
      <w:r w:rsidR="000A455D">
        <w:rPr>
          <w:b/>
        </w:rPr>
        <w:t>sea surface salinity, seasonal variability, satellite validation, harmonic analysis, mooring observations</w:t>
      </w:r>
    </w:p>
    <w:p w14:paraId="4D4CC813" w14:textId="77777777" w:rsidR="0014356F" w:rsidRPr="00706F48" w:rsidRDefault="0014356F" w:rsidP="0014356F">
      <w:pPr>
        <w:pStyle w:val="MDPI19line"/>
      </w:pPr>
    </w:p>
    <w:p w14:paraId="15A46349" w14:textId="77777777" w:rsidR="0014356F" w:rsidRPr="00706F48" w:rsidRDefault="0014356F" w:rsidP="0014356F">
      <w:pPr>
        <w:pStyle w:val="MDPI31text"/>
        <w:rPr>
          <w:lang w:eastAsia="zh-CN"/>
        </w:rPr>
      </w:pPr>
    </w:p>
    <w:p w14:paraId="5E81ADF3" w14:textId="77777777" w:rsidR="0014356F" w:rsidRPr="00706F48" w:rsidRDefault="0014356F" w:rsidP="0014356F">
      <w:pPr>
        <w:pStyle w:val="MDPI21heading1"/>
      </w:pPr>
      <w:r w:rsidRPr="00706F48">
        <w:rPr>
          <w:lang w:eastAsia="zh-CN"/>
        </w:rPr>
        <w:t xml:space="preserve">1. </w:t>
      </w:r>
      <w:r w:rsidRPr="00706F48">
        <w:t>Introduction</w:t>
      </w:r>
    </w:p>
    <w:p w14:paraId="2FFB3997" w14:textId="4AB279B5" w:rsidR="0014356F" w:rsidRDefault="00EE70DB" w:rsidP="0014356F">
      <w:pPr>
        <w:pStyle w:val="MDPI31text"/>
      </w:pPr>
      <w:bookmarkStart w:id="0" w:name="OLE_LINK1"/>
      <w:bookmarkStart w:id="1" w:name="OLE_LINK2"/>
      <w:r>
        <w:t>Sea surface salinity (SSS) has been observed by satellite for over 10 years since the launch of the SMOS (Soil Moisture and Ocean Salinity</w:t>
      </w:r>
      <w:r w:rsidR="00A11908">
        <w:t xml:space="preserve">; </w:t>
      </w:r>
      <w:r w:rsidR="009F1318">
        <w:t>[1]</w:t>
      </w:r>
      <w:r>
        <w:t>) instrument in 2009.</w:t>
      </w:r>
      <w:r w:rsidR="00481EF0">
        <w:t xml:space="preserve"> Since </w:t>
      </w:r>
      <w:proofErr w:type="gramStart"/>
      <w:r w:rsidR="00481EF0">
        <w:t>then</w:t>
      </w:r>
      <w:proofErr w:type="gramEnd"/>
      <w:r w:rsidR="00481EF0">
        <w:t xml:space="preserve"> two other satellites have been </w:t>
      </w:r>
      <w:r w:rsidR="00A04303">
        <w:t>launched by NASA</w:t>
      </w:r>
      <w:r w:rsidR="00416E69">
        <w:t xml:space="preserve"> that have measured SSS from space</w:t>
      </w:r>
      <w:r w:rsidR="00A04303">
        <w:t>, Aquarius (2011-2015)</w:t>
      </w:r>
      <w:r w:rsidR="00750BA0">
        <w:t xml:space="preserve"> </w:t>
      </w:r>
      <w:r w:rsidR="00F57FA1">
        <w:t>[2]</w:t>
      </w:r>
      <w:r w:rsidR="00A04303">
        <w:t xml:space="preserve"> and SMAP (Soil Moisture Active Passive; 2015-present</w:t>
      </w:r>
      <w:r w:rsidR="006A480C">
        <w:t xml:space="preserve">) </w:t>
      </w:r>
      <w:r w:rsidR="00750BA0">
        <w:t>[</w:t>
      </w:r>
      <w:r w:rsidR="00F57FA1">
        <w:t>3]</w:t>
      </w:r>
      <w:r w:rsidR="00416E69">
        <w:t xml:space="preserve">. Validation of these datasets has occurred in a number of contexts by comparison </w:t>
      </w:r>
      <w:proofErr w:type="gramStart"/>
      <w:r w:rsidR="00416E69">
        <w:t>with in</w:t>
      </w:r>
      <w:proofErr w:type="gramEnd"/>
      <w:r w:rsidR="00416E69">
        <w:t xml:space="preserve"> situ data </w:t>
      </w:r>
      <w:r w:rsidR="00F57FA1">
        <w:t>[4-1</w:t>
      </w:r>
      <w:r w:rsidR="003D285E">
        <w:t>2</w:t>
      </w:r>
      <w:r w:rsidR="00F57FA1">
        <w:t>]</w:t>
      </w:r>
      <w:r w:rsidR="00DC28E6">
        <w:t>.</w:t>
      </w:r>
      <w:r w:rsidR="00685F13">
        <w:t xml:space="preserve"> Typically, </w:t>
      </w:r>
      <w:r w:rsidR="00F6607D">
        <w:t>individual satellite measurements are compared with nearby in situ measurements such as Argo floats</w:t>
      </w:r>
      <w:r w:rsidR="00F17720">
        <w:t xml:space="preserve"> </w:t>
      </w:r>
      <w:r w:rsidR="00750BA0">
        <w:t>[</w:t>
      </w:r>
      <w:r w:rsidR="00F57FA1">
        <w:t>1</w:t>
      </w:r>
      <w:r w:rsidR="003D285E">
        <w:t>1</w:t>
      </w:r>
      <w:r w:rsidR="00F57FA1">
        <w:t>]</w:t>
      </w:r>
      <w:r w:rsidR="00F17720">
        <w:t xml:space="preserve">, or more commonly with gridded </w:t>
      </w:r>
      <w:r w:rsidR="00142275">
        <w:t xml:space="preserve">Argo </w:t>
      </w:r>
      <w:r w:rsidR="00F17720">
        <w:t xml:space="preserve">products such as that of </w:t>
      </w:r>
      <w:r w:rsidR="00750BA0">
        <w:t>[</w:t>
      </w:r>
      <w:r w:rsidR="00F57FA1">
        <w:t>1</w:t>
      </w:r>
      <w:r w:rsidR="003D285E">
        <w:t>3</w:t>
      </w:r>
      <w:r w:rsidR="00F57FA1">
        <w:t>]</w:t>
      </w:r>
      <w:r w:rsidR="00A942E7">
        <w:t xml:space="preserve"> or the global HYCOM </w:t>
      </w:r>
      <w:r w:rsidR="00B22F0C">
        <w:t xml:space="preserve">(Hybrid Coordinate Ocean Model) </w:t>
      </w:r>
      <w:r w:rsidR="00F57FA1">
        <w:t>[3]</w:t>
      </w:r>
      <w:r w:rsidR="00F17720">
        <w:t xml:space="preserve">. Problems exist with this type of </w:t>
      </w:r>
      <w:proofErr w:type="gramStart"/>
      <w:r w:rsidR="00F17720">
        <w:t>comparison</w:t>
      </w:r>
      <w:proofErr w:type="gramEnd"/>
      <w:r w:rsidR="00F17720">
        <w:t xml:space="preserve"> however. Individual float measurements are usually made at 5 m </w:t>
      </w:r>
      <w:proofErr w:type="gramStart"/>
      <w:r w:rsidR="00F17720">
        <w:t>depth, and</w:t>
      </w:r>
      <w:proofErr w:type="gramEnd"/>
      <w:r w:rsidR="00F17720">
        <w:t xml:space="preserve"> are spatially </w:t>
      </w:r>
      <w:r w:rsidR="00121858">
        <w:t xml:space="preserve">and temporally </w:t>
      </w:r>
      <w:r w:rsidR="00F17720">
        <w:t>sparse</w:t>
      </w:r>
      <w:r w:rsidR="00121858">
        <w:t xml:space="preserve"> compared to the </w:t>
      </w:r>
      <w:r w:rsidR="00BA3DD3">
        <w:t>satellite measurements</w:t>
      </w:r>
      <w:r w:rsidR="00F17720">
        <w:t xml:space="preserve">. </w:t>
      </w:r>
      <w:r w:rsidR="006A480C">
        <w:t>Gridded A</w:t>
      </w:r>
      <w:r w:rsidR="00F17720">
        <w:t xml:space="preserve">rgo products </w:t>
      </w:r>
      <w:r w:rsidR="006A480C">
        <w:t>have their own uncertainty related to the sparse sampling and the gridding process</w:t>
      </w:r>
      <w:r w:rsidR="00750BA0">
        <w:t xml:space="preserve"> </w:t>
      </w:r>
      <w:r w:rsidR="00F57FA1">
        <w:t>[1</w:t>
      </w:r>
      <w:r w:rsidR="003D285E">
        <w:t>4</w:t>
      </w:r>
      <w:r w:rsidR="00F57FA1">
        <w:t>]</w:t>
      </w:r>
      <w:r w:rsidR="00F17720">
        <w:t>.</w:t>
      </w:r>
    </w:p>
    <w:p w14:paraId="06D4D991" w14:textId="073AB863" w:rsidR="00685F13" w:rsidRDefault="00685F13" w:rsidP="0014356F">
      <w:pPr>
        <w:pStyle w:val="MDPI31text"/>
      </w:pPr>
      <w:r>
        <w:t xml:space="preserve">In many regions of the ocean, the most important time scale is seasonal </w:t>
      </w:r>
      <w:r w:rsidR="00F57FA1">
        <w:t>[1</w:t>
      </w:r>
      <w:r w:rsidR="003D285E">
        <w:t>5</w:t>
      </w:r>
      <w:r w:rsidR="00F57FA1">
        <w:t>-2</w:t>
      </w:r>
      <w:r w:rsidR="003D285E">
        <w:t>0</w:t>
      </w:r>
      <w:r w:rsidR="00F57FA1">
        <w:t>]</w:t>
      </w:r>
      <w:r>
        <w:t xml:space="preserve">. This is especially true in the tropics where the intertropical convergence zone (ITCZ) migrates seasonally in the meridional direction </w:t>
      </w:r>
      <w:r w:rsidR="007028B1">
        <w:t>[2</w:t>
      </w:r>
      <w:r w:rsidR="003D285E">
        <w:t>1</w:t>
      </w:r>
      <w:r w:rsidR="007028B1">
        <w:t>-2</w:t>
      </w:r>
      <w:r w:rsidR="003D285E">
        <w:t>3</w:t>
      </w:r>
      <w:r w:rsidR="007028B1">
        <w:t xml:space="preserve">] </w:t>
      </w:r>
      <w:r>
        <w:t xml:space="preserve">bringing with it increased precipitation </w:t>
      </w:r>
      <w:r w:rsidR="007B775C">
        <w:t>[2</w:t>
      </w:r>
      <w:r w:rsidR="003D285E">
        <w:t>4</w:t>
      </w:r>
      <w:r w:rsidR="007B775C">
        <w:t xml:space="preserve">] </w:t>
      </w:r>
      <w:r>
        <w:t xml:space="preserve">and the </w:t>
      </w:r>
      <w:r w:rsidR="00663A66">
        <w:t>seasonal translation</w:t>
      </w:r>
      <w:r>
        <w:t xml:space="preserve"> of the North Equatorial Countercurrent front.</w:t>
      </w:r>
      <w:r w:rsidR="00663A66">
        <w:t xml:space="preserve"> Thus, SSS has been observed to have large seasonal </w:t>
      </w:r>
      <w:r w:rsidR="00663A66">
        <w:lastRenderedPageBreak/>
        <w:t>variations in the tropics, especially north of the equator in the Pacific and Atlantic basins</w:t>
      </w:r>
      <w:r w:rsidR="00137FC7">
        <w:t xml:space="preserve"> [16, 20, 25, 26]</w:t>
      </w:r>
      <w:r w:rsidR="00663A66">
        <w:t xml:space="preserve"> </w:t>
      </w:r>
      <w:r w:rsidR="00231923">
        <w:t>where the ITCZ is present</w:t>
      </w:r>
      <w:r w:rsidR="00B958CE">
        <w:t xml:space="preserve"> and</w:t>
      </w:r>
      <w:r w:rsidR="00231923">
        <w:t xml:space="preserve"> as a result of strong river discharge into the tropical Atlantic</w:t>
      </w:r>
      <w:r w:rsidR="00663A66">
        <w:t>.</w:t>
      </w:r>
    </w:p>
    <w:p w14:paraId="5A77EE50" w14:textId="3D86362A" w:rsidR="00231923" w:rsidRDefault="00231923" w:rsidP="0014356F">
      <w:pPr>
        <w:pStyle w:val="MDPI31text"/>
      </w:pPr>
      <w:r>
        <w:t>The global tropical moored buoy array (GTMBA) is a vast network of moorings stretching across all the ocean basins</w:t>
      </w:r>
      <w:r w:rsidR="007F64FC">
        <w:t xml:space="preserve"> (Figure 1)</w:t>
      </w:r>
      <w:r>
        <w:t xml:space="preserve">. It was set up starting in the 1980’s to measure variations related to El Niño in the </w:t>
      </w:r>
      <w:proofErr w:type="gramStart"/>
      <w:r>
        <w:t>Pacific,</w:t>
      </w:r>
      <w:r w:rsidR="00742FE3">
        <w:t xml:space="preserve"> </w:t>
      </w:r>
      <w:r w:rsidR="004B69F0">
        <w:t>b</w:t>
      </w:r>
      <w:r>
        <w:t>ut</w:t>
      </w:r>
      <w:proofErr w:type="gramEnd"/>
      <w:r>
        <w:t xml:space="preserve"> has since expanded</w:t>
      </w:r>
      <w:r w:rsidR="00742FE3">
        <w:t xml:space="preserve"> to the Indian and Atlantic basins</w:t>
      </w:r>
      <w:r w:rsidR="007F64FC">
        <w:t>.</w:t>
      </w:r>
      <w:r w:rsidR="004B69F0">
        <w:t xml:space="preserve"> </w:t>
      </w:r>
      <w:r w:rsidR="000E01C1">
        <w:t>(</w:t>
      </w:r>
      <w:r w:rsidR="004B69F0">
        <w:t xml:space="preserve">See </w:t>
      </w:r>
      <w:hyperlink r:id="rId7" w:history="1">
        <w:r w:rsidR="004B69F0" w:rsidRPr="00E25D8E">
          <w:rPr>
            <w:rStyle w:val="Hyperlink"/>
          </w:rPr>
          <w:t>https://www.pmel.noaa.gov/gtmba/</w:t>
        </w:r>
      </w:hyperlink>
      <w:r w:rsidR="004B69F0">
        <w:t xml:space="preserve"> </w:t>
      </w:r>
      <w:r w:rsidR="000E01C1">
        <w:t xml:space="preserve">and </w:t>
      </w:r>
      <w:r w:rsidR="00A33042">
        <w:t>[2</w:t>
      </w:r>
      <w:r w:rsidR="003D285E">
        <w:t>7</w:t>
      </w:r>
      <w:r w:rsidR="00A33042">
        <w:t>]</w:t>
      </w:r>
      <w:r w:rsidR="000E01C1">
        <w:t xml:space="preserve"> </w:t>
      </w:r>
      <w:r w:rsidR="004B69F0">
        <w:t>for a history of the program in the three different basins</w:t>
      </w:r>
      <w:r w:rsidR="00303719">
        <w:t xml:space="preserve">, and </w:t>
      </w:r>
      <w:hyperlink r:id="rId8" w:history="1">
        <w:r w:rsidR="00D02E5F" w:rsidRPr="00587E27">
          <w:rPr>
            <w:rStyle w:val="Hyperlink"/>
          </w:rPr>
          <w:t>www.tpos2020.org</w:t>
        </w:r>
      </w:hyperlink>
      <w:r w:rsidR="00D02E5F">
        <w:t xml:space="preserve"> </w:t>
      </w:r>
      <w:r w:rsidR="00303719">
        <w:t>for a discussion on the future of the Pacific portion of the array</w:t>
      </w:r>
      <w:r>
        <w:t>.</w:t>
      </w:r>
      <w:r w:rsidR="000E01C1">
        <w:t>)</w:t>
      </w:r>
      <w:r w:rsidR="004B69F0">
        <w:t xml:space="preserve"> These moorings measure quantities such as wind, precipitation, humidity, currents, sea surface temperature, subsurface temperature, and, most importantly for the current study, SSS.</w:t>
      </w:r>
      <w:r w:rsidR="00611D0B">
        <w:t xml:space="preserve"> The </w:t>
      </w:r>
      <w:proofErr w:type="gramStart"/>
      <w:r w:rsidR="00611D0B">
        <w:t>high</w:t>
      </w:r>
      <w:r w:rsidR="003112CE">
        <w:t xml:space="preserve"> </w:t>
      </w:r>
      <w:r w:rsidR="00611D0B">
        <w:t>quality</w:t>
      </w:r>
      <w:proofErr w:type="gramEnd"/>
      <w:r w:rsidR="00611D0B">
        <w:t xml:space="preserve"> standards, long record duration (some over 20 years</w:t>
      </w:r>
      <w:r w:rsidR="00BC7A14">
        <w:t xml:space="preserve"> – Figure 1</w:t>
      </w:r>
      <w:r w:rsidR="00611D0B">
        <w:t>) and location of the buoys in this array make them ideal platforms for validating satellite SSS measurements.</w:t>
      </w:r>
      <w:r w:rsidR="003112CE">
        <w:t xml:space="preserve"> Indeed, some of this is done by</w:t>
      </w:r>
      <w:r w:rsidR="00137FC7">
        <w:t xml:space="preserve"> [5, 7, 28, 29]</w:t>
      </w:r>
      <w:r w:rsidR="003112CE">
        <w:t xml:space="preserve"> </w:t>
      </w:r>
      <w:r w:rsidR="000C1B64">
        <w:t>among others</w:t>
      </w:r>
      <w:r w:rsidR="00303719">
        <w:t xml:space="preserve">. However, to date there has been little explicit comparison of mooring and satellite </w:t>
      </w:r>
      <w:r w:rsidR="004B67BF">
        <w:t xml:space="preserve">SSS </w:t>
      </w:r>
      <w:r w:rsidR="00303719">
        <w:t>data at the seasonal time scale</w:t>
      </w:r>
      <w:r w:rsidR="00AC73FB">
        <w:t xml:space="preserve">. </w:t>
      </w:r>
      <w:r w:rsidR="00137FC7">
        <w:t>[</w:t>
      </w:r>
      <w:r w:rsidR="003E348F">
        <w:t>1</w:t>
      </w:r>
      <w:r w:rsidR="001D12F3">
        <w:t>5</w:t>
      </w:r>
      <w:r w:rsidR="00EF2978">
        <w:t>]</w:t>
      </w:r>
      <w:r w:rsidR="00AC73FB">
        <w:t xml:space="preserve"> used the mooring data to compute annual </w:t>
      </w:r>
      <w:proofErr w:type="gramStart"/>
      <w:r w:rsidR="00AC73FB">
        <w:t>harmonics, but</w:t>
      </w:r>
      <w:proofErr w:type="gramEnd"/>
      <w:r w:rsidR="00AC73FB">
        <w:t xml:space="preserve"> made no comparison to satellite</w:t>
      </w:r>
      <w:r w:rsidR="00007611">
        <w:t>s</w:t>
      </w:r>
      <w:r w:rsidR="00AC73FB">
        <w:t xml:space="preserve"> as such data did not exist at the time.</w:t>
      </w:r>
    </w:p>
    <w:p w14:paraId="7B043026" w14:textId="70F6CDDF" w:rsidR="004B69F0" w:rsidRDefault="004B69F0" w:rsidP="0014356F">
      <w:pPr>
        <w:pStyle w:val="MDPI31text"/>
      </w:pPr>
    </w:p>
    <w:p w14:paraId="429E74AB" w14:textId="54C3A8E9" w:rsidR="004B69F0" w:rsidRDefault="004B69F0" w:rsidP="00B60FF2">
      <w:pPr>
        <w:pStyle w:val="MDPI52figure"/>
        <w:rPr>
          <w:lang w:eastAsia="en-US"/>
        </w:rPr>
      </w:pPr>
    </w:p>
    <w:p w14:paraId="5C2F94A8" w14:textId="394106D7" w:rsidR="00B60FF2" w:rsidRDefault="00B60FF2" w:rsidP="00B60FF2">
      <w:pPr>
        <w:pStyle w:val="MDPI52figure"/>
        <w:rPr>
          <w:lang w:eastAsia="en-US"/>
        </w:rPr>
      </w:pPr>
      <w:commentRangeStart w:id="2"/>
      <w:commentRangeStart w:id="3"/>
      <w:r>
        <w:rPr>
          <w:noProof/>
          <w:snapToGrid/>
          <w:lang w:eastAsia="zh-CN" w:bidi="ar-SA"/>
        </w:rPr>
        <w:drawing>
          <wp:inline distT="0" distB="0" distL="0" distR="0" wp14:anchorId="55B62CF8" wp14:editId="5F2EC27C">
            <wp:extent cx="3190240" cy="175636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cific.eps"/>
                    <pic:cNvPicPr/>
                  </pic:nvPicPr>
                  <pic:blipFill>
                    <a:blip r:embed="rId9">
                      <a:extLst>
                        <a:ext uri="{28A0092B-C50C-407E-A947-70E740481C1C}">
                          <a14:useLocalDpi xmlns:a14="http://schemas.microsoft.com/office/drawing/2010/main" val="0"/>
                        </a:ext>
                      </a:extLst>
                    </a:blip>
                    <a:stretch>
                      <a:fillRect/>
                    </a:stretch>
                  </pic:blipFill>
                  <pic:spPr>
                    <a:xfrm>
                      <a:off x="0" y="0"/>
                      <a:ext cx="3212064" cy="1768378"/>
                    </a:xfrm>
                    <a:prstGeom prst="rect">
                      <a:avLst/>
                    </a:prstGeom>
                  </pic:spPr>
                </pic:pic>
              </a:graphicData>
            </a:graphic>
          </wp:inline>
        </w:drawing>
      </w:r>
      <w:commentRangeEnd w:id="2"/>
      <w:r w:rsidR="00F01B78">
        <w:rPr>
          <w:rStyle w:val="CommentReference"/>
          <w:rFonts w:ascii="Times New Roman" w:hAnsi="Times New Roman"/>
          <w:snapToGrid/>
          <w:lang w:bidi="ar-SA"/>
        </w:rPr>
        <w:commentReference w:id="2"/>
      </w:r>
      <w:commentRangeEnd w:id="3"/>
      <w:r w:rsidR="006D0500">
        <w:rPr>
          <w:rStyle w:val="CommentReference"/>
          <w:rFonts w:ascii="Times New Roman" w:hAnsi="Times New Roman"/>
          <w:snapToGrid/>
          <w:lang w:bidi="ar-SA"/>
        </w:rPr>
        <w:commentReference w:id="3"/>
      </w:r>
    </w:p>
    <w:p w14:paraId="0EB04977" w14:textId="4A5016C8" w:rsidR="00BC7A14" w:rsidRPr="004B69F0" w:rsidRDefault="00BC7A14" w:rsidP="00756E62">
      <w:pPr>
        <w:pStyle w:val="MDPI52figure"/>
        <w:rPr>
          <w:lang w:eastAsia="en-US"/>
        </w:rPr>
      </w:pPr>
      <w:r>
        <w:rPr>
          <w:noProof/>
          <w:lang w:eastAsia="zh-CN" w:bidi="ar-SA"/>
        </w:rPr>
        <w:drawing>
          <wp:inline distT="0" distB="0" distL="0" distR="0" wp14:anchorId="7D86C600" wp14:editId="3666FBEA">
            <wp:extent cx="3220720" cy="1784797"/>
            <wp:effectExtent l="0" t="0" r="508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tlanticIndian.eps"/>
                    <pic:cNvPicPr/>
                  </pic:nvPicPr>
                  <pic:blipFill>
                    <a:blip r:embed="rId14">
                      <a:extLst>
                        <a:ext uri="{28A0092B-C50C-407E-A947-70E740481C1C}">
                          <a14:useLocalDpi xmlns:a14="http://schemas.microsoft.com/office/drawing/2010/main" val="0"/>
                        </a:ext>
                      </a:extLst>
                    </a:blip>
                    <a:stretch>
                      <a:fillRect/>
                    </a:stretch>
                  </pic:blipFill>
                  <pic:spPr>
                    <a:xfrm>
                      <a:off x="0" y="0"/>
                      <a:ext cx="3239367" cy="1795131"/>
                    </a:xfrm>
                    <a:prstGeom prst="rect">
                      <a:avLst/>
                    </a:prstGeom>
                  </pic:spPr>
                </pic:pic>
              </a:graphicData>
            </a:graphic>
          </wp:inline>
        </w:drawing>
      </w:r>
    </w:p>
    <w:p w14:paraId="4744DC6C" w14:textId="1C852651" w:rsidR="004B69F0" w:rsidRDefault="004B69F0" w:rsidP="004B69F0">
      <w:pPr>
        <w:pStyle w:val="MDPI51figurecaption"/>
      </w:pPr>
      <w:r>
        <w:t xml:space="preserve">Figure 1. The Global Tropical Moored Buoy Array. </w:t>
      </w:r>
      <w:r w:rsidR="00BC7A14">
        <w:t xml:space="preserve">(a) </w:t>
      </w:r>
      <w:r w:rsidR="00BE6390">
        <w:t>The array is called “TAO” in the eastern and central Pacific, “TRITON” in the western Pacific,</w:t>
      </w:r>
      <w:r w:rsidR="00BC7A14">
        <w:t xml:space="preserve"> (b)</w:t>
      </w:r>
      <w:r w:rsidR="00BE6390">
        <w:t xml:space="preserve"> “PIRATA” in the Atlantic and “RAMA” in the Indian ocean</w:t>
      </w:r>
      <w:r>
        <w:t xml:space="preserve">. Note, </w:t>
      </w:r>
      <w:r w:rsidR="00B60FF2">
        <w:t>some sites are not currently operational</w:t>
      </w:r>
      <w:r>
        <w:t>, especially in the western Pacific.</w:t>
      </w:r>
      <w:r w:rsidR="00B60FF2">
        <w:t xml:space="preserve"> Symbol colors correspond to the length of the record in years</w:t>
      </w:r>
      <w:r w:rsidR="00086505">
        <w:t>, with a scale at the bottom. The record length refers to the total number of hourly measurements regardless of gaps.</w:t>
      </w:r>
    </w:p>
    <w:p w14:paraId="644A607E" w14:textId="34991628" w:rsidR="001B5EEF" w:rsidRDefault="00F64D69">
      <w:pPr>
        <w:pStyle w:val="MDPI31text"/>
      </w:pPr>
      <w:r>
        <w:t>[</w:t>
      </w:r>
      <w:r w:rsidR="001D12F3">
        <w:t>19</w:t>
      </w:r>
      <w:r w:rsidR="007028B1">
        <w:t>]</w:t>
      </w:r>
      <w:r w:rsidR="0099056D">
        <w:t xml:space="preserve"> found that a decorrelation scale of 80-100 days, corresponding to the seasonal time scale, was the most important one for about 1/3 of the global ocean, and that it was </w:t>
      </w:r>
      <w:r w:rsidR="00FC1B19">
        <w:t>concentrated</w:t>
      </w:r>
      <w:r w:rsidR="0099056D">
        <w:t xml:space="preserve"> in the tropics. </w:t>
      </w:r>
      <w:r w:rsidR="00F57FA1">
        <w:t>[1</w:t>
      </w:r>
      <w:r w:rsidR="001D12F3">
        <w:t>5</w:t>
      </w:r>
      <w:r w:rsidR="009D2A83">
        <w:t>,1</w:t>
      </w:r>
      <w:r w:rsidR="001D12F3">
        <w:t>6</w:t>
      </w:r>
      <w:r w:rsidR="00F57FA1">
        <w:t>]</w:t>
      </w:r>
      <w:r w:rsidR="00FC1B19">
        <w:t xml:space="preserve"> using sparse historic and early Argo data found large amplitude seasonal harmonics in the tropical oceans. This result was verified by comparison to GTMBA data from the Pacific basin available at the time. Such large amplitude seasonal harmonics were also found by </w:t>
      </w:r>
      <w:r w:rsidR="00EF2978">
        <w:t>[</w:t>
      </w:r>
      <w:r w:rsidR="007621CD">
        <w:t>1</w:t>
      </w:r>
      <w:r w:rsidR="001D12F3">
        <w:t>7</w:t>
      </w:r>
      <w:r w:rsidR="00EF2978">
        <w:t>]</w:t>
      </w:r>
      <w:r w:rsidR="00FC1B19">
        <w:t xml:space="preserve">and </w:t>
      </w:r>
      <w:r w:rsidR="007028B1">
        <w:t>[1</w:t>
      </w:r>
      <w:r w:rsidR="001D12F3">
        <w:t>8</w:t>
      </w:r>
      <w:r w:rsidR="007028B1">
        <w:t>]</w:t>
      </w:r>
      <w:r w:rsidR="00FC1B19">
        <w:t xml:space="preserve">. The most recent estimates of </w:t>
      </w:r>
      <w:r>
        <w:t>[</w:t>
      </w:r>
      <w:r w:rsidR="007028B1">
        <w:t>1</w:t>
      </w:r>
      <w:r w:rsidR="001D12F3">
        <w:t>8</w:t>
      </w:r>
      <w:r w:rsidR="007028B1">
        <w:t>]</w:t>
      </w:r>
      <w:r w:rsidR="00FC1B19">
        <w:t xml:space="preserve"> using multiple satellite datasets found </w:t>
      </w:r>
      <w:r w:rsidR="00BC3BFE">
        <w:t xml:space="preserve">typical </w:t>
      </w:r>
      <w:r w:rsidR="00FC1B19">
        <w:t>seasonal amplitudes o</w:t>
      </w:r>
      <w:r w:rsidR="00BC3BFE">
        <w:t xml:space="preserve">f </w:t>
      </w:r>
      <w:r w:rsidR="00AA2258">
        <w:t xml:space="preserve">up to 0.5 </w:t>
      </w:r>
      <w:r w:rsidR="00BC3BFE">
        <w:t>in the tropics, with higher values in regions such as the Amazon and Congo River plumes.</w:t>
      </w:r>
    </w:p>
    <w:p w14:paraId="0B913A8F" w14:textId="1D0625D1" w:rsidR="00D95B60" w:rsidRPr="00706F48" w:rsidRDefault="00D95B60" w:rsidP="00756E62">
      <w:pPr>
        <w:pStyle w:val="MDPI31text"/>
      </w:pPr>
      <w:r>
        <w:lastRenderedPageBreak/>
        <w:t>We use data from</w:t>
      </w:r>
      <w:r w:rsidR="00A11908">
        <w:t xml:space="preserve"> the </w:t>
      </w:r>
      <w:r>
        <w:t>three satellites</w:t>
      </w:r>
      <w:r w:rsidR="00A11908">
        <w:t xml:space="preserve"> mentioned above</w:t>
      </w:r>
      <w:r>
        <w:t xml:space="preserve">: </w:t>
      </w:r>
      <w:r w:rsidR="00A11908">
        <w:t>SMOS, SMAP and Aquarius</w:t>
      </w:r>
      <w:r>
        <w:t>.</w:t>
      </w:r>
      <w:r w:rsidR="00062A3D">
        <w:t xml:space="preserve"> Although they use the same frequency </w:t>
      </w:r>
      <w:r w:rsidR="006A480C">
        <w:t xml:space="preserve">of </w:t>
      </w:r>
      <w:r w:rsidR="00062A3D">
        <w:t>radiation</w:t>
      </w:r>
      <w:r w:rsidR="00A11908">
        <w:t xml:space="preserve"> to make their estimate</w:t>
      </w:r>
      <w:r w:rsidR="00062A3D">
        <w:t xml:space="preserve">, the satellites have very different configurations and ways of forming an image to retrieve values of SSS. </w:t>
      </w:r>
      <w:r w:rsidR="001A4F82">
        <w:t>Thus</w:t>
      </w:r>
      <w:r w:rsidR="00062A3D">
        <w:t xml:space="preserve">, we use </w:t>
      </w:r>
      <w:r w:rsidR="00422C0A">
        <w:t xml:space="preserve">two </w:t>
      </w:r>
      <w:r w:rsidR="00AD28C4">
        <w:t xml:space="preserve">different </w:t>
      </w:r>
      <w:r w:rsidR="00422C0A">
        <w:t xml:space="preserve">level 3 </w:t>
      </w:r>
      <w:r w:rsidR="00AD28C4">
        <w:t>SMOS products</w:t>
      </w:r>
      <w:r w:rsidR="00A11908">
        <w:t xml:space="preserve">, one </w:t>
      </w:r>
      <w:r w:rsidR="00422C0A">
        <w:t>l</w:t>
      </w:r>
      <w:r w:rsidR="00A11908">
        <w:t>evel 4</w:t>
      </w:r>
      <w:r w:rsidR="00422C0A">
        <w:t xml:space="preserve"> synthesis product</w:t>
      </w:r>
      <w:r w:rsidR="00A11908">
        <w:t>, one Aquarius product</w:t>
      </w:r>
      <w:r w:rsidR="00AD28C4">
        <w:t xml:space="preserve">, and two SMAP products. The </w:t>
      </w:r>
      <w:r w:rsidR="00A11908">
        <w:t>various</w:t>
      </w:r>
      <w:r w:rsidR="00AD28C4">
        <w:t xml:space="preserve"> products have different ways of averaging</w:t>
      </w:r>
      <w:r w:rsidR="00953C53">
        <w:t xml:space="preserve"> or interpolating</w:t>
      </w:r>
      <w:r w:rsidR="00AD28C4">
        <w:t xml:space="preserve"> to get </w:t>
      </w:r>
      <w:r w:rsidR="00A11908">
        <w:t>to a final version</w:t>
      </w:r>
      <w:r w:rsidR="00AD28C4">
        <w:t xml:space="preserve">. Finally, we also examine two commonly used in situ </w:t>
      </w:r>
      <w:r w:rsidR="00424463">
        <w:t>gridded products</w:t>
      </w:r>
      <w:r w:rsidR="00AD28C4">
        <w:t>. These compilations serve as calibration points or first guess fields used in the retrieval process</w:t>
      </w:r>
      <w:r w:rsidR="00C22C13">
        <w:t xml:space="preserve"> for some of the satellite</w:t>
      </w:r>
      <w:r w:rsidR="002A6886">
        <w:t xml:space="preserve"> product</w:t>
      </w:r>
      <w:r w:rsidR="00C22C13">
        <w:t xml:space="preserve">s </w:t>
      </w:r>
      <w:r w:rsidR="00F64D69">
        <w:t>[</w:t>
      </w:r>
      <w:r w:rsidR="00EF2978">
        <w:t>3</w:t>
      </w:r>
      <w:r w:rsidR="001D12F3">
        <w:t>0</w:t>
      </w:r>
      <w:r w:rsidR="00EF2978">
        <w:t>]</w:t>
      </w:r>
      <w:r w:rsidR="00A942E7">
        <w:t>.</w:t>
      </w:r>
      <w:r w:rsidR="00C055D7">
        <w:t xml:space="preserve"> </w:t>
      </w:r>
      <w:r w:rsidR="00953C53">
        <w:t xml:space="preserve">In this paper we will directly compare all of these products to the mooring data at the seasonal </w:t>
      </w:r>
      <w:r w:rsidR="00C22C13">
        <w:t xml:space="preserve">time </w:t>
      </w:r>
      <w:r w:rsidR="00953C53">
        <w:t xml:space="preserve">scale, and inter-compare </w:t>
      </w:r>
      <w:r w:rsidR="0064687B">
        <w:t xml:space="preserve">two L3 </w:t>
      </w:r>
      <w:r w:rsidR="00953C53">
        <w:t>SMOS and two SMAP products</w:t>
      </w:r>
      <w:r w:rsidR="00E3734A">
        <w:t xml:space="preserve"> using</w:t>
      </w:r>
      <w:r w:rsidR="00940A31">
        <w:t xml:space="preserve"> </w:t>
      </w:r>
      <w:r w:rsidR="00E3734A">
        <w:t>the same methods</w:t>
      </w:r>
      <w:r w:rsidR="00953C53">
        <w:t>.</w:t>
      </w:r>
      <w:r w:rsidR="0064687B">
        <w:t xml:space="preserve"> Comparison of these satellite and in situ datasets at the seasonal time scale is an important missing piece </w:t>
      </w:r>
      <w:r w:rsidR="00422C0A">
        <w:t xml:space="preserve">in </w:t>
      </w:r>
      <w:r w:rsidR="0064687B">
        <w:t>the validation of satellite SSS</w:t>
      </w:r>
      <w:r w:rsidR="00A11908">
        <w:t xml:space="preserve"> </w:t>
      </w:r>
      <w:r w:rsidR="006A567D">
        <w:t>[</w:t>
      </w:r>
      <w:r w:rsidR="007028B1">
        <w:t>1</w:t>
      </w:r>
      <w:r w:rsidR="001D12F3">
        <w:t>8</w:t>
      </w:r>
      <w:r w:rsidR="007028B1">
        <w:t>]</w:t>
      </w:r>
      <w:r w:rsidR="0064687B">
        <w:t>.</w:t>
      </w:r>
    </w:p>
    <w:bookmarkEnd w:id="0"/>
    <w:bookmarkEnd w:id="1"/>
    <w:p w14:paraId="53DD286D" w14:textId="40FC695A" w:rsidR="0014356F" w:rsidRPr="00706F48" w:rsidRDefault="0014356F" w:rsidP="0014356F">
      <w:pPr>
        <w:pStyle w:val="MDPI21heading1"/>
      </w:pPr>
      <w:r w:rsidRPr="00706F48">
        <w:rPr>
          <w:lang w:eastAsia="zh-CN"/>
        </w:rPr>
        <w:t xml:space="preserve">2. </w:t>
      </w:r>
      <w:r w:rsidR="00DF38E3">
        <w:t>Data</w:t>
      </w:r>
      <w:r w:rsidRPr="00706F48">
        <w:t xml:space="preserve"> and Methods </w:t>
      </w:r>
    </w:p>
    <w:p w14:paraId="591B1D69" w14:textId="77777777" w:rsidR="00756E62" w:rsidRDefault="00756E62" w:rsidP="00E40DF7">
      <w:pPr>
        <w:pStyle w:val="MDPI31text"/>
        <w:ind w:firstLine="0"/>
      </w:pPr>
    </w:p>
    <w:p w14:paraId="026B01C8" w14:textId="390B7665" w:rsidR="00E83F88" w:rsidRDefault="00DF38E3" w:rsidP="004141E1">
      <w:pPr>
        <w:pStyle w:val="MDPI31text"/>
      </w:pPr>
      <w:r>
        <w:t xml:space="preserve">As </w:t>
      </w:r>
      <w:r w:rsidR="00E21B8A">
        <w:t>stated</w:t>
      </w:r>
      <w:r>
        <w:t xml:space="preserve"> above, we ma</w:t>
      </w:r>
      <w:r w:rsidR="003A53B8">
        <w:t>k</w:t>
      </w:r>
      <w:r>
        <w:t xml:space="preserve">e use of </w:t>
      </w:r>
      <w:r w:rsidR="007834B5">
        <w:t>9</w:t>
      </w:r>
      <w:r>
        <w:t xml:space="preserve"> main SSS datasets, </w:t>
      </w:r>
      <w:r w:rsidR="007834B5">
        <w:t>two</w:t>
      </w:r>
      <w:r>
        <w:t xml:space="preserve"> in situ</w:t>
      </w:r>
      <w:r w:rsidR="007834B5">
        <w:t xml:space="preserve"> gridded</w:t>
      </w:r>
      <w:r w:rsidR="00424463">
        <w:t xml:space="preserve"> (EN4 and SIO)</w:t>
      </w:r>
      <w:r w:rsidR="007834B5">
        <w:t>, one in situ moored</w:t>
      </w:r>
      <w:r>
        <w:t xml:space="preserve"> and </w:t>
      </w:r>
      <w:r w:rsidR="007834B5">
        <w:t>6</w:t>
      </w:r>
      <w:r>
        <w:t xml:space="preserve"> satellite (Table 1).</w:t>
      </w:r>
      <w:r w:rsidR="009228A8">
        <w:t xml:space="preserve"> Table</w:t>
      </w:r>
      <w:r w:rsidR="004A0E6B">
        <w:t xml:space="preserve"> S1</w:t>
      </w:r>
      <w:r w:rsidR="009228A8">
        <w:t xml:space="preserve"> </w:t>
      </w:r>
      <w:r w:rsidR="00264956">
        <w:t xml:space="preserve">extends Table 1 to give </w:t>
      </w:r>
      <w:r w:rsidR="009228A8">
        <w:t>references where details of the methods used to generate the datasets</w:t>
      </w:r>
      <w:r w:rsidR="00264956">
        <w:t xml:space="preserve"> </w:t>
      </w:r>
      <w:r w:rsidR="009228A8">
        <w:t>can be found</w:t>
      </w:r>
      <w:r w:rsidR="00264956">
        <w:t xml:space="preserve"> along with information for accessing all datasets</w:t>
      </w:r>
      <w:r w:rsidR="009228A8">
        <w:t>.</w:t>
      </w:r>
    </w:p>
    <w:p w14:paraId="3EB1B698" w14:textId="4C843B6D" w:rsidR="00DF38E3" w:rsidRDefault="00E83F88" w:rsidP="00E83F88">
      <w:pPr>
        <w:pStyle w:val="MDPI41tablecaption"/>
      </w:pPr>
      <w:r>
        <w:t xml:space="preserve">Table 1. A list of the datasets used in this study showing the time resolution, </w:t>
      </w:r>
      <w:r w:rsidR="00F208CD">
        <w:t xml:space="preserve">spatial grid and </w:t>
      </w:r>
      <w:r>
        <w:t>time span.</w:t>
      </w:r>
    </w:p>
    <w:tbl>
      <w:tblPr>
        <w:tblStyle w:val="TableGrid"/>
        <w:tblW w:w="7825" w:type="dxa"/>
        <w:tblLayout w:type="fixed"/>
        <w:tblLook w:val="04A0" w:firstRow="1" w:lastRow="0" w:firstColumn="1" w:lastColumn="0" w:noHBand="0" w:noVBand="1"/>
      </w:tblPr>
      <w:tblGrid>
        <w:gridCol w:w="1074"/>
        <w:gridCol w:w="2251"/>
        <w:gridCol w:w="2250"/>
        <w:gridCol w:w="2250"/>
      </w:tblGrid>
      <w:tr w:rsidR="00F208CD" w14:paraId="761F31D7" w14:textId="3A42C998" w:rsidTr="0004307C">
        <w:tc>
          <w:tcPr>
            <w:tcW w:w="1074" w:type="dxa"/>
          </w:tcPr>
          <w:p w14:paraId="42B6AB0D" w14:textId="67333F9E" w:rsidR="00F208CD" w:rsidRDefault="00F208CD" w:rsidP="00F208CD">
            <w:pPr>
              <w:pStyle w:val="MDPI42tablebody"/>
            </w:pPr>
            <w:r>
              <w:t>Dataset</w:t>
            </w:r>
          </w:p>
        </w:tc>
        <w:tc>
          <w:tcPr>
            <w:tcW w:w="2251" w:type="dxa"/>
          </w:tcPr>
          <w:p w14:paraId="74CCF6A6" w14:textId="7BADBFF9" w:rsidR="00F208CD" w:rsidRDefault="00F208CD" w:rsidP="00F208CD">
            <w:pPr>
              <w:pStyle w:val="MDPI42tablebody"/>
            </w:pPr>
            <w:r>
              <w:t>Time resolution</w:t>
            </w:r>
          </w:p>
        </w:tc>
        <w:tc>
          <w:tcPr>
            <w:tcW w:w="2250" w:type="dxa"/>
          </w:tcPr>
          <w:p w14:paraId="7B4165C1" w14:textId="380E5FFB" w:rsidR="00F208CD" w:rsidRDefault="00F208CD" w:rsidP="00F208CD">
            <w:pPr>
              <w:pStyle w:val="MDPI42tablebody"/>
            </w:pPr>
            <w:r>
              <w:t>Spatial grid</w:t>
            </w:r>
          </w:p>
        </w:tc>
        <w:tc>
          <w:tcPr>
            <w:tcW w:w="2250" w:type="dxa"/>
          </w:tcPr>
          <w:p w14:paraId="177DD922" w14:textId="7F261237" w:rsidR="00F208CD" w:rsidRDefault="00F208CD" w:rsidP="00F208CD">
            <w:pPr>
              <w:pStyle w:val="MDPI42tablebody"/>
            </w:pPr>
            <w:r>
              <w:t>Time span</w:t>
            </w:r>
          </w:p>
        </w:tc>
      </w:tr>
      <w:tr w:rsidR="00F208CD" w14:paraId="59F3C586" w14:textId="4487A173" w:rsidTr="0004307C">
        <w:tc>
          <w:tcPr>
            <w:tcW w:w="1074" w:type="dxa"/>
          </w:tcPr>
          <w:p w14:paraId="25C808E8" w14:textId="77777777" w:rsidR="00F208CD" w:rsidRDefault="00F208CD" w:rsidP="00F208CD">
            <w:pPr>
              <w:pStyle w:val="MDPI42tablebody"/>
            </w:pPr>
            <w:r>
              <w:t>Moorings</w:t>
            </w:r>
          </w:p>
        </w:tc>
        <w:tc>
          <w:tcPr>
            <w:tcW w:w="2251" w:type="dxa"/>
          </w:tcPr>
          <w:p w14:paraId="060A733E" w14:textId="5C769981" w:rsidR="00F208CD" w:rsidRDefault="00F208CD" w:rsidP="00F208CD">
            <w:pPr>
              <w:pStyle w:val="MDPI42tablebody"/>
              <w:rPr>
                <w:rFonts w:cs="Calibri"/>
              </w:rPr>
            </w:pPr>
            <w:r>
              <w:rPr>
                <w:rFonts w:cs="Calibri"/>
              </w:rPr>
              <w:t>Hourly</w:t>
            </w:r>
          </w:p>
        </w:tc>
        <w:tc>
          <w:tcPr>
            <w:tcW w:w="2250" w:type="dxa"/>
          </w:tcPr>
          <w:p w14:paraId="187C352D" w14:textId="1A84F348" w:rsidR="00F208CD" w:rsidRDefault="00F208CD" w:rsidP="00F208CD">
            <w:pPr>
              <w:pStyle w:val="MDPI42tablebody"/>
              <w:rPr>
                <w:rFonts w:cs="Calibri"/>
              </w:rPr>
            </w:pPr>
            <w:r>
              <w:rPr>
                <w:rFonts w:cs="Calibri"/>
              </w:rPr>
              <w:t>N/A</w:t>
            </w:r>
          </w:p>
        </w:tc>
        <w:tc>
          <w:tcPr>
            <w:tcW w:w="2250" w:type="dxa"/>
          </w:tcPr>
          <w:p w14:paraId="5B198506" w14:textId="765BAE55" w:rsidR="00F208CD" w:rsidRDefault="00F208CD" w:rsidP="00F208CD">
            <w:pPr>
              <w:pStyle w:val="MDPI42tablebody"/>
              <w:rPr>
                <w:rFonts w:cs="Calibri"/>
              </w:rPr>
            </w:pPr>
            <w:r>
              <w:rPr>
                <w:rFonts w:cs="Calibri"/>
              </w:rPr>
              <w:t>various</w:t>
            </w:r>
          </w:p>
        </w:tc>
      </w:tr>
      <w:tr w:rsidR="00F208CD" w14:paraId="7FEE4604" w14:textId="7B178E3D" w:rsidTr="0004307C">
        <w:tc>
          <w:tcPr>
            <w:tcW w:w="1074" w:type="dxa"/>
          </w:tcPr>
          <w:p w14:paraId="77ED81C3" w14:textId="77777777" w:rsidR="00F208CD" w:rsidRDefault="00F208CD" w:rsidP="00F208CD">
            <w:pPr>
              <w:pStyle w:val="MDPI42tablebody"/>
            </w:pPr>
            <w:r>
              <w:t>SMOS BEC</w:t>
            </w:r>
          </w:p>
        </w:tc>
        <w:tc>
          <w:tcPr>
            <w:tcW w:w="2251" w:type="dxa"/>
          </w:tcPr>
          <w:p w14:paraId="6D981F1B" w14:textId="5BECB5C9" w:rsidR="00F208CD" w:rsidRPr="0073658E" w:rsidRDefault="00F208CD" w:rsidP="00F208CD">
            <w:pPr>
              <w:pStyle w:val="MDPI42tablebody"/>
              <w:rPr>
                <w:rFonts w:cs="Calibri"/>
              </w:rPr>
            </w:pPr>
            <w:r>
              <w:rPr>
                <w:rFonts w:cs="Calibri"/>
              </w:rPr>
              <w:t>Daily values with a 9</w:t>
            </w:r>
            <w:r w:rsidR="001D1F82">
              <w:rPr>
                <w:rFonts w:cs="Calibri"/>
              </w:rPr>
              <w:t>-</w:t>
            </w:r>
            <w:r>
              <w:rPr>
                <w:rFonts w:cs="Calibri"/>
              </w:rPr>
              <w:t>day running mean</w:t>
            </w:r>
          </w:p>
        </w:tc>
        <w:tc>
          <w:tcPr>
            <w:tcW w:w="2250" w:type="dxa"/>
          </w:tcPr>
          <w:p w14:paraId="4DEAE054" w14:textId="6C11C299" w:rsidR="00F208CD" w:rsidRDefault="00F208CD" w:rsidP="00F208CD">
            <w:pPr>
              <w:pStyle w:val="MDPI42tablebody"/>
              <w:rPr>
                <w:rFonts w:cs="Calibri"/>
              </w:rPr>
            </w:pPr>
            <w:r>
              <w:t>0.25</w:t>
            </w:r>
            <w:r w:rsidR="0004307C">
              <w:t>°</w:t>
            </w:r>
          </w:p>
        </w:tc>
        <w:tc>
          <w:tcPr>
            <w:tcW w:w="2250" w:type="dxa"/>
          </w:tcPr>
          <w:p w14:paraId="17054D9B" w14:textId="3608B172" w:rsidR="00F208CD" w:rsidRDefault="00F208CD" w:rsidP="00F208CD">
            <w:pPr>
              <w:pStyle w:val="MDPI42tablebody"/>
              <w:rPr>
                <w:rFonts w:cs="Calibri"/>
              </w:rPr>
            </w:pPr>
            <w:r>
              <w:rPr>
                <w:rFonts w:cs="Calibri"/>
              </w:rPr>
              <w:t>2011-2019</w:t>
            </w:r>
          </w:p>
        </w:tc>
      </w:tr>
      <w:tr w:rsidR="00F208CD" w14:paraId="298BD02A" w14:textId="387600A7" w:rsidTr="0004307C">
        <w:tc>
          <w:tcPr>
            <w:tcW w:w="1074" w:type="dxa"/>
          </w:tcPr>
          <w:p w14:paraId="7301075A" w14:textId="77777777" w:rsidR="00F208CD" w:rsidRDefault="00F208CD" w:rsidP="00F208CD">
            <w:pPr>
              <w:pStyle w:val="MDPI42tablebody"/>
            </w:pPr>
            <w:r>
              <w:t>SMOS CATDS</w:t>
            </w:r>
          </w:p>
        </w:tc>
        <w:tc>
          <w:tcPr>
            <w:tcW w:w="2251" w:type="dxa"/>
          </w:tcPr>
          <w:p w14:paraId="09840A4D" w14:textId="4F00DED1" w:rsidR="00F208CD" w:rsidRPr="0073658E" w:rsidRDefault="00F208CD" w:rsidP="00F208CD">
            <w:pPr>
              <w:pStyle w:val="MDPI42tablebody"/>
              <w:rPr>
                <w:rFonts w:cs="Calibri"/>
              </w:rPr>
            </w:pPr>
            <w:r>
              <w:rPr>
                <w:rFonts w:cs="Calibri"/>
              </w:rPr>
              <w:t>4-day values with a 9-day running mean</w:t>
            </w:r>
          </w:p>
        </w:tc>
        <w:tc>
          <w:tcPr>
            <w:tcW w:w="2250" w:type="dxa"/>
          </w:tcPr>
          <w:p w14:paraId="388C0F6D" w14:textId="72B51F77" w:rsidR="00F208CD" w:rsidRDefault="00F208CD" w:rsidP="00F208CD">
            <w:pPr>
              <w:pStyle w:val="MDPI42tablebody"/>
            </w:pPr>
            <w:r>
              <w:t>Lon: 0.2594</w:t>
            </w:r>
            <w:r w:rsidR="0004307C">
              <w:t>°</w:t>
            </w:r>
          </w:p>
          <w:p w14:paraId="710C6A58" w14:textId="500D9B13" w:rsidR="00F208CD" w:rsidRDefault="00F208CD" w:rsidP="00F208CD">
            <w:pPr>
              <w:pStyle w:val="MDPI42tablebody"/>
              <w:rPr>
                <w:rFonts w:cs="Calibri"/>
              </w:rPr>
            </w:pPr>
            <w:r>
              <w:t>Lat: varies from 0.1962</w:t>
            </w:r>
            <w:r w:rsidR="0004307C">
              <w:t>°</w:t>
            </w:r>
            <w:r>
              <w:t xml:space="preserve"> to 1.5341</w:t>
            </w:r>
            <w:r w:rsidR="0004307C">
              <w:t>°</w:t>
            </w:r>
          </w:p>
        </w:tc>
        <w:tc>
          <w:tcPr>
            <w:tcW w:w="2250" w:type="dxa"/>
          </w:tcPr>
          <w:p w14:paraId="3E9BE558" w14:textId="49A6212D" w:rsidR="00F208CD" w:rsidRDefault="00F208CD" w:rsidP="00F208CD">
            <w:pPr>
              <w:pStyle w:val="MDPI42tablebody"/>
              <w:rPr>
                <w:rFonts w:cs="Calibri"/>
              </w:rPr>
            </w:pPr>
            <w:r>
              <w:rPr>
                <w:rFonts w:cs="Calibri"/>
              </w:rPr>
              <w:t>2010-2019</w:t>
            </w:r>
          </w:p>
        </w:tc>
      </w:tr>
      <w:tr w:rsidR="00F208CD" w14:paraId="5B73878E" w14:textId="06D4AEEA" w:rsidTr="0004307C">
        <w:tc>
          <w:tcPr>
            <w:tcW w:w="1074" w:type="dxa"/>
          </w:tcPr>
          <w:p w14:paraId="73BDAAD4" w14:textId="07E895C0" w:rsidR="00F208CD" w:rsidRDefault="00F208CD" w:rsidP="00F208CD">
            <w:pPr>
              <w:pStyle w:val="MDPI42tablebody"/>
            </w:pPr>
            <w:r>
              <w:t>CCI</w:t>
            </w:r>
          </w:p>
        </w:tc>
        <w:tc>
          <w:tcPr>
            <w:tcW w:w="2251" w:type="dxa"/>
          </w:tcPr>
          <w:p w14:paraId="4E4F8379" w14:textId="00C58F5E" w:rsidR="00F208CD" w:rsidRPr="0073658E" w:rsidRDefault="00F208CD" w:rsidP="00F208CD">
            <w:pPr>
              <w:pStyle w:val="MDPI42tablebody"/>
              <w:rPr>
                <w:rFonts w:cs="Calibri"/>
              </w:rPr>
            </w:pPr>
            <w:r>
              <w:rPr>
                <w:rFonts w:cs="Calibri"/>
              </w:rPr>
              <w:t>Daily values with a 7-day running mean</w:t>
            </w:r>
          </w:p>
        </w:tc>
        <w:tc>
          <w:tcPr>
            <w:tcW w:w="2250" w:type="dxa"/>
          </w:tcPr>
          <w:p w14:paraId="46B40042" w14:textId="2AF322B5" w:rsidR="00F208CD" w:rsidRDefault="00F208CD" w:rsidP="00F208CD">
            <w:pPr>
              <w:pStyle w:val="MDPI42tablebody"/>
            </w:pPr>
            <w:r>
              <w:t>Lon: 0.2594</w:t>
            </w:r>
            <w:r w:rsidR="0004307C">
              <w:t>°</w:t>
            </w:r>
          </w:p>
          <w:p w14:paraId="5A254ED1" w14:textId="60DF6E77" w:rsidR="00F208CD" w:rsidRDefault="00F208CD" w:rsidP="00F208CD">
            <w:pPr>
              <w:pStyle w:val="MDPI42tablebody"/>
              <w:rPr>
                <w:rFonts w:cs="Calibri"/>
              </w:rPr>
            </w:pPr>
            <w:r>
              <w:t>Lat: varies from 0.1962</w:t>
            </w:r>
            <w:r w:rsidR="0004307C">
              <w:t>°</w:t>
            </w:r>
            <w:r>
              <w:t xml:space="preserve"> to 1.5341</w:t>
            </w:r>
            <w:r w:rsidR="0004307C">
              <w:t>°</w:t>
            </w:r>
          </w:p>
        </w:tc>
        <w:tc>
          <w:tcPr>
            <w:tcW w:w="2250" w:type="dxa"/>
          </w:tcPr>
          <w:p w14:paraId="6C0D2D44" w14:textId="75386575" w:rsidR="00F208CD" w:rsidRDefault="00F208CD" w:rsidP="00F208CD">
            <w:pPr>
              <w:pStyle w:val="MDPI42tablebody"/>
              <w:rPr>
                <w:rFonts w:cs="Calibri"/>
              </w:rPr>
            </w:pPr>
            <w:r>
              <w:rPr>
                <w:rFonts w:cs="Calibri"/>
              </w:rPr>
              <w:t>2010-2018</w:t>
            </w:r>
          </w:p>
        </w:tc>
      </w:tr>
      <w:tr w:rsidR="00F208CD" w14:paraId="098B7B40" w14:textId="4765C8D0" w:rsidTr="0004307C">
        <w:tc>
          <w:tcPr>
            <w:tcW w:w="1074" w:type="dxa"/>
          </w:tcPr>
          <w:p w14:paraId="7A24412D" w14:textId="77777777" w:rsidR="00F208CD" w:rsidRDefault="00F208CD" w:rsidP="00F208CD">
            <w:pPr>
              <w:pStyle w:val="MDPI42tablebody"/>
            </w:pPr>
            <w:r>
              <w:t>SMAP JPL</w:t>
            </w:r>
          </w:p>
        </w:tc>
        <w:tc>
          <w:tcPr>
            <w:tcW w:w="2251" w:type="dxa"/>
          </w:tcPr>
          <w:p w14:paraId="5BE55F72" w14:textId="5A1B08F6" w:rsidR="00F208CD" w:rsidRPr="0073658E" w:rsidRDefault="00F208CD" w:rsidP="00F208CD">
            <w:pPr>
              <w:pStyle w:val="MDPI42tablebody"/>
              <w:rPr>
                <w:rFonts w:cs="Calibri"/>
              </w:rPr>
            </w:pPr>
            <w:r>
              <w:rPr>
                <w:rFonts w:cs="Calibri"/>
              </w:rPr>
              <w:t>8-day running mean</w:t>
            </w:r>
          </w:p>
        </w:tc>
        <w:tc>
          <w:tcPr>
            <w:tcW w:w="2250" w:type="dxa"/>
          </w:tcPr>
          <w:p w14:paraId="0CF9680F" w14:textId="13B38A78" w:rsidR="00F208CD" w:rsidRDefault="00F208CD" w:rsidP="00F208CD">
            <w:pPr>
              <w:pStyle w:val="MDPI42tablebody"/>
              <w:rPr>
                <w:rFonts w:cs="Calibri"/>
              </w:rPr>
            </w:pPr>
            <w:r>
              <w:rPr>
                <w:rFonts w:cs="Calibri"/>
              </w:rPr>
              <w:t>0.25</w:t>
            </w:r>
            <w:r w:rsidR="0004307C">
              <w:rPr>
                <w:rFonts w:cs="Calibri"/>
              </w:rPr>
              <w:t>°</w:t>
            </w:r>
          </w:p>
        </w:tc>
        <w:tc>
          <w:tcPr>
            <w:tcW w:w="2250" w:type="dxa"/>
          </w:tcPr>
          <w:p w14:paraId="053C72D4" w14:textId="0192E5BF" w:rsidR="00F208CD" w:rsidRDefault="00F208CD" w:rsidP="00F208CD">
            <w:pPr>
              <w:pStyle w:val="MDPI42tablebody"/>
              <w:rPr>
                <w:rFonts w:cs="Calibri"/>
              </w:rPr>
            </w:pPr>
            <w:r>
              <w:rPr>
                <w:rFonts w:cs="Calibri"/>
              </w:rPr>
              <w:t>2015-2020</w:t>
            </w:r>
          </w:p>
        </w:tc>
      </w:tr>
      <w:tr w:rsidR="00F208CD" w14:paraId="3A81D734" w14:textId="6D1F88F6" w:rsidTr="0004307C">
        <w:tc>
          <w:tcPr>
            <w:tcW w:w="1074" w:type="dxa"/>
          </w:tcPr>
          <w:p w14:paraId="4703E9C4" w14:textId="190730B0" w:rsidR="00F208CD" w:rsidRDefault="00F208CD" w:rsidP="00F208CD">
            <w:pPr>
              <w:pStyle w:val="MDPI42tablebody"/>
            </w:pPr>
            <w:r>
              <w:t>SMAP RSS (70 km)</w:t>
            </w:r>
          </w:p>
        </w:tc>
        <w:tc>
          <w:tcPr>
            <w:tcW w:w="2251" w:type="dxa"/>
          </w:tcPr>
          <w:p w14:paraId="7C2BE1C9" w14:textId="57D45724" w:rsidR="00F208CD" w:rsidRPr="0073658E" w:rsidRDefault="00F208CD" w:rsidP="00F208CD">
            <w:pPr>
              <w:pStyle w:val="MDPI42tablebody"/>
              <w:rPr>
                <w:rFonts w:cs="Calibri"/>
              </w:rPr>
            </w:pPr>
            <w:r>
              <w:rPr>
                <w:rFonts w:cs="Calibri"/>
              </w:rPr>
              <w:t>8-day running mean</w:t>
            </w:r>
          </w:p>
        </w:tc>
        <w:tc>
          <w:tcPr>
            <w:tcW w:w="2250" w:type="dxa"/>
          </w:tcPr>
          <w:p w14:paraId="1207FD8E" w14:textId="0129933A" w:rsidR="00F208CD" w:rsidRDefault="00F208CD" w:rsidP="00F208CD">
            <w:pPr>
              <w:pStyle w:val="MDPI42tablebody"/>
              <w:rPr>
                <w:rFonts w:cs="Calibri"/>
              </w:rPr>
            </w:pPr>
            <w:r>
              <w:rPr>
                <w:rFonts w:cs="Calibri"/>
              </w:rPr>
              <w:t>0.25</w:t>
            </w:r>
            <w:r w:rsidR="0004307C">
              <w:rPr>
                <w:rFonts w:cs="Calibri"/>
              </w:rPr>
              <w:t>°</w:t>
            </w:r>
          </w:p>
        </w:tc>
        <w:tc>
          <w:tcPr>
            <w:tcW w:w="2250" w:type="dxa"/>
          </w:tcPr>
          <w:p w14:paraId="5E57F1B6" w14:textId="2725170E" w:rsidR="00F208CD" w:rsidRDefault="00F208CD" w:rsidP="00F208CD">
            <w:pPr>
              <w:pStyle w:val="MDPI42tablebody"/>
              <w:rPr>
                <w:rFonts w:cs="Calibri"/>
              </w:rPr>
            </w:pPr>
            <w:r>
              <w:rPr>
                <w:rFonts w:cs="Calibri"/>
              </w:rPr>
              <w:t>2015-2020</w:t>
            </w:r>
          </w:p>
        </w:tc>
      </w:tr>
      <w:tr w:rsidR="00F208CD" w14:paraId="40C51321" w14:textId="4C6F0F71" w:rsidTr="0004307C">
        <w:tc>
          <w:tcPr>
            <w:tcW w:w="1074" w:type="dxa"/>
          </w:tcPr>
          <w:p w14:paraId="2229B10C" w14:textId="77777777" w:rsidR="00F208CD" w:rsidRDefault="00F208CD" w:rsidP="00F208CD">
            <w:pPr>
              <w:pStyle w:val="MDPI42tablebody"/>
            </w:pPr>
            <w:r>
              <w:t>Aquarius</w:t>
            </w:r>
          </w:p>
        </w:tc>
        <w:tc>
          <w:tcPr>
            <w:tcW w:w="2251" w:type="dxa"/>
          </w:tcPr>
          <w:p w14:paraId="3479D3F4" w14:textId="121C7801" w:rsidR="00F208CD" w:rsidRPr="0073658E" w:rsidRDefault="00F208CD" w:rsidP="00F208CD">
            <w:pPr>
              <w:pStyle w:val="MDPI42tablebody"/>
              <w:rPr>
                <w:rFonts w:cs="Calibri"/>
              </w:rPr>
            </w:pPr>
            <w:r>
              <w:rPr>
                <w:rFonts w:cs="Calibri"/>
              </w:rPr>
              <w:t>Daily</w:t>
            </w:r>
          </w:p>
        </w:tc>
        <w:tc>
          <w:tcPr>
            <w:tcW w:w="2250" w:type="dxa"/>
          </w:tcPr>
          <w:p w14:paraId="559ACA3F" w14:textId="05112911" w:rsidR="00F208CD" w:rsidRDefault="00F208CD" w:rsidP="00F208CD">
            <w:pPr>
              <w:pStyle w:val="MDPI42tablebody"/>
              <w:rPr>
                <w:rFonts w:cs="Calibri"/>
              </w:rPr>
            </w:pPr>
            <w:r>
              <w:rPr>
                <w:rFonts w:cs="Calibri"/>
              </w:rPr>
              <w:t>1</w:t>
            </w:r>
            <w:r w:rsidR="0004307C">
              <w:rPr>
                <w:rFonts w:cs="Calibri"/>
              </w:rPr>
              <w:t>°</w:t>
            </w:r>
          </w:p>
        </w:tc>
        <w:tc>
          <w:tcPr>
            <w:tcW w:w="2250" w:type="dxa"/>
          </w:tcPr>
          <w:p w14:paraId="3F6BA13E" w14:textId="69578BCF" w:rsidR="00F208CD" w:rsidRDefault="00F208CD" w:rsidP="00F208CD">
            <w:pPr>
              <w:pStyle w:val="MDPI42tablebody"/>
              <w:rPr>
                <w:rFonts w:cs="Calibri"/>
              </w:rPr>
            </w:pPr>
            <w:r>
              <w:rPr>
                <w:rFonts w:cs="Calibri"/>
              </w:rPr>
              <w:t>2011-2015</w:t>
            </w:r>
          </w:p>
        </w:tc>
      </w:tr>
      <w:tr w:rsidR="00F208CD" w14:paraId="049E8F78" w14:textId="1626C6C6" w:rsidTr="0004307C">
        <w:tc>
          <w:tcPr>
            <w:tcW w:w="1074" w:type="dxa"/>
          </w:tcPr>
          <w:p w14:paraId="637BAA82" w14:textId="77777777" w:rsidR="00F208CD" w:rsidRDefault="00F208CD" w:rsidP="00F208CD">
            <w:pPr>
              <w:pStyle w:val="MDPI42tablebody"/>
            </w:pPr>
            <w:r>
              <w:t>EN4</w:t>
            </w:r>
          </w:p>
        </w:tc>
        <w:tc>
          <w:tcPr>
            <w:tcW w:w="2251" w:type="dxa"/>
          </w:tcPr>
          <w:p w14:paraId="1A492F0C" w14:textId="0941B30B" w:rsidR="00F208CD" w:rsidRPr="0073658E" w:rsidRDefault="00F208CD" w:rsidP="00F208CD">
            <w:pPr>
              <w:pStyle w:val="MDPI42tablebody"/>
              <w:rPr>
                <w:rFonts w:cs="Calibri"/>
              </w:rPr>
            </w:pPr>
            <w:r>
              <w:rPr>
                <w:rFonts w:cs="Calibri"/>
              </w:rPr>
              <w:t>Monthly</w:t>
            </w:r>
          </w:p>
        </w:tc>
        <w:tc>
          <w:tcPr>
            <w:tcW w:w="2250" w:type="dxa"/>
          </w:tcPr>
          <w:p w14:paraId="7718B405" w14:textId="277B1624" w:rsidR="00F208CD" w:rsidRDefault="00F208CD" w:rsidP="00F208CD">
            <w:pPr>
              <w:pStyle w:val="MDPI42tablebody"/>
              <w:rPr>
                <w:rFonts w:cs="Calibri"/>
              </w:rPr>
            </w:pPr>
            <w:r>
              <w:rPr>
                <w:rFonts w:cs="Calibri"/>
              </w:rPr>
              <w:t>1</w:t>
            </w:r>
            <w:r w:rsidR="0004307C">
              <w:rPr>
                <w:rFonts w:cs="Calibri"/>
              </w:rPr>
              <w:t>°</w:t>
            </w:r>
          </w:p>
        </w:tc>
        <w:tc>
          <w:tcPr>
            <w:tcW w:w="2250" w:type="dxa"/>
          </w:tcPr>
          <w:p w14:paraId="194CDBF2" w14:textId="0D6D0987" w:rsidR="00F208CD" w:rsidRDefault="00F208CD" w:rsidP="00F208CD">
            <w:pPr>
              <w:pStyle w:val="MDPI42tablebody"/>
              <w:rPr>
                <w:rFonts w:cs="Calibri"/>
              </w:rPr>
            </w:pPr>
            <w:r>
              <w:rPr>
                <w:rFonts w:cs="Calibri"/>
              </w:rPr>
              <w:t>2000-2018</w:t>
            </w:r>
          </w:p>
        </w:tc>
      </w:tr>
      <w:tr w:rsidR="00F208CD" w14:paraId="49F530A8" w14:textId="04FD80A5" w:rsidTr="0004307C">
        <w:tc>
          <w:tcPr>
            <w:tcW w:w="1074" w:type="dxa"/>
          </w:tcPr>
          <w:p w14:paraId="51F2933C" w14:textId="77777777" w:rsidR="00F208CD" w:rsidRDefault="00F208CD" w:rsidP="00F208CD">
            <w:pPr>
              <w:pStyle w:val="MDPI42tablebody"/>
            </w:pPr>
            <w:r>
              <w:t>SIO</w:t>
            </w:r>
          </w:p>
        </w:tc>
        <w:tc>
          <w:tcPr>
            <w:tcW w:w="2251" w:type="dxa"/>
          </w:tcPr>
          <w:p w14:paraId="620737D1" w14:textId="47047F13" w:rsidR="00F208CD" w:rsidRPr="0073658E" w:rsidRDefault="00F208CD" w:rsidP="00F208CD">
            <w:pPr>
              <w:pStyle w:val="MDPI42tablebody"/>
              <w:rPr>
                <w:rFonts w:cs="Calibri"/>
              </w:rPr>
            </w:pPr>
            <w:r>
              <w:rPr>
                <w:rFonts w:cs="Calibri"/>
              </w:rPr>
              <w:t>Monthly</w:t>
            </w:r>
          </w:p>
        </w:tc>
        <w:tc>
          <w:tcPr>
            <w:tcW w:w="2250" w:type="dxa"/>
          </w:tcPr>
          <w:p w14:paraId="051202C7" w14:textId="2C44713E" w:rsidR="00F208CD" w:rsidRDefault="00F208CD" w:rsidP="00F208CD">
            <w:pPr>
              <w:pStyle w:val="MDPI42tablebody"/>
              <w:rPr>
                <w:rFonts w:cs="Calibri"/>
              </w:rPr>
            </w:pPr>
            <w:r>
              <w:rPr>
                <w:rFonts w:cs="Calibri"/>
              </w:rPr>
              <w:t>1</w:t>
            </w:r>
            <w:r w:rsidR="0004307C">
              <w:rPr>
                <w:rFonts w:cs="Calibri"/>
              </w:rPr>
              <w:t>°</w:t>
            </w:r>
          </w:p>
        </w:tc>
        <w:tc>
          <w:tcPr>
            <w:tcW w:w="2250" w:type="dxa"/>
          </w:tcPr>
          <w:p w14:paraId="43599C30" w14:textId="1A72C994" w:rsidR="00F208CD" w:rsidRDefault="00F208CD" w:rsidP="00F208CD">
            <w:pPr>
              <w:pStyle w:val="MDPI42tablebody"/>
              <w:rPr>
                <w:rFonts w:cs="Calibri"/>
              </w:rPr>
            </w:pPr>
            <w:r>
              <w:rPr>
                <w:rFonts w:cs="Calibri"/>
              </w:rPr>
              <w:t>2004-2020</w:t>
            </w:r>
          </w:p>
        </w:tc>
      </w:tr>
    </w:tbl>
    <w:p w14:paraId="5CC11C59" w14:textId="6EC4B565" w:rsidR="00DF38E3" w:rsidRDefault="00DF38E3" w:rsidP="00DF38E3">
      <w:pPr>
        <w:pStyle w:val="MDPI42tablebody"/>
      </w:pPr>
    </w:p>
    <w:p w14:paraId="3A9B705A" w14:textId="77777777" w:rsidR="009228A8" w:rsidRDefault="009228A8" w:rsidP="00E739C2">
      <w:pPr>
        <w:pStyle w:val="MDPI31text"/>
        <w:ind w:firstLine="0"/>
        <w:rPr>
          <w:spacing w:val="-2"/>
        </w:rPr>
      </w:pPr>
    </w:p>
    <w:p w14:paraId="3AD8CE2F" w14:textId="20D8FA56" w:rsidR="00E24AEA" w:rsidRDefault="00424463" w:rsidP="0014356F">
      <w:pPr>
        <w:pStyle w:val="MDPI31text"/>
        <w:rPr>
          <w:spacing w:val="-2"/>
        </w:rPr>
      </w:pPr>
      <w:r>
        <w:rPr>
          <w:spacing w:val="-2"/>
        </w:rPr>
        <w:t xml:space="preserve">Annual and semiannual harmonic fits were computed for each mooring time series </w:t>
      </w:r>
      <w:r w:rsidR="00DE1194">
        <w:rPr>
          <w:spacing w:val="-2"/>
        </w:rPr>
        <w:t>following</w:t>
      </w:r>
      <w:r w:rsidR="006A567D">
        <w:rPr>
          <w:spacing w:val="-2"/>
        </w:rPr>
        <w:t xml:space="preserve"> [18] and [15], </w:t>
      </w:r>
      <w:r>
        <w:rPr>
          <w:spacing w:val="-2"/>
        </w:rPr>
        <w:t xml:space="preserve">and for each of the other products at the closest gid node to each mooring site. </w:t>
      </w:r>
      <w:r w:rsidR="00971467">
        <w:rPr>
          <w:spacing w:val="-2"/>
        </w:rPr>
        <w:t xml:space="preserve">These computations yield amplitudes, phases (month of maximum SSS) and fractions of variance </w:t>
      </w:r>
      <w:r w:rsidR="00E24AEA">
        <w:rPr>
          <w:spacing w:val="-2"/>
        </w:rPr>
        <w:t>(R</w:t>
      </w:r>
      <w:r w:rsidR="00E24AEA" w:rsidRPr="00E24AEA">
        <w:rPr>
          <w:spacing w:val="-2"/>
          <w:vertAlign w:val="superscript"/>
        </w:rPr>
        <w:t>2</w:t>
      </w:r>
      <w:r w:rsidR="00E24AEA">
        <w:rPr>
          <w:spacing w:val="-2"/>
        </w:rPr>
        <w:t xml:space="preserve">) </w:t>
      </w:r>
      <w:r w:rsidR="00971467">
        <w:rPr>
          <w:spacing w:val="-2"/>
        </w:rPr>
        <w:t xml:space="preserve">associated with both annual and semiannual. We show results for the annual harmonics only in this paper. Semiannual harmonic amplitudes were generally </w:t>
      </w:r>
      <w:proofErr w:type="gramStart"/>
      <w:r w:rsidR="00971467">
        <w:rPr>
          <w:spacing w:val="-2"/>
        </w:rPr>
        <w:t>smaller</w:t>
      </w:r>
      <w:proofErr w:type="gramEnd"/>
      <w:r w:rsidR="00971467">
        <w:rPr>
          <w:spacing w:val="-2"/>
        </w:rPr>
        <w:t xml:space="preserve"> and we omit those results for brevity</w:t>
      </w:r>
      <w:r w:rsidR="00843F82">
        <w:rPr>
          <w:spacing w:val="-2"/>
        </w:rPr>
        <w:t xml:space="preserve"> here, but include some of them in the supplemental materials.</w:t>
      </w:r>
    </w:p>
    <w:p w14:paraId="6D7332A7" w14:textId="64B06896" w:rsidR="00C35DB2" w:rsidRDefault="00971467" w:rsidP="00E24AEA">
      <w:pPr>
        <w:pStyle w:val="MDPI31text"/>
        <w:rPr>
          <w:spacing w:val="-2"/>
        </w:rPr>
      </w:pPr>
      <w:r w:rsidRPr="00CB02AC">
        <w:rPr>
          <w:spacing w:val="-2"/>
        </w:rPr>
        <w:t>Significance tests for the harmonic fits</w:t>
      </w:r>
      <w:r w:rsidR="00E24AEA">
        <w:rPr>
          <w:spacing w:val="-2"/>
        </w:rPr>
        <w:t xml:space="preserve"> were </w:t>
      </w:r>
      <w:r w:rsidR="0093387F">
        <w:rPr>
          <w:spacing w:val="-2"/>
        </w:rPr>
        <w:t>carried out</w:t>
      </w:r>
      <w:r w:rsidR="00E24AEA">
        <w:rPr>
          <w:spacing w:val="-2"/>
        </w:rPr>
        <w:t xml:space="preserve"> for </w:t>
      </w:r>
      <w:r w:rsidR="00421D59" w:rsidRPr="00421D59">
        <w:rPr>
          <w:spacing w:val="-2"/>
        </w:rPr>
        <w:t>the first and second harmonic</w:t>
      </w:r>
      <w:r w:rsidR="00E24AEA">
        <w:rPr>
          <w:spacing w:val="-2"/>
        </w:rPr>
        <w:t>s</w:t>
      </w:r>
      <w:r w:rsidR="00421D59" w:rsidRPr="00421D59">
        <w:rPr>
          <w:spacing w:val="-2"/>
        </w:rPr>
        <w:t xml:space="preserve"> separately. The </w:t>
      </w:r>
      <w:r w:rsidR="00C35DB2">
        <w:rPr>
          <w:spacing w:val="-2"/>
        </w:rPr>
        <w:t>R</w:t>
      </w:r>
      <w:r w:rsidR="00C35DB2">
        <w:rPr>
          <w:spacing w:val="-2"/>
          <w:vertAlign w:val="superscript"/>
        </w:rPr>
        <w:t>2</w:t>
      </w:r>
      <w:r w:rsidR="00C35DB2">
        <w:rPr>
          <w:spacing w:val="-2"/>
        </w:rPr>
        <w:t xml:space="preserve"> </w:t>
      </w:r>
      <w:r w:rsidR="00421D59" w:rsidRPr="00421D59">
        <w:rPr>
          <w:spacing w:val="-2"/>
        </w:rPr>
        <w:t>value of each harmonic was calculated with the standard formula</w:t>
      </w:r>
    </w:p>
    <w:tbl>
      <w:tblPr>
        <w:tblW w:w="5000" w:type="pct"/>
        <w:jc w:val="center"/>
        <w:tblCellMar>
          <w:left w:w="0" w:type="dxa"/>
          <w:right w:w="0" w:type="dxa"/>
        </w:tblCellMar>
        <w:tblLook w:val="04A0" w:firstRow="1" w:lastRow="0" w:firstColumn="1" w:lastColumn="0" w:noHBand="0" w:noVBand="1"/>
      </w:tblPr>
      <w:tblGrid>
        <w:gridCol w:w="8409"/>
        <w:gridCol w:w="435"/>
      </w:tblGrid>
      <w:tr w:rsidR="00C35DB2" w:rsidRPr="00706F48" w14:paraId="3B7E52BF" w14:textId="77777777" w:rsidTr="005E350A">
        <w:trPr>
          <w:jc w:val="center"/>
        </w:trPr>
        <w:tc>
          <w:tcPr>
            <w:tcW w:w="4754" w:type="pct"/>
          </w:tcPr>
          <w:p w14:paraId="4CF7D346" w14:textId="30CB6DCE" w:rsidR="00C35DB2" w:rsidRPr="00C35DB2" w:rsidRDefault="00C35DB2" w:rsidP="005E350A">
            <w:pPr>
              <w:pStyle w:val="MDPI39equation"/>
            </w:pPr>
            <w:r>
              <w:t>R</w:t>
            </w:r>
            <w:r>
              <w:rPr>
                <w:vertAlign w:val="superscript"/>
              </w:rPr>
              <w:t xml:space="preserve">2 </w:t>
            </w:r>
            <w:r>
              <w:t xml:space="preserve">=1- </w:t>
            </w:r>
            <m:oMath>
              <m:f>
                <m:fPr>
                  <m:ctrlPr>
                    <w:rPr>
                      <w:rFonts w:ascii="Cambria Math" w:hAnsi="Cambria Math"/>
                      <w:i/>
                    </w:rPr>
                  </m:ctrlPr>
                </m:fPr>
                <m:num>
                  <m:r>
                    <w:rPr>
                      <w:rFonts w:ascii="Cambria Math" w:hAnsi="Cambria Math"/>
                    </w:rPr>
                    <m:t>variance(data-fit)</m:t>
                  </m:r>
                </m:num>
                <m:den>
                  <m:r>
                    <w:rPr>
                      <w:rFonts w:ascii="Cambria Math" w:hAnsi="Cambria Math"/>
                    </w:rPr>
                    <m:t>variance(data)</m:t>
                  </m:r>
                </m:den>
              </m:f>
            </m:oMath>
            <w:r w:rsidR="00744DF6">
              <w:t>.</w:t>
            </w:r>
          </w:p>
        </w:tc>
        <w:tc>
          <w:tcPr>
            <w:tcW w:w="246" w:type="pct"/>
            <w:vAlign w:val="center"/>
          </w:tcPr>
          <w:p w14:paraId="5A70FBF2" w14:textId="77777777" w:rsidR="00C35DB2" w:rsidRPr="00706F48" w:rsidRDefault="00C35DB2" w:rsidP="005E350A">
            <w:pPr>
              <w:pStyle w:val="MDPI3aequationnumber"/>
              <w:spacing w:line="260" w:lineRule="atLeast"/>
            </w:pPr>
            <w:r w:rsidRPr="00706F48">
              <w:t>(1)</w:t>
            </w:r>
          </w:p>
        </w:tc>
      </w:tr>
    </w:tbl>
    <w:p w14:paraId="11D06AB0" w14:textId="0C8D80D5" w:rsidR="00C35DB2" w:rsidRDefault="00421D59" w:rsidP="00C35DB2">
      <w:pPr>
        <w:pStyle w:val="MDPI31text"/>
        <w:ind w:firstLine="0"/>
        <w:rPr>
          <w:spacing w:val="-2"/>
        </w:rPr>
      </w:pPr>
      <w:r w:rsidRPr="00421D59">
        <w:rPr>
          <w:spacing w:val="-2"/>
        </w:rPr>
        <w:t xml:space="preserve">The f-statistic was then calculated from </w:t>
      </w:r>
      <w:r w:rsidR="00C35DB2">
        <w:rPr>
          <w:spacing w:val="-2"/>
        </w:rPr>
        <w:t>R</w:t>
      </w:r>
      <w:r w:rsidR="00C35DB2">
        <w:rPr>
          <w:spacing w:val="-2"/>
          <w:vertAlign w:val="superscript"/>
        </w:rPr>
        <w:t>2</w:t>
      </w:r>
      <w:r w:rsidR="00C35DB2">
        <w:rPr>
          <w:spacing w:val="-2"/>
        </w:rPr>
        <w:t xml:space="preserve"> using the equation</w:t>
      </w:r>
    </w:p>
    <w:tbl>
      <w:tblPr>
        <w:tblW w:w="5000" w:type="pct"/>
        <w:jc w:val="center"/>
        <w:tblCellMar>
          <w:left w:w="0" w:type="dxa"/>
          <w:right w:w="0" w:type="dxa"/>
        </w:tblCellMar>
        <w:tblLook w:val="04A0" w:firstRow="1" w:lastRow="0" w:firstColumn="1" w:lastColumn="0" w:noHBand="0" w:noVBand="1"/>
      </w:tblPr>
      <w:tblGrid>
        <w:gridCol w:w="8409"/>
        <w:gridCol w:w="435"/>
      </w:tblGrid>
      <w:tr w:rsidR="00C35DB2" w:rsidRPr="00706F48" w14:paraId="70CEE215" w14:textId="77777777" w:rsidTr="005E350A">
        <w:trPr>
          <w:jc w:val="center"/>
        </w:trPr>
        <w:tc>
          <w:tcPr>
            <w:tcW w:w="4754" w:type="pct"/>
          </w:tcPr>
          <w:p w14:paraId="78E9C930" w14:textId="7FE23A52" w:rsidR="00C35DB2" w:rsidRPr="00C35DB2" w:rsidRDefault="00C35DB2" w:rsidP="005E350A">
            <w:pPr>
              <w:pStyle w:val="MDPI39equation"/>
            </w:pPr>
            <w:r>
              <w:lastRenderedPageBreak/>
              <w:t>f</w:t>
            </w:r>
            <w:r>
              <w:rPr>
                <w:vertAlign w:val="superscript"/>
              </w:rPr>
              <w:t xml:space="preserve"> </w:t>
            </w:r>
            <w:r>
              <w:t xml:space="preserve">= </w:t>
            </w:r>
            <m:oMath>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R</m:t>
                          </m:r>
                        </m:e>
                        <m:sup>
                          <m:r>
                            <w:rPr>
                              <w:rFonts w:ascii="Cambria Math" w:hAnsi="Cambria Math"/>
                            </w:rPr>
                            <m:t>2</m:t>
                          </m:r>
                        </m:sup>
                      </m:sSup>
                    </m:num>
                    <m:den>
                      <m:r>
                        <w:rPr>
                          <w:rFonts w:ascii="Cambria Math" w:hAnsi="Cambria Math"/>
                        </w:rPr>
                        <m:t>1-</m:t>
                      </m:r>
                      <m:sSup>
                        <m:sSupPr>
                          <m:ctrlPr>
                            <w:rPr>
                              <w:rFonts w:ascii="Cambria Math" w:hAnsi="Cambria Math"/>
                              <w:i/>
                            </w:rPr>
                          </m:ctrlPr>
                        </m:sSupPr>
                        <m:e>
                          <m:r>
                            <w:rPr>
                              <w:rFonts w:ascii="Cambria Math" w:hAnsi="Cambria Math"/>
                            </w:rPr>
                            <m:t>R</m:t>
                          </m:r>
                        </m:e>
                        <m:sup>
                          <m:r>
                            <w:rPr>
                              <w:rFonts w:ascii="Cambria Math" w:hAnsi="Cambria Math"/>
                            </w:rPr>
                            <m:t>2</m:t>
                          </m:r>
                        </m:sup>
                      </m:sSup>
                    </m:den>
                  </m:f>
                </m:e>
              </m:d>
              <m:r>
                <w:rPr>
                  <w:rFonts w:ascii="Cambria Math" w:hAnsi="Cambria Math"/>
                </w:rPr>
                <m:t>∙(</m:t>
              </m:r>
              <m:f>
                <m:fPr>
                  <m:ctrlPr>
                    <w:rPr>
                      <w:rFonts w:ascii="Cambria Math" w:hAnsi="Cambria Math"/>
                      <w:i/>
                    </w:rPr>
                  </m:ctrlPr>
                </m:fPr>
                <m:num>
                  <m:r>
                    <w:rPr>
                      <w:rFonts w:ascii="Cambria Math" w:hAnsi="Cambria Math"/>
                    </w:rPr>
                    <m:t>n-k-1</m:t>
                  </m:r>
                </m:num>
                <m:den>
                  <m:r>
                    <w:rPr>
                      <w:rFonts w:ascii="Cambria Math" w:hAnsi="Cambria Math"/>
                    </w:rPr>
                    <m:t>k</m:t>
                  </m:r>
                </m:den>
              </m:f>
              <m:r>
                <w:rPr>
                  <w:rFonts w:ascii="Cambria Math" w:hAnsi="Cambria Math"/>
                </w:rPr>
                <m:t>)</m:t>
              </m:r>
            </m:oMath>
            <w:r>
              <w:t>,</w:t>
            </w:r>
          </w:p>
        </w:tc>
        <w:tc>
          <w:tcPr>
            <w:tcW w:w="246" w:type="pct"/>
            <w:vAlign w:val="center"/>
          </w:tcPr>
          <w:p w14:paraId="3BD83751" w14:textId="2523B88A" w:rsidR="00C35DB2" w:rsidRPr="00706F48" w:rsidRDefault="00C35DB2" w:rsidP="005E350A">
            <w:pPr>
              <w:pStyle w:val="MDPI3aequationnumber"/>
              <w:spacing w:line="260" w:lineRule="atLeast"/>
            </w:pPr>
            <w:r w:rsidRPr="00706F48">
              <w:t>(</w:t>
            </w:r>
            <w:r w:rsidR="00880C6A">
              <w:t>2</w:t>
            </w:r>
            <w:r w:rsidRPr="00706F48">
              <w:t>)</w:t>
            </w:r>
          </w:p>
        </w:tc>
      </w:tr>
    </w:tbl>
    <w:p w14:paraId="0D372805" w14:textId="39B6B396" w:rsidR="00BB391A" w:rsidRDefault="00C35DB2" w:rsidP="00C35DB2">
      <w:pPr>
        <w:pStyle w:val="MDPI31text"/>
        <w:ind w:firstLine="0"/>
        <w:rPr>
          <w:spacing w:val="-2"/>
        </w:rPr>
      </w:pPr>
      <w:r>
        <w:rPr>
          <w:spacing w:val="-2"/>
        </w:rPr>
        <w:t xml:space="preserve">Where n </w:t>
      </w:r>
      <w:r w:rsidR="007454B9">
        <w:rPr>
          <w:spacing w:val="-2"/>
        </w:rPr>
        <w:t>i</w:t>
      </w:r>
      <w:r>
        <w:rPr>
          <w:spacing w:val="-2"/>
        </w:rPr>
        <w:t>s the number of observations (non</w:t>
      </w:r>
      <w:r w:rsidR="00D61FBE">
        <w:rPr>
          <w:spacing w:val="-2"/>
        </w:rPr>
        <w:t>-</w:t>
      </w:r>
      <w:r>
        <w:rPr>
          <w:spacing w:val="-2"/>
        </w:rPr>
        <w:t xml:space="preserve">null data points in the time series at that location) and k </w:t>
      </w:r>
      <w:r w:rsidR="007454B9">
        <w:rPr>
          <w:spacing w:val="-2"/>
        </w:rPr>
        <w:t>i</w:t>
      </w:r>
      <w:r>
        <w:rPr>
          <w:spacing w:val="-2"/>
        </w:rPr>
        <w:t xml:space="preserve">s the number of independent variables, two in the case of looking at the annual and semiannual harmonics individually. </w:t>
      </w:r>
      <w:r w:rsidR="00421D59" w:rsidRPr="00421D59">
        <w:rPr>
          <w:spacing w:val="-2"/>
        </w:rPr>
        <w:t>Then the</w:t>
      </w:r>
      <w:r w:rsidR="00CB02AC">
        <w:rPr>
          <w:spacing w:val="-2"/>
        </w:rPr>
        <w:t xml:space="preserve"> </w:t>
      </w:r>
      <w:r w:rsidR="00421D59" w:rsidRPr="00421D59">
        <w:rPr>
          <w:spacing w:val="-2"/>
        </w:rPr>
        <w:t xml:space="preserve">cumulative </w:t>
      </w:r>
      <w:r w:rsidR="00407DB1">
        <w:rPr>
          <w:spacing w:val="-2"/>
        </w:rPr>
        <w:t>F-</w:t>
      </w:r>
      <w:r w:rsidR="00421D59" w:rsidRPr="00421D59">
        <w:rPr>
          <w:spacing w:val="-2"/>
        </w:rPr>
        <w:t>distribution function was used</w:t>
      </w:r>
      <w:r>
        <w:rPr>
          <w:spacing w:val="-2"/>
        </w:rPr>
        <w:t xml:space="preserve"> on the given f-statistic, n</w:t>
      </w:r>
      <w:r w:rsidR="00421D59" w:rsidRPr="00421D59">
        <w:rPr>
          <w:spacing w:val="-2"/>
        </w:rPr>
        <w:t xml:space="preserve">, </w:t>
      </w:r>
      <w:r>
        <w:rPr>
          <w:spacing w:val="-2"/>
        </w:rPr>
        <w:t xml:space="preserve">and k, </w:t>
      </w:r>
      <w:r w:rsidR="00421D59" w:rsidRPr="00421D59">
        <w:rPr>
          <w:spacing w:val="-2"/>
        </w:rPr>
        <w:t xml:space="preserve">and fits with values greater than 0.95 were considered significant. The significance was calculated as if all the data points were independent observations. In addition to filtering by significance, we only considered locations where we had at least </w:t>
      </w:r>
      <w:proofErr w:type="gramStart"/>
      <w:r w:rsidR="007454B9">
        <w:rPr>
          <w:spacing w:val="-2"/>
        </w:rPr>
        <w:t>one</w:t>
      </w:r>
      <w:r w:rsidR="00421D59" w:rsidRPr="00421D59">
        <w:rPr>
          <w:spacing w:val="-2"/>
        </w:rPr>
        <w:t xml:space="preserve"> year</w:t>
      </w:r>
      <w:proofErr w:type="gramEnd"/>
      <w:r w:rsidR="00421D59" w:rsidRPr="00421D59">
        <w:rPr>
          <w:spacing w:val="-2"/>
        </w:rPr>
        <w:t xml:space="preserve"> total of data points for a given data set.</w:t>
      </w:r>
    </w:p>
    <w:p w14:paraId="5DBE2F9B" w14:textId="72F12052" w:rsidR="00BB391A" w:rsidRDefault="00BB391A" w:rsidP="00BB391A">
      <w:pPr>
        <w:pStyle w:val="MDPI31text"/>
        <w:ind w:firstLine="450"/>
        <w:rPr>
          <w:spacing w:val="-2"/>
        </w:rPr>
      </w:pPr>
      <w:r>
        <w:rPr>
          <w:spacing w:val="-2"/>
        </w:rPr>
        <w:t>In comparing the amplitudes, phases and R</w:t>
      </w:r>
      <w:r w:rsidRPr="00FC7093">
        <w:rPr>
          <w:spacing w:val="-2"/>
          <w:vertAlign w:val="superscript"/>
        </w:rPr>
        <w:t>2</w:t>
      </w:r>
      <w:r>
        <w:rPr>
          <w:spacing w:val="-2"/>
        </w:rPr>
        <w:t xml:space="preserve"> values between mooring and products, we used the entirety of each dataset, including possibly non-overlapping periods. This was done because: 1) the computed amplitudes and phases seemed stable as described below, 2) we wanted to increase the significance of the computed fits, and 3) many of the moorings were sampled sporadically (</w:t>
      </w:r>
      <w:proofErr w:type="gramStart"/>
      <w:r>
        <w:rPr>
          <w:spacing w:val="-2"/>
        </w:rPr>
        <w:t>e.g.</w:t>
      </w:r>
      <w:proofErr w:type="gramEnd"/>
      <w:r>
        <w:rPr>
          <w:spacing w:val="-2"/>
        </w:rPr>
        <w:t xml:space="preserve"> Figure 2a) making determination of overlapping periods computationally cumbersome.</w:t>
      </w:r>
    </w:p>
    <w:p w14:paraId="7DCD50F5" w14:textId="11D82882" w:rsidR="00844180" w:rsidRDefault="00844180" w:rsidP="00426267">
      <w:pPr>
        <w:pStyle w:val="MDPI31text"/>
        <w:rPr>
          <w:spacing w:val="-2"/>
        </w:rPr>
      </w:pPr>
      <w:r>
        <w:rPr>
          <w:spacing w:val="-2"/>
        </w:rPr>
        <w:t xml:space="preserve">As an </w:t>
      </w:r>
      <w:r w:rsidR="00094925">
        <w:rPr>
          <w:spacing w:val="-2"/>
        </w:rPr>
        <w:t>illustration</w:t>
      </w:r>
      <w:r>
        <w:rPr>
          <w:spacing w:val="-2"/>
        </w:rPr>
        <w:t xml:space="preserve"> of the method, we show the mooring data, harmonic fit, SIO data and its fit at the mooring </w:t>
      </w:r>
      <w:r w:rsidR="00424463">
        <w:rPr>
          <w:spacing w:val="-2"/>
        </w:rPr>
        <w:t xml:space="preserve">site </w:t>
      </w:r>
      <w:r>
        <w:rPr>
          <w:spacing w:val="-2"/>
        </w:rPr>
        <w:t>at (0</w:t>
      </w:r>
      <w:r w:rsidR="0004307C">
        <w:rPr>
          <w:spacing w:val="-2"/>
        </w:rPr>
        <w:t>°</w:t>
      </w:r>
      <w:r>
        <w:rPr>
          <w:spacing w:val="-2"/>
        </w:rPr>
        <w:t>N, 0</w:t>
      </w:r>
      <w:r w:rsidR="0004307C">
        <w:rPr>
          <w:spacing w:val="-2"/>
        </w:rPr>
        <w:t>°</w:t>
      </w:r>
      <w:r>
        <w:rPr>
          <w:spacing w:val="-2"/>
        </w:rPr>
        <w:t>E).</w:t>
      </w:r>
      <w:r w:rsidR="009E08FD">
        <w:rPr>
          <w:spacing w:val="-2"/>
        </w:rPr>
        <w:t xml:space="preserve"> Although there are </w:t>
      </w:r>
      <w:r w:rsidR="001B04A4">
        <w:rPr>
          <w:spacing w:val="-2"/>
        </w:rPr>
        <w:t>large</w:t>
      </w:r>
      <w:r w:rsidR="009E08FD">
        <w:rPr>
          <w:spacing w:val="-2"/>
        </w:rPr>
        <w:t xml:space="preserve"> gaps in the mooring record</w:t>
      </w:r>
      <w:r w:rsidR="00745548">
        <w:rPr>
          <w:spacing w:val="-2"/>
        </w:rPr>
        <w:t xml:space="preserve"> (Figure </w:t>
      </w:r>
      <w:r w:rsidR="00143FC1">
        <w:rPr>
          <w:spacing w:val="-2"/>
        </w:rPr>
        <w:t>2a</w:t>
      </w:r>
      <w:r w:rsidR="00745548">
        <w:rPr>
          <w:spacing w:val="-2"/>
        </w:rPr>
        <w:t>)</w:t>
      </w:r>
      <w:r w:rsidR="009E08FD">
        <w:rPr>
          <w:spacing w:val="-2"/>
        </w:rPr>
        <w:t xml:space="preserve">, a major advantage of the harmonic method is that it can </w:t>
      </w:r>
      <w:r w:rsidR="00745548">
        <w:rPr>
          <w:spacing w:val="-2"/>
        </w:rPr>
        <w:t xml:space="preserve">make </w:t>
      </w:r>
      <w:r w:rsidR="009E08FD">
        <w:rPr>
          <w:spacing w:val="-2"/>
        </w:rPr>
        <w:t xml:space="preserve">use </w:t>
      </w:r>
      <w:r w:rsidR="00745548">
        <w:rPr>
          <w:spacing w:val="-2"/>
        </w:rPr>
        <w:t xml:space="preserve">of </w:t>
      </w:r>
      <w:r w:rsidR="009E08FD">
        <w:rPr>
          <w:spacing w:val="-2"/>
        </w:rPr>
        <w:t>such time series. A possible problem with the method is if the amplitude or phase of the seasonal variability changes over time</w:t>
      </w:r>
      <w:r w:rsidR="00745548">
        <w:rPr>
          <w:spacing w:val="-2"/>
        </w:rPr>
        <w:t xml:space="preserve">. The SIO data indicate that for this </w:t>
      </w:r>
      <w:r w:rsidR="001B04A4">
        <w:rPr>
          <w:spacing w:val="-2"/>
        </w:rPr>
        <w:t>location</w:t>
      </w:r>
      <w:r w:rsidR="00745548">
        <w:rPr>
          <w:spacing w:val="-2"/>
        </w:rPr>
        <w:t xml:space="preserve"> this is not an issue (Figure </w:t>
      </w:r>
      <w:r w:rsidR="00143FC1">
        <w:rPr>
          <w:spacing w:val="-2"/>
        </w:rPr>
        <w:t>2b</w:t>
      </w:r>
      <w:r w:rsidR="00745548">
        <w:rPr>
          <w:spacing w:val="-2"/>
        </w:rPr>
        <w:t>).</w:t>
      </w:r>
      <w:r w:rsidR="00426267">
        <w:rPr>
          <w:spacing w:val="-2"/>
        </w:rPr>
        <w:t xml:space="preserve"> </w:t>
      </w:r>
      <w:r w:rsidR="00745548">
        <w:rPr>
          <w:spacing w:val="-2"/>
        </w:rPr>
        <w:t xml:space="preserve">The seasonal maximum or minimum does vary from year to year, but not in a systematic </w:t>
      </w:r>
      <w:r w:rsidR="00527B29">
        <w:rPr>
          <w:spacing w:val="-2"/>
        </w:rPr>
        <w:t xml:space="preserve">or interannual </w:t>
      </w:r>
      <w:r w:rsidR="00745548">
        <w:rPr>
          <w:spacing w:val="-2"/>
        </w:rPr>
        <w:t>way.</w:t>
      </w:r>
      <w:r w:rsidR="001B04A4">
        <w:rPr>
          <w:spacing w:val="-2"/>
        </w:rPr>
        <w:t xml:space="preserve"> The </w:t>
      </w:r>
      <w:r w:rsidR="00424463">
        <w:rPr>
          <w:spacing w:val="-2"/>
        </w:rPr>
        <w:t>signal</w:t>
      </w:r>
      <w:r w:rsidR="001B04A4">
        <w:rPr>
          <w:spacing w:val="-2"/>
        </w:rPr>
        <w:t xml:space="preserve"> appear</w:t>
      </w:r>
      <w:r w:rsidR="00094925">
        <w:rPr>
          <w:spacing w:val="-2"/>
        </w:rPr>
        <w:t>s</w:t>
      </w:r>
      <w:r w:rsidR="001B04A4">
        <w:rPr>
          <w:spacing w:val="-2"/>
        </w:rPr>
        <w:t xml:space="preserve"> phase-locked to the calendar year.</w:t>
      </w:r>
      <w:r w:rsidR="006F06E2">
        <w:rPr>
          <w:spacing w:val="-2"/>
        </w:rPr>
        <w:t xml:space="preserve"> The harmonic fit</w:t>
      </w:r>
      <w:r w:rsidR="00426267">
        <w:rPr>
          <w:spacing w:val="-2"/>
        </w:rPr>
        <w:t>s we have done</w:t>
      </w:r>
      <w:r w:rsidR="006F06E2">
        <w:rPr>
          <w:spacing w:val="-2"/>
        </w:rPr>
        <w:t xml:space="preserve"> </w:t>
      </w:r>
      <w:r w:rsidR="00250B18">
        <w:rPr>
          <w:spacing w:val="-2"/>
        </w:rPr>
        <w:t>do not depict</w:t>
      </w:r>
      <w:r w:rsidR="006F06E2">
        <w:rPr>
          <w:spacing w:val="-2"/>
        </w:rPr>
        <w:t xml:space="preserve"> some of the extreme events in the mooring record (Figure </w:t>
      </w:r>
      <w:r w:rsidR="00143FC1">
        <w:rPr>
          <w:spacing w:val="-2"/>
        </w:rPr>
        <w:t>2c</w:t>
      </w:r>
      <w:r w:rsidR="006F06E2">
        <w:rPr>
          <w:spacing w:val="-2"/>
        </w:rPr>
        <w:t>), so in this sense it acts as a low pass filter.</w:t>
      </w:r>
      <w:r w:rsidR="001B04A4">
        <w:rPr>
          <w:spacing w:val="-2"/>
        </w:rPr>
        <w:t xml:space="preserve"> </w:t>
      </w:r>
      <w:r w:rsidR="00CF3F1E">
        <w:rPr>
          <w:spacing w:val="-2"/>
        </w:rPr>
        <w:t xml:space="preserve">These low SSS events may </w:t>
      </w:r>
      <w:r w:rsidR="001F0914">
        <w:rPr>
          <w:spacing w:val="-2"/>
        </w:rPr>
        <w:t>indicate real events</w:t>
      </w:r>
      <w:r w:rsidR="003808C6">
        <w:rPr>
          <w:spacing w:val="-2"/>
        </w:rPr>
        <w:t xml:space="preserve"> (e.g. </w:t>
      </w:r>
      <w:r w:rsidR="00EF2978">
        <w:rPr>
          <w:spacing w:val="-2"/>
        </w:rPr>
        <w:t>[3</w:t>
      </w:r>
      <w:r w:rsidR="001D12F3">
        <w:rPr>
          <w:spacing w:val="-2"/>
        </w:rPr>
        <w:t>1</w:t>
      </w:r>
      <w:r w:rsidR="00EF2978">
        <w:rPr>
          <w:spacing w:val="-2"/>
        </w:rPr>
        <w:t>]</w:t>
      </w:r>
      <w:r w:rsidR="003808C6">
        <w:rPr>
          <w:spacing w:val="-2"/>
        </w:rPr>
        <w:t>)</w:t>
      </w:r>
      <w:r w:rsidR="001F0914">
        <w:rPr>
          <w:spacing w:val="-2"/>
        </w:rPr>
        <w:t>. The way they are displayed in the figure tend</w:t>
      </w:r>
      <w:r w:rsidR="003808C6">
        <w:rPr>
          <w:spacing w:val="-2"/>
        </w:rPr>
        <w:t>s</w:t>
      </w:r>
      <w:r w:rsidR="001F0914">
        <w:rPr>
          <w:spacing w:val="-2"/>
        </w:rPr>
        <w:t xml:space="preserve"> to exaggerate their importance however, as they generally consist of only a small number of hourly observations. </w:t>
      </w:r>
      <w:r w:rsidR="001B04A4">
        <w:rPr>
          <w:spacing w:val="-2"/>
        </w:rPr>
        <w:t xml:space="preserve">The amplitudes of the two records </w:t>
      </w:r>
      <w:r w:rsidR="001F0914">
        <w:rPr>
          <w:spacing w:val="-2"/>
        </w:rPr>
        <w:t xml:space="preserve">in Figure </w:t>
      </w:r>
      <w:r w:rsidR="00143FC1">
        <w:rPr>
          <w:spacing w:val="-2"/>
        </w:rPr>
        <w:t>2a</w:t>
      </w:r>
      <w:r w:rsidR="00426267">
        <w:rPr>
          <w:spacing w:val="-2"/>
        </w:rPr>
        <w:t>-c</w:t>
      </w:r>
      <w:r w:rsidR="001F0914">
        <w:rPr>
          <w:spacing w:val="-2"/>
        </w:rPr>
        <w:t xml:space="preserve"> are</w:t>
      </w:r>
      <w:r w:rsidR="001B04A4">
        <w:rPr>
          <w:spacing w:val="-2"/>
        </w:rPr>
        <w:t xml:space="preserve"> </w:t>
      </w:r>
      <w:r w:rsidR="001F0914">
        <w:rPr>
          <w:spacing w:val="-2"/>
        </w:rPr>
        <w:t>similar</w:t>
      </w:r>
      <w:r w:rsidR="001B04A4">
        <w:rPr>
          <w:spacing w:val="-2"/>
        </w:rPr>
        <w:t>. The peak-to-peak amplitude of the SIO fit is about 0.8</w:t>
      </w:r>
      <w:r w:rsidR="00B06DAA">
        <w:rPr>
          <w:spacing w:val="-2"/>
        </w:rPr>
        <w:t xml:space="preserve"> (Figure </w:t>
      </w:r>
      <w:r w:rsidR="00143FC1">
        <w:rPr>
          <w:spacing w:val="-2"/>
        </w:rPr>
        <w:t>2b</w:t>
      </w:r>
      <w:r w:rsidR="00B06DAA">
        <w:rPr>
          <w:spacing w:val="-2"/>
        </w:rPr>
        <w:t>)</w:t>
      </w:r>
      <w:r w:rsidR="001B04A4">
        <w:rPr>
          <w:spacing w:val="-2"/>
        </w:rPr>
        <w:t>, whereas that for the mooring is a little larger, about 1.0</w:t>
      </w:r>
      <w:r w:rsidR="00B06DAA">
        <w:rPr>
          <w:spacing w:val="-2"/>
        </w:rPr>
        <w:t xml:space="preserve"> (Figure </w:t>
      </w:r>
      <w:r w:rsidR="00143FC1">
        <w:rPr>
          <w:spacing w:val="-2"/>
        </w:rPr>
        <w:t>2c</w:t>
      </w:r>
      <w:r w:rsidR="00B06DAA">
        <w:rPr>
          <w:spacing w:val="-2"/>
        </w:rPr>
        <w:t>)</w:t>
      </w:r>
      <w:r w:rsidR="001B04A4">
        <w:rPr>
          <w:spacing w:val="-2"/>
        </w:rPr>
        <w:t>.</w:t>
      </w:r>
    </w:p>
    <w:p w14:paraId="6F257842" w14:textId="4AA6F219" w:rsidR="00426267" w:rsidRDefault="00426267" w:rsidP="00426267">
      <w:pPr>
        <w:pStyle w:val="MDPI31text"/>
        <w:rPr>
          <w:spacing w:val="-2"/>
        </w:rPr>
      </w:pPr>
      <w:r>
        <w:rPr>
          <w:spacing w:val="-2"/>
        </w:rPr>
        <w:t>We also show data from a location in the eastern tropical North Pacific (</w:t>
      </w:r>
      <w:r w:rsidR="00FF2E3F">
        <w:rPr>
          <w:spacing w:val="-2"/>
        </w:rPr>
        <w:t xml:space="preserve">Figure 2d; </w:t>
      </w:r>
      <w:r w:rsidR="00C87E63">
        <w:rPr>
          <w:spacing w:val="-2"/>
        </w:rPr>
        <w:t>10</w:t>
      </w:r>
      <w:r w:rsidR="0004307C">
        <w:rPr>
          <w:spacing w:val="-2"/>
        </w:rPr>
        <w:t>°</w:t>
      </w:r>
      <w:r>
        <w:rPr>
          <w:spacing w:val="-2"/>
        </w:rPr>
        <w:t xml:space="preserve">N, </w:t>
      </w:r>
      <w:r w:rsidR="00C87E63">
        <w:rPr>
          <w:spacing w:val="-2"/>
        </w:rPr>
        <w:t>95</w:t>
      </w:r>
      <w:r w:rsidR="0004307C">
        <w:rPr>
          <w:spacing w:val="-2"/>
        </w:rPr>
        <w:t>°</w:t>
      </w:r>
      <w:r>
        <w:rPr>
          <w:spacing w:val="-2"/>
        </w:rPr>
        <w:t xml:space="preserve">W). There is no fit displayed, but it is clear there is a large annual cycle in all the datasets. The amplitude and phase of that annual cycle is relatively stable, except for 2015-2016. That change is likely </w:t>
      </w:r>
      <w:r w:rsidR="00C87E63">
        <w:rPr>
          <w:spacing w:val="-2"/>
        </w:rPr>
        <w:t>associated with</w:t>
      </w:r>
      <w:r>
        <w:rPr>
          <w:spacing w:val="-2"/>
        </w:rPr>
        <w:t xml:space="preserve"> the El Niño event that occurred at that time.</w:t>
      </w:r>
    </w:p>
    <w:p w14:paraId="55DB4788" w14:textId="0259CD6D" w:rsidR="00844180" w:rsidRDefault="00844180" w:rsidP="0014356F">
      <w:pPr>
        <w:pStyle w:val="MDPI31text"/>
        <w:rPr>
          <w:spacing w:val="-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17"/>
      </w:tblGrid>
      <w:tr w:rsidR="001B04A4" w14:paraId="49754194" w14:textId="77777777" w:rsidTr="001B04A4">
        <w:tc>
          <w:tcPr>
            <w:tcW w:w="4417" w:type="dxa"/>
          </w:tcPr>
          <w:p w14:paraId="0206162B" w14:textId="235D952F" w:rsidR="00C45F42" w:rsidRDefault="00C45F42" w:rsidP="00C45F42">
            <w:pPr>
              <w:pStyle w:val="MDPI52figure"/>
            </w:pPr>
            <w:r w:rsidRPr="00C45F42">
              <w:rPr>
                <w:noProof/>
                <w:lang w:eastAsia="zh-CN" w:bidi="ar-SA"/>
              </w:rPr>
              <w:drawing>
                <wp:inline distT="0" distB="0" distL="0" distR="0" wp14:anchorId="5830FD1C" wp14:editId="7325EE41">
                  <wp:extent cx="2584036" cy="2194560"/>
                  <wp:effectExtent l="0" t="0" r="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08733" cy="2215535"/>
                          </a:xfrm>
                          <a:prstGeom prst="rect">
                            <a:avLst/>
                          </a:prstGeom>
                        </pic:spPr>
                      </pic:pic>
                    </a:graphicData>
                  </a:graphic>
                </wp:inline>
              </w:drawing>
            </w:r>
          </w:p>
        </w:tc>
        <w:tc>
          <w:tcPr>
            <w:tcW w:w="4417" w:type="dxa"/>
          </w:tcPr>
          <w:p w14:paraId="3E8D2FF3" w14:textId="4DBBBB53" w:rsidR="00C45F42" w:rsidRDefault="00C45F42" w:rsidP="00C45F42">
            <w:pPr>
              <w:pStyle w:val="MDPI52figure"/>
            </w:pPr>
            <w:r w:rsidRPr="00C45F42">
              <w:rPr>
                <w:noProof/>
                <w:lang w:eastAsia="zh-CN" w:bidi="ar-SA"/>
              </w:rPr>
              <w:drawing>
                <wp:inline distT="0" distB="0" distL="0" distR="0" wp14:anchorId="360E3EB0" wp14:editId="58CEA031">
                  <wp:extent cx="2623089" cy="2195102"/>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53075" cy="2220195"/>
                          </a:xfrm>
                          <a:prstGeom prst="rect">
                            <a:avLst/>
                          </a:prstGeom>
                        </pic:spPr>
                      </pic:pic>
                    </a:graphicData>
                  </a:graphic>
                </wp:inline>
              </w:drawing>
            </w:r>
          </w:p>
        </w:tc>
      </w:tr>
      <w:tr w:rsidR="001B04A4" w14:paraId="3A5B1461" w14:textId="77777777" w:rsidTr="001B04A4">
        <w:tc>
          <w:tcPr>
            <w:tcW w:w="4417" w:type="dxa"/>
          </w:tcPr>
          <w:p w14:paraId="326197B8" w14:textId="2EF2768B" w:rsidR="00C45F42" w:rsidRDefault="00C45F42" w:rsidP="00C45F42">
            <w:pPr>
              <w:pStyle w:val="MDPI52figure"/>
            </w:pPr>
            <w:r w:rsidRPr="00C45F42">
              <w:rPr>
                <w:noProof/>
                <w:lang w:eastAsia="zh-CN" w:bidi="ar-SA"/>
              </w:rPr>
              <w:lastRenderedPageBreak/>
              <w:drawing>
                <wp:inline distT="0" distB="0" distL="0" distR="0" wp14:anchorId="26BA7FE6" wp14:editId="52AB0E67">
                  <wp:extent cx="2642705" cy="2244386"/>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663175" cy="2261770"/>
                          </a:xfrm>
                          <a:prstGeom prst="rect">
                            <a:avLst/>
                          </a:prstGeom>
                        </pic:spPr>
                      </pic:pic>
                    </a:graphicData>
                  </a:graphic>
                </wp:inline>
              </w:drawing>
            </w:r>
          </w:p>
        </w:tc>
        <w:tc>
          <w:tcPr>
            <w:tcW w:w="4417" w:type="dxa"/>
          </w:tcPr>
          <w:p w14:paraId="65063639" w14:textId="3877DEDA" w:rsidR="00C45F42" w:rsidRDefault="00F87E59" w:rsidP="00C45F42">
            <w:pPr>
              <w:pStyle w:val="MDPI52figure"/>
            </w:pPr>
            <w:commentRangeStart w:id="4"/>
            <w:r>
              <w:rPr>
                <w:noProof/>
                <w:snapToGrid/>
                <w:lang w:eastAsia="zh-CN" w:bidi="ar-SA"/>
              </w:rPr>
              <w:drawing>
                <wp:inline distT="0" distB="0" distL="0" distR="0" wp14:anchorId="69AD233D" wp14:editId="1B12BFF0">
                  <wp:extent cx="2647507" cy="221074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2662540" cy="2223299"/>
                          </a:xfrm>
                          <a:prstGeom prst="rect">
                            <a:avLst/>
                          </a:prstGeom>
                        </pic:spPr>
                      </pic:pic>
                    </a:graphicData>
                  </a:graphic>
                </wp:inline>
              </w:drawing>
            </w:r>
            <w:commentRangeEnd w:id="4"/>
            <w:r w:rsidR="003D0E1C">
              <w:rPr>
                <w:rStyle w:val="CommentReference"/>
                <w:rFonts w:ascii="Times New Roman" w:hAnsi="Times New Roman"/>
                <w:snapToGrid/>
                <w:lang w:bidi="ar-SA"/>
              </w:rPr>
              <w:commentReference w:id="4"/>
            </w:r>
          </w:p>
        </w:tc>
      </w:tr>
    </w:tbl>
    <w:p w14:paraId="4A2A83CC" w14:textId="41148487" w:rsidR="00844180" w:rsidRPr="00EC2BB7" w:rsidRDefault="001B04A4" w:rsidP="001B04A4">
      <w:pPr>
        <w:pStyle w:val="MDPI51figurecaption"/>
      </w:pPr>
      <w:r>
        <w:t xml:space="preserve">Figure </w:t>
      </w:r>
      <w:r w:rsidR="00B52A34">
        <w:t>2</w:t>
      </w:r>
      <w:r>
        <w:t>.</w:t>
      </w:r>
      <w:r w:rsidR="00B06DAA">
        <w:t xml:space="preserve"> </w:t>
      </w:r>
      <w:r>
        <w:t>Harmonic fits and observations of SSS at (0</w:t>
      </w:r>
      <w:r w:rsidR="0004307C">
        <w:t>°</w:t>
      </w:r>
      <w:r>
        <w:t>N, 0</w:t>
      </w:r>
      <w:r w:rsidR="0004307C">
        <w:t>°</w:t>
      </w:r>
      <w:r>
        <w:t>E). (a) Mooring (</w:t>
      </w:r>
      <w:r w:rsidR="007454B9">
        <w:t>red</w:t>
      </w:r>
      <w:r>
        <w:t>) and SIO (blue) observations. (b) SIO anomaly (</w:t>
      </w:r>
      <w:r w:rsidR="007454B9">
        <w:t>red</w:t>
      </w:r>
      <w:r>
        <w:t>) and its harmonic fit (blue). (c) Mooring (</w:t>
      </w:r>
      <w:r w:rsidR="007454B9">
        <w:t>red</w:t>
      </w:r>
      <w:r>
        <w:t>) and its harmonic fit (blue)</w:t>
      </w:r>
      <w:r w:rsidR="00426267">
        <w:t xml:space="preserve">. (d) SSS data from </w:t>
      </w:r>
      <w:r w:rsidR="00F87E59">
        <w:t>10</w:t>
      </w:r>
      <w:r w:rsidR="0004307C">
        <w:t>°</w:t>
      </w:r>
      <w:r w:rsidR="00426267">
        <w:t xml:space="preserve">N, </w:t>
      </w:r>
      <w:r w:rsidR="00F87E59">
        <w:t>9</w:t>
      </w:r>
      <w:r w:rsidR="00426267">
        <w:t>5</w:t>
      </w:r>
      <w:r w:rsidR="0004307C">
        <w:t>°</w:t>
      </w:r>
      <w:r w:rsidR="00426267">
        <w:t xml:space="preserve">W. Source of data is indicated in the legend at the </w:t>
      </w:r>
      <w:r w:rsidR="00F87E59">
        <w:t>bottom left</w:t>
      </w:r>
      <w:r w:rsidR="00426267">
        <w:t>.</w:t>
      </w:r>
    </w:p>
    <w:p w14:paraId="1267423B" w14:textId="73374613" w:rsidR="0014356F" w:rsidRDefault="0014356F" w:rsidP="0014356F">
      <w:pPr>
        <w:pStyle w:val="MDPI21heading1"/>
      </w:pPr>
      <w:r w:rsidRPr="00706F48">
        <w:t>3. Results</w:t>
      </w:r>
    </w:p>
    <w:p w14:paraId="2A883400" w14:textId="130E66DD" w:rsidR="008E3C66" w:rsidRPr="00706F48" w:rsidRDefault="008E3C66" w:rsidP="008E3C66">
      <w:pPr>
        <w:pStyle w:val="MDPI22heading2"/>
      </w:pPr>
      <w:r>
        <w:t>3.1 Amplitude and phase maps</w:t>
      </w:r>
    </w:p>
    <w:p w14:paraId="7A377898" w14:textId="7C58C780" w:rsidR="007A7267" w:rsidRDefault="00A65F11" w:rsidP="0014356F">
      <w:pPr>
        <w:pStyle w:val="MDPI31text"/>
      </w:pPr>
      <w:r>
        <w:t xml:space="preserve">The annual harmonics for the moorings (Figure </w:t>
      </w:r>
      <w:r w:rsidR="00143FC1">
        <w:t>3</w:t>
      </w:r>
      <w:r>
        <w:t>) indicate a variety of amplitudes and phases. The largest amplitude</w:t>
      </w:r>
      <w:r w:rsidR="00DE27D6">
        <w:t>, ~1.0,</w:t>
      </w:r>
      <w:r>
        <w:t xml:space="preserve"> is near the west coast of Africa in the vicinity of the outlet of the Congo River.</w:t>
      </w:r>
      <w:r w:rsidR="00491017">
        <w:t xml:space="preserve"> Other areas with large amplitude are in the Amazon River outflow in the western Atlantic, the western tropical Indian Ocean south of the equator, and along 10</w:t>
      </w:r>
      <w:r w:rsidR="0004307C">
        <w:t>°</w:t>
      </w:r>
      <w:r w:rsidR="00491017">
        <w:t>N in the North Pacific.</w:t>
      </w:r>
      <w:r w:rsidR="00FA796F">
        <w:t xml:space="preserve"> The sizes of the harmonics shown </w:t>
      </w:r>
      <w:r w:rsidR="00562095">
        <w:t>match well with the values reported by</w:t>
      </w:r>
      <w:r w:rsidR="006A567D">
        <w:t xml:space="preserve"> [15-18]</w:t>
      </w:r>
      <w:r w:rsidR="00562095">
        <w:t xml:space="preserve"> </w:t>
      </w:r>
      <w:r w:rsidR="00DD69B0">
        <w:t>among others</w:t>
      </w:r>
      <w:r w:rsidR="00562095">
        <w:t>.</w:t>
      </w:r>
      <w:r w:rsidR="002A13A4">
        <w:t xml:space="preserve"> Phases show maximum SSS in the northern hemisphere </w:t>
      </w:r>
      <w:r w:rsidR="009B3E62">
        <w:t>mostly in December-January and in the southern hemisphere in July-August</w:t>
      </w:r>
      <w:r w:rsidR="00C9394C">
        <w:t>. T</w:t>
      </w:r>
      <w:r w:rsidR="00A3354A">
        <w:t xml:space="preserve">he main exception to this </w:t>
      </w:r>
      <w:r w:rsidR="00C9394C">
        <w:t xml:space="preserve">is </w:t>
      </w:r>
      <w:r w:rsidR="00A3354A">
        <w:t>in the Bay of Bengal</w:t>
      </w:r>
      <w:r w:rsidR="00C9394C">
        <w:t>, with maximum SSS there in June</w:t>
      </w:r>
      <w:r w:rsidR="00A3354A">
        <w:t>.</w:t>
      </w:r>
    </w:p>
    <w:p w14:paraId="1AF29042" w14:textId="77777777" w:rsidR="00A65F11" w:rsidRDefault="00A65F11" w:rsidP="0014356F">
      <w:pPr>
        <w:pStyle w:val="MDPI31text"/>
      </w:pPr>
    </w:p>
    <w:p w14:paraId="12ED4E5A" w14:textId="4E7F1B26" w:rsidR="00A65F11" w:rsidRDefault="0024314E" w:rsidP="00A65F11">
      <w:pPr>
        <w:pStyle w:val="MDPI52figure"/>
      </w:pPr>
      <w:r>
        <w:rPr>
          <w:noProof/>
          <w:snapToGrid/>
        </w:rPr>
        <w:drawing>
          <wp:inline distT="0" distB="0" distL="0" distR="0" wp14:anchorId="7D415FBC" wp14:editId="500A6884">
            <wp:extent cx="3369733" cy="184794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9">
                      <a:extLst>
                        <a:ext uri="{28A0092B-C50C-407E-A947-70E740481C1C}">
                          <a14:useLocalDpi xmlns:a14="http://schemas.microsoft.com/office/drawing/2010/main" val="0"/>
                        </a:ext>
                      </a:extLst>
                    </a:blip>
                    <a:stretch>
                      <a:fillRect/>
                    </a:stretch>
                  </pic:blipFill>
                  <pic:spPr>
                    <a:xfrm>
                      <a:off x="0" y="0"/>
                      <a:ext cx="3412022" cy="1871134"/>
                    </a:xfrm>
                    <a:prstGeom prst="rect">
                      <a:avLst/>
                    </a:prstGeom>
                  </pic:spPr>
                </pic:pic>
              </a:graphicData>
            </a:graphic>
          </wp:inline>
        </w:drawing>
      </w:r>
    </w:p>
    <w:p w14:paraId="4C022F69" w14:textId="10EB7CAF" w:rsidR="00A65F11" w:rsidRDefault="0024314E" w:rsidP="00756E62">
      <w:pPr>
        <w:pStyle w:val="MDPI52figure"/>
      </w:pPr>
      <w:r>
        <w:rPr>
          <w:noProof/>
          <w:snapToGrid/>
        </w:rPr>
        <w:drawing>
          <wp:inline distT="0" distB="0" distL="0" distR="0" wp14:anchorId="351AF7DA" wp14:editId="2F537A4B">
            <wp:extent cx="3394710" cy="1873539"/>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0">
                      <a:extLst>
                        <a:ext uri="{28A0092B-C50C-407E-A947-70E740481C1C}">
                          <a14:useLocalDpi xmlns:a14="http://schemas.microsoft.com/office/drawing/2010/main" val="0"/>
                        </a:ext>
                      </a:extLst>
                    </a:blip>
                    <a:stretch>
                      <a:fillRect/>
                    </a:stretch>
                  </pic:blipFill>
                  <pic:spPr>
                    <a:xfrm>
                      <a:off x="0" y="0"/>
                      <a:ext cx="3441095" cy="1899139"/>
                    </a:xfrm>
                    <a:prstGeom prst="rect">
                      <a:avLst/>
                    </a:prstGeom>
                  </pic:spPr>
                </pic:pic>
              </a:graphicData>
            </a:graphic>
          </wp:inline>
        </w:drawing>
      </w:r>
    </w:p>
    <w:p w14:paraId="72834CC2" w14:textId="688CB49D" w:rsidR="00573356" w:rsidRDefault="00573356" w:rsidP="00756E62">
      <w:pPr>
        <w:pStyle w:val="MDPI51figurecaption"/>
      </w:pPr>
      <w:r>
        <w:lastRenderedPageBreak/>
        <w:t xml:space="preserve">Figure </w:t>
      </w:r>
      <w:r w:rsidR="00143FC1">
        <w:t>3</w:t>
      </w:r>
      <w:r>
        <w:t xml:space="preserve">. Amplitude and phase of the first harmonic from the moorings. Each symbol is for one mooring at its given location. The amplitude is indicated by the area of the symbol, with scale in </w:t>
      </w:r>
      <w:r w:rsidR="00D17754">
        <w:t xml:space="preserve">dark </w:t>
      </w:r>
      <w:r>
        <w:t xml:space="preserve">blue near the top </w:t>
      </w:r>
      <w:r w:rsidR="003B1493">
        <w:t xml:space="preserve">middle </w:t>
      </w:r>
      <w:r>
        <w:t>of each figure. The color of each symbol indicates the phase, as the month of maximum SSS, with color scale in months</w:t>
      </w:r>
      <w:r w:rsidR="00FE28FF">
        <w:t xml:space="preserve"> (Jan</w:t>
      </w:r>
      <w:r w:rsidR="00EF78AB">
        <w:t>uary</w:t>
      </w:r>
      <w:r w:rsidR="00FE28FF">
        <w:t>-</w:t>
      </w:r>
      <w:r w:rsidR="00EF78AB">
        <w:t>January</w:t>
      </w:r>
      <w:r w:rsidR="00FE28FF">
        <w:t>)</w:t>
      </w:r>
      <w:r>
        <w:t xml:space="preserve"> at the bottom.</w:t>
      </w:r>
      <w:r w:rsidR="00122027">
        <w:t xml:space="preserve"> Symbols with a black “X” were </w:t>
      </w:r>
      <w:r w:rsidR="001C2A07">
        <w:t xml:space="preserve">either </w:t>
      </w:r>
      <w:r w:rsidR="00122027">
        <w:t xml:space="preserve">found not to have a significant fit to the annual </w:t>
      </w:r>
      <w:proofErr w:type="gramStart"/>
      <w:r w:rsidR="00122027">
        <w:t>harmonic</w:t>
      </w:r>
      <w:r w:rsidR="001C2A07">
        <w:t>, or</w:t>
      </w:r>
      <w:proofErr w:type="gramEnd"/>
      <w:r w:rsidR="001C2A07">
        <w:t xml:space="preserve"> contained less than one year of observations</w:t>
      </w:r>
      <w:r w:rsidR="00122027">
        <w:t>.</w:t>
      </w:r>
      <w:r>
        <w:t xml:space="preserve"> The maps use an equal area conic projection. This means that though the symbols </w:t>
      </w:r>
      <w:r w:rsidR="00EF78AB">
        <w:t xml:space="preserve">change </w:t>
      </w:r>
      <w:r>
        <w:t xml:space="preserve">in shape from north to south, the </w:t>
      </w:r>
      <w:r w:rsidR="00122027">
        <w:t xml:space="preserve">relative </w:t>
      </w:r>
      <w:r>
        <w:t>area</w:t>
      </w:r>
      <w:r w:rsidR="00122027">
        <w:t>s</w:t>
      </w:r>
      <w:r>
        <w:t xml:space="preserve"> </w:t>
      </w:r>
      <w:r w:rsidR="00122027">
        <w:t>are</w:t>
      </w:r>
      <w:r>
        <w:t xml:space="preserve"> depicted correctly</w:t>
      </w:r>
      <w:r w:rsidR="00D17754">
        <w:t xml:space="preserve"> in relation to the dark blue scale</w:t>
      </w:r>
      <w:r>
        <w:t xml:space="preserve">. </w:t>
      </w:r>
      <w:r w:rsidRPr="00756E62">
        <w:rPr>
          <w:b/>
        </w:rPr>
        <w:t>(a)</w:t>
      </w:r>
      <w:r>
        <w:t xml:space="preserve"> Pacific basin. </w:t>
      </w:r>
      <w:r w:rsidRPr="00756E62">
        <w:rPr>
          <w:b/>
        </w:rPr>
        <w:t>(b)</w:t>
      </w:r>
      <w:r>
        <w:t xml:space="preserve"> Atlantic and Indian b</w:t>
      </w:r>
      <w:r w:rsidR="00122027">
        <w:t>a</w:t>
      </w:r>
      <w:r>
        <w:t>sins.</w:t>
      </w:r>
      <w:r w:rsidR="00D03B35">
        <w:t xml:space="preserve"> For completeness, we include maps of amplitude and phase for all products for both annual (Table </w:t>
      </w:r>
      <w:r w:rsidR="00D03B35" w:rsidRPr="00D42143">
        <w:t>S</w:t>
      </w:r>
      <w:r w:rsidR="00F7739E" w:rsidRPr="00D42143">
        <w:t>2</w:t>
      </w:r>
      <w:r w:rsidR="00D03B35">
        <w:t xml:space="preserve">) and semi-annual (Table </w:t>
      </w:r>
      <w:r w:rsidR="00D03B35" w:rsidRPr="00D42143">
        <w:t>S</w:t>
      </w:r>
      <w:r w:rsidR="00F7739E" w:rsidRPr="00D42143">
        <w:t>5</w:t>
      </w:r>
      <w:r w:rsidR="00D03B35">
        <w:t>) harmonics.</w:t>
      </w:r>
    </w:p>
    <w:p w14:paraId="6B953C29" w14:textId="77777777" w:rsidR="00573356" w:rsidRDefault="00573356" w:rsidP="0014356F">
      <w:pPr>
        <w:pStyle w:val="MDPI31text"/>
      </w:pPr>
    </w:p>
    <w:p w14:paraId="1AD3C4ED" w14:textId="5D8CAB9A" w:rsidR="00A65F11" w:rsidRDefault="00943B63" w:rsidP="0014356F">
      <w:pPr>
        <w:pStyle w:val="MDPI31text"/>
      </w:pPr>
      <w:r>
        <w:t>Next</w:t>
      </w:r>
      <w:r w:rsidR="00756E62">
        <w:t>,</w:t>
      </w:r>
      <w:r>
        <w:t xml:space="preserve"> we show </w:t>
      </w:r>
      <w:r w:rsidR="00134E85">
        <w:t>maps</w:t>
      </w:r>
      <w:r w:rsidR="00573356">
        <w:t xml:space="preserve"> of </w:t>
      </w:r>
      <w:r w:rsidR="0083551B">
        <w:t>fraction of</w:t>
      </w:r>
      <w:r w:rsidR="00573356">
        <w:t xml:space="preserve"> variance, R</w:t>
      </w:r>
      <w:r w:rsidR="00573356" w:rsidRPr="00756E62">
        <w:rPr>
          <w:vertAlign w:val="superscript"/>
        </w:rPr>
        <w:t>2</w:t>
      </w:r>
      <w:r w:rsidR="00134E85">
        <w:t xml:space="preserve">, </w:t>
      </w:r>
      <w:r w:rsidR="00756E62">
        <w:t xml:space="preserve">explained by the harmonic fit </w:t>
      </w:r>
      <w:r w:rsidR="00573356">
        <w:t xml:space="preserve">(Figure </w:t>
      </w:r>
      <w:r w:rsidR="00585D2B">
        <w:t>4</w:t>
      </w:r>
      <w:r w:rsidR="00573356">
        <w:t>).</w:t>
      </w:r>
      <w:r w:rsidR="00705996">
        <w:t xml:space="preserve"> In the Pacific basin, the numbers tend to be larger, over </w:t>
      </w:r>
      <w:r w:rsidR="00C803C2">
        <w:t>0.5</w:t>
      </w:r>
      <w:r w:rsidR="00705996">
        <w:t>, in the ITCZ, in the western Pacific and south of the equator</w:t>
      </w:r>
      <w:r w:rsidR="00FF546C">
        <w:t xml:space="preserve"> in the eastern Pacific</w:t>
      </w:r>
      <w:r w:rsidR="00705996">
        <w:t>, whereas they are small along the equator. In the Atlantic all the values are large, especially near the coast of Africa. In the Indian basin, the values get very large, approaching 1</w:t>
      </w:r>
      <w:r w:rsidR="0083551B">
        <w:t xml:space="preserve"> </w:t>
      </w:r>
      <w:r w:rsidR="00705996">
        <w:t xml:space="preserve">in the western South Indian. All of these results indicate that in many areas, the seasonal time scale represents a large fraction of the total signal </w:t>
      </w:r>
      <w:r w:rsidR="006A567D">
        <w:t>[18,19].</w:t>
      </w:r>
    </w:p>
    <w:p w14:paraId="324A0D94" w14:textId="77777777" w:rsidR="00756E62" w:rsidRDefault="00756E62" w:rsidP="0014356F">
      <w:pPr>
        <w:pStyle w:val="MDPI31text"/>
      </w:pPr>
    </w:p>
    <w:p w14:paraId="1C6B02FB" w14:textId="451CE765" w:rsidR="00A65F11" w:rsidRDefault="00756E62" w:rsidP="00756E62">
      <w:pPr>
        <w:pStyle w:val="MDPI52figure"/>
      </w:pPr>
      <w:r>
        <w:rPr>
          <w:noProof/>
          <w:snapToGrid/>
          <w:lang w:eastAsia="zh-CN" w:bidi="ar-SA"/>
        </w:rPr>
        <w:drawing>
          <wp:inline distT="0" distB="0" distL="0" distR="0" wp14:anchorId="45395707" wp14:editId="579C7BC6">
            <wp:extent cx="3840480" cy="171788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cific.eps"/>
                    <pic:cNvPicPr/>
                  </pic:nvPicPr>
                  <pic:blipFill>
                    <a:blip r:embed="rId21">
                      <a:extLst>
                        <a:ext uri="{28A0092B-C50C-407E-A947-70E740481C1C}">
                          <a14:useLocalDpi xmlns:a14="http://schemas.microsoft.com/office/drawing/2010/main" val="0"/>
                        </a:ext>
                      </a:extLst>
                    </a:blip>
                    <a:stretch>
                      <a:fillRect/>
                    </a:stretch>
                  </pic:blipFill>
                  <pic:spPr>
                    <a:xfrm>
                      <a:off x="0" y="0"/>
                      <a:ext cx="3861430" cy="1727252"/>
                    </a:xfrm>
                    <a:prstGeom prst="rect">
                      <a:avLst/>
                    </a:prstGeom>
                  </pic:spPr>
                </pic:pic>
              </a:graphicData>
            </a:graphic>
          </wp:inline>
        </w:drawing>
      </w:r>
    </w:p>
    <w:p w14:paraId="00E5EF07" w14:textId="5082980E" w:rsidR="00756E62" w:rsidRDefault="00756E62" w:rsidP="00756E62">
      <w:pPr>
        <w:pStyle w:val="MDPI52figure"/>
      </w:pPr>
      <w:r>
        <w:rPr>
          <w:noProof/>
          <w:snapToGrid/>
          <w:lang w:eastAsia="zh-CN" w:bidi="ar-SA"/>
        </w:rPr>
        <w:drawing>
          <wp:inline distT="0" distB="0" distL="0" distR="0" wp14:anchorId="3D104154" wp14:editId="3F1718B0">
            <wp:extent cx="3860800" cy="1738320"/>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tlanticIndian.eps"/>
                    <pic:cNvPicPr/>
                  </pic:nvPicPr>
                  <pic:blipFill>
                    <a:blip r:embed="rId22">
                      <a:extLst>
                        <a:ext uri="{28A0092B-C50C-407E-A947-70E740481C1C}">
                          <a14:useLocalDpi xmlns:a14="http://schemas.microsoft.com/office/drawing/2010/main" val="0"/>
                        </a:ext>
                      </a:extLst>
                    </a:blip>
                    <a:stretch>
                      <a:fillRect/>
                    </a:stretch>
                  </pic:blipFill>
                  <pic:spPr>
                    <a:xfrm>
                      <a:off x="0" y="0"/>
                      <a:ext cx="3879431" cy="1746709"/>
                    </a:xfrm>
                    <a:prstGeom prst="rect">
                      <a:avLst/>
                    </a:prstGeom>
                  </pic:spPr>
                </pic:pic>
              </a:graphicData>
            </a:graphic>
          </wp:inline>
        </w:drawing>
      </w:r>
    </w:p>
    <w:p w14:paraId="7297541A" w14:textId="0E08D736" w:rsidR="00A65F11" w:rsidRDefault="00756E62" w:rsidP="00756E62">
      <w:pPr>
        <w:pStyle w:val="MDPI51figurecaption"/>
      </w:pPr>
      <w:r>
        <w:t xml:space="preserve">Figure </w:t>
      </w:r>
      <w:r w:rsidR="007F0FE5">
        <w:t>4</w:t>
      </w:r>
      <w:r>
        <w:t xml:space="preserve">. As in Figure </w:t>
      </w:r>
      <w:r w:rsidR="007F0FE5">
        <w:t>3</w:t>
      </w:r>
      <w:r>
        <w:t xml:space="preserve">, but for </w:t>
      </w:r>
      <w:r w:rsidR="0083551B">
        <w:t>fraction</w:t>
      </w:r>
      <w:r>
        <w:t xml:space="preserve"> of variance, R</w:t>
      </w:r>
      <w:r w:rsidRPr="00A26C67">
        <w:rPr>
          <w:vertAlign w:val="superscript"/>
        </w:rPr>
        <w:t>2</w:t>
      </w:r>
      <w:r>
        <w:t xml:space="preserve">, explained by the </w:t>
      </w:r>
      <w:r w:rsidR="00744DF6">
        <w:t xml:space="preserve">annual </w:t>
      </w:r>
      <w:r>
        <w:t>harmonic fit.</w:t>
      </w:r>
      <w:r w:rsidR="00D03B35">
        <w:t xml:space="preserve"> For completeness, we include maps of R</w:t>
      </w:r>
      <w:r w:rsidR="00D03B35" w:rsidRPr="0004307C">
        <w:rPr>
          <w:vertAlign w:val="superscript"/>
        </w:rPr>
        <w:t>2</w:t>
      </w:r>
      <w:r w:rsidR="00D03B35">
        <w:t xml:space="preserve"> for all products for both annual (Table </w:t>
      </w:r>
      <w:r w:rsidR="00D03B35" w:rsidRPr="001702BD">
        <w:t>S</w:t>
      </w:r>
      <w:r w:rsidR="00F7739E" w:rsidRPr="001702BD">
        <w:t>3</w:t>
      </w:r>
      <w:r w:rsidR="00D03B35">
        <w:t xml:space="preserve">) and semi-annual (Table </w:t>
      </w:r>
      <w:r w:rsidR="00D03B35" w:rsidRPr="001702BD">
        <w:t>S</w:t>
      </w:r>
      <w:r w:rsidR="00F7739E" w:rsidRPr="001702BD">
        <w:t>6</w:t>
      </w:r>
      <w:r w:rsidR="00D03B35">
        <w:t>) harmonics.</w:t>
      </w:r>
    </w:p>
    <w:p w14:paraId="015D2CA2" w14:textId="7F894B33" w:rsidR="00756E62" w:rsidRDefault="00A26C67" w:rsidP="0014356F">
      <w:pPr>
        <w:pStyle w:val="MDPI31text"/>
      </w:pPr>
      <w:r>
        <w:t>T</w:t>
      </w:r>
      <w:r w:rsidR="00705996">
        <w:t xml:space="preserve">he results presented in Figures </w:t>
      </w:r>
      <w:r w:rsidR="007F0FE5">
        <w:t xml:space="preserve">3 </w:t>
      </w:r>
      <w:r w:rsidR="00705996">
        <w:t xml:space="preserve">and </w:t>
      </w:r>
      <w:r w:rsidR="007F0FE5">
        <w:t xml:space="preserve">4 </w:t>
      </w:r>
      <w:r w:rsidR="00C803C2">
        <w:t xml:space="preserve">for the </w:t>
      </w:r>
      <w:r w:rsidR="0059713D">
        <w:t>G</w:t>
      </w:r>
      <w:r w:rsidR="00C803C2">
        <w:t xml:space="preserve">TMBA </w:t>
      </w:r>
      <w:r w:rsidR="00705996">
        <w:t xml:space="preserve">are consistent with previous such calculations </w:t>
      </w:r>
      <w:r w:rsidR="006A567D">
        <w:t xml:space="preserve">[15-17] </w:t>
      </w:r>
      <w:r w:rsidR="00705996">
        <w:t>using different datasets</w:t>
      </w:r>
      <w:r w:rsidR="0021065E">
        <w:t xml:space="preserve"> or </w:t>
      </w:r>
      <w:r w:rsidR="00EF2978">
        <w:t>[1</w:t>
      </w:r>
      <w:r w:rsidR="006D7A92">
        <w:t>8</w:t>
      </w:r>
      <w:r w:rsidR="00EF2978">
        <w:t>]</w:t>
      </w:r>
      <w:r w:rsidR="0021065E">
        <w:t xml:space="preserve"> using mostly the same datasets</w:t>
      </w:r>
      <w:r w:rsidR="00705996">
        <w:t>. What we do differently here is to compare the various datasets against the moorings as ground truth, and to some extent each other.</w:t>
      </w:r>
      <w:r w:rsidR="00E62B22">
        <w:t xml:space="preserve"> Analyses such as those of Figures </w:t>
      </w:r>
      <w:r w:rsidR="007F0FE5">
        <w:t xml:space="preserve">3 </w:t>
      </w:r>
      <w:r w:rsidR="00E62B22">
        <w:t xml:space="preserve">and </w:t>
      </w:r>
      <w:r w:rsidR="007F0FE5">
        <w:t xml:space="preserve">4 </w:t>
      </w:r>
      <w:r w:rsidR="00E62B22">
        <w:t>were carried out for all the different datasets</w:t>
      </w:r>
      <w:r w:rsidR="000C018B">
        <w:t xml:space="preserve"> mentioned in section 2</w:t>
      </w:r>
      <w:r w:rsidR="00E62B22">
        <w:t>.</w:t>
      </w:r>
      <w:r>
        <w:t xml:space="preserve"> </w:t>
      </w:r>
      <w:r w:rsidR="007E1771">
        <w:t>W</w:t>
      </w:r>
      <w:r>
        <w:t>e present a couple of examples</w:t>
      </w:r>
      <w:r w:rsidR="0059713D">
        <w:t xml:space="preserve"> similar to Figure 3</w:t>
      </w:r>
      <w:r>
        <w:t xml:space="preserve"> here and </w:t>
      </w:r>
      <w:r w:rsidR="0059713D">
        <w:t>a more complete set</w:t>
      </w:r>
      <w:r>
        <w:t xml:space="preserve"> of them in the supplemental materials.</w:t>
      </w:r>
    </w:p>
    <w:p w14:paraId="780A5553" w14:textId="1F5E6B2B" w:rsidR="00A26C67" w:rsidRDefault="00A26C67" w:rsidP="0014356F">
      <w:pPr>
        <w:pStyle w:val="MDPI31text"/>
      </w:pPr>
      <w:r>
        <w:t xml:space="preserve">The RSS SMAP amplitude and phase </w:t>
      </w:r>
      <w:r w:rsidR="00711051">
        <w:t xml:space="preserve">(Figure </w:t>
      </w:r>
      <w:r w:rsidR="00074485">
        <w:t>5</w:t>
      </w:r>
      <w:r w:rsidR="00711051">
        <w:t xml:space="preserve">) </w:t>
      </w:r>
      <w:r>
        <w:t>are similar to the moorings</w:t>
      </w:r>
      <w:r w:rsidR="008C0465">
        <w:t xml:space="preserve"> with a few minor differences</w:t>
      </w:r>
      <w:r>
        <w:t>.</w:t>
      </w:r>
      <w:r w:rsidR="008C0465">
        <w:t xml:space="preserve"> In the western Pacific along the equator, the SMAP </w:t>
      </w:r>
      <w:r w:rsidR="00DD0CD6">
        <w:t xml:space="preserve">RSS </w:t>
      </w:r>
      <w:r w:rsidR="008C0465">
        <w:t xml:space="preserve">data show phase with maximum </w:t>
      </w:r>
      <w:r w:rsidR="008C0465">
        <w:lastRenderedPageBreak/>
        <w:t>SSS in October, whereas in the mooring data those maxima are in December or so. The amplitudes are not large which may explain the difference. More of the SMAP RSS locations are below significance level</w:t>
      </w:r>
      <w:r w:rsidR="005C276A">
        <w:t xml:space="preserve"> than the moorings</w:t>
      </w:r>
      <w:r w:rsidR="008C0465">
        <w:t>, especially off the equator in the central Pacific, likely due to the shorter record length.</w:t>
      </w:r>
      <w:r w:rsidR="008077F5">
        <w:t xml:space="preserve"> In the Atlantic and Indian basins, the results are </w:t>
      </w:r>
      <w:r w:rsidR="008B1013">
        <w:t xml:space="preserve">also </w:t>
      </w:r>
      <w:r w:rsidR="008077F5">
        <w:t>similar</w:t>
      </w:r>
      <w:r w:rsidR="008B1013">
        <w:t xml:space="preserve"> to the moorings</w:t>
      </w:r>
      <w:r w:rsidR="008077F5">
        <w:t>.</w:t>
      </w:r>
      <w:r w:rsidR="008B1013">
        <w:t xml:space="preserve"> The results for R</w:t>
      </w:r>
      <w:r w:rsidR="008B1013" w:rsidRPr="008B1013">
        <w:rPr>
          <w:vertAlign w:val="superscript"/>
        </w:rPr>
        <w:t>2</w:t>
      </w:r>
      <w:r w:rsidR="008B1013">
        <w:t xml:space="preserve"> are also very similar, and are not included here for brevity, but are in the suppl</w:t>
      </w:r>
      <w:r w:rsidR="00573CBD">
        <w:t>e</w:t>
      </w:r>
      <w:r w:rsidR="008B1013">
        <w:t>mental materials</w:t>
      </w:r>
      <w:r w:rsidR="005C276A">
        <w:t xml:space="preserve"> (Table </w:t>
      </w:r>
      <w:r w:rsidR="005C276A" w:rsidRPr="004B0F77">
        <w:t>S3</w:t>
      </w:r>
      <w:r w:rsidR="005C276A">
        <w:t>)</w:t>
      </w:r>
      <w:r w:rsidR="008B1013">
        <w:t>.</w:t>
      </w:r>
    </w:p>
    <w:p w14:paraId="095EB263" w14:textId="44A42517" w:rsidR="00A26C67" w:rsidRDefault="005B0A60" w:rsidP="00A26C67">
      <w:pPr>
        <w:pStyle w:val="MDPI52figure"/>
      </w:pPr>
      <w:r>
        <w:rPr>
          <w:noProof/>
          <w:snapToGrid/>
        </w:rPr>
        <w:drawing>
          <wp:inline distT="0" distB="0" distL="0" distR="0" wp14:anchorId="682FC6B5" wp14:editId="6176216F">
            <wp:extent cx="3818466" cy="2102229"/>
            <wp:effectExtent l="0" t="0" r="444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3">
                      <a:extLst>
                        <a:ext uri="{28A0092B-C50C-407E-A947-70E740481C1C}">
                          <a14:useLocalDpi xmlns:a14="http://schemas.microsoft.com/office/drawing/2010/main" val="0"/>
                        </a:ext>
                      </a:extLst>
                    </a:blip>
                    <a:stretch>
                      <a:fillRect/>
                    </a:stretch>
                  </pic:blipFill>
                  <pic:spPr>
                    <a:xfrm>
                      <a:off x="0" y="0"/>
                      <a:ext cx="3850311" cy="2119761"/>
                    </a:xfrm>
                    <a:prstGeom prst="rect">
                      <a:avLst/>
                    </a:prstGeom>
                  </pic:spPr>
                </pic:pic>
              </a:graphicData>
            </a:graphic>
          </wp:inline>
        </w:drawing>
      </w:r>
    </w:p>
    <w:p w14:paraId="2AF74954" w14:textId="169A5B47" w:rsidR="00A26C67" w:rsidRDefault="005B0A60" w:rsidP="00A26C67">
      <w:pPr>
        <w:pStyle w:val="MDPI52figure"/>
      </w:pPr>
      <w:r>
        <w:rPr>
          <w:noProof/>
          <w:snapToGrid/>
        </w:rPr>
        <w:drawing>
          <wp:inline distT="0" distB="0" distL="0" distR="0" wp14:anchorId="3AAC6E36" wp14:editId="10B476C3">
            <wp:extent cx="3826933" cy="2120737"/>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4">
                      <a:extLst>
                        <a:ext uri="{28A0092B-C50C-407E-A947-70E740481C1C}">
                          <a14:useLocalDpi xmlns:a14="http://schemas.microsoft.com/office/drawing/2010/main" val="0"/>
                        </a:ext>
                      </a:extLst>
                    </a:blip>
                    <a:stretch>
                      <a:fillRect/>
                    </a:stretch>
                  </pic:blipFill>
                  <pic:spPr>
                    <a:xfrm>
                      <a:off x="0" y="0"/>
                      <a:ext cx="3853623" cy="2135527"/>
                    </a:xfrm>
                    <a:prstGeom prst="rect">
                      <a:avLst/>
                    </a:prstGeom>
                  </pic:spPr>
                </pic:pic>
              </a:graphicData>
            </a:graphic>
          </wp:inline>
        </w:drawing>
      </w:r>
    </w:p>
    <w:p w14:paraId="5BCAD324" w14:textId="74CC176E" w:rsidR="00A26C67" w:rsidRDefault="00A26C67" w:rsidP="00A26C67">
      <w:pPr>
        <w:pStyle w:val="MDPI51figurecaption"/>
      </w:pPr>
      <w:r>
        <w:t xml:space="preserve">Figure </w:t>
      </w:r>
      <w:r w:rsidR="00074485">
        <w:t>5</w:t>
      </w:r>
      <w:r>
        <w:t xml:space="preserve">. As in Figure </w:t>
      </w:r>
      <w:r w:rsidR="00074485">
        <w:t>3</w:t>
      </w:r>
      <w:r>
        <w:t>, but for the SMAP</w:t>
      </w:r>
      <w:r w:rsidR="00DD0CD6">
        <w:t xml:space="preserve"> RSS</w:t>
      </w:r>
      <w:r>
        <w:t xml:space="preserve"> data.</w:t>
      </w:r>
    </w:p>
    <w:p w14:paraId="326EE319" w14:textId="32D44185" w:rsidR="00A26C67" w:rsidRDefault="007C1EF3" w:rsidP="0014356F">
      <w:pPr>
        <w:pStyle w:val="MDPI31text"/>
      </w:pPr>
      <w:r>
        <w:t xml:space="preserve">The similarity </w:t>
      </w:r>
      <w:r w:rsidR="00134E85">
        <w:t>of</w:t>
      </w:r>
      <w:r>
        <w:t xml:space="preserve"> the mooring and SMAP RSS </w:t>
      </w:r>
      <w:r w:rsidR="00A92BC3">
        <w:t xml:space="preserve">results </w:t>
      </w:r>
      <w:r>
        <w:t xml:space="preserve">is </w:t>
      </w:r>
      <w:proofErr w:type="gramStart"/>
      <w:r>
        <w:t>striking, and</w:t>
      </w:r>
      <w:proofErr w:type="gramEnd"/>
      <w:r>
        <w:t xml:space="preserve"> is repeated for most of the other datasets we analyzed</w:t>
      </w:r>
      <w:r w:rsidR="004B0F77">
        <w:t xml:space="preserve"> (Tables S3 and S4)</w:t>
      </w:r>
      <w:r>
        <w:t xml:space="preserve">. </w:t>
      </w:r>
      <w:r w:rsidR="00134E85">
        <w:t>O</w:t>
      </w:r>
      <w:r>
        <w:t>ne exception is</w:t>
      </w:r>
      <w:r w:rsidR="00711051">
        <w:t xml:space="preserve"> the SMOS BEC results</w:t>
      </w:r>
      <w:r w:rsidR="00F25A6F">
        <w:t xml:space="preserve"> </w:t>
      </w:r>
      <w:r>
        <w:t xml:space="preserve">shown </w:t>
      </w:r>
      <w:r w:rsidR="00F25A6F">
        <w:t>in</w:t>
      </w:r>
      <w:r w:rsidR="00711051">
        <w:t xml:space="preserve"> Figure </w:t>
      </w:r>
      <w:r w:rsidR="00074485">
        <w:t>6</w:t>
      </w:r>
      <w:r w:rsidR="00711051">
        <w:t>.</w:t>
      </w:r>
      <w:r w:rsidR="0098138E">
        <w:t xml:space="preserve"> In this case there are major differences between these and the mooring data. The amplitudes are in general much smaller in the SMOS BEC data</w:t>
      </w:r>
      <w:r w:rsidR="00B654A5">
        <w:t xml:space="preserve"> throughout the tropical ocean</w:t>
      </w:r>
      <w:r w:rsidR="0098138E">
        <w:t>.</w:t>
      </w:r>
      <w:r w:rsidR="00B654A5">
        <w:t xml:space="preserve"> Detailed comparison of the </w:t>
      </w:r>
      <w:r w:rsidR="007E1771">
        <w:t xml:space="preserve">amplitudes and </w:t>
      </w:r>
      <w:r w:rsidR="00B654A5">
        <w:t>phases between the products is presented below as a set of scatter plots and RMS differences.</w:t>
      </w:r>
    </w:p>
    <w:p w14:paraId="465C148E" w14:textId="17659B66" w:rsidR="00DD0CD6" w:rsidRDefault="00E1491D" w:rsidP="00DD0CD6">
      <w:pPr>
        <w:pStyle w:val="MDPI52figure"/>
      </w:pPr>
      <w:r>
        <w:rPr>
          <w:noProof/>
          <w:snapToGrid/>
        </w:rPr>
        <w:lastRenderedPageBreak/>
        <w:drawing>
          <wp:inline distT="0" distB="0" distL="0" distR="0" wp14:anchorId="30075A38" wp14:editId="49797B73">
            <wp:extent cx="4044614" cy="222673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5">
                      <a:extLst>
                        <a:ext uri="{28A0092B-C50C-407E-A947-70E740481C1C}">
                          <a14:useLocalDpi xmlns:a14="http://schemas.microsoft.com/office/drawing/2010/main" val="0"/>
                        </a:ext>
                      </a:extLst>
                    </a:blip>
                    <a:stretch>
                      <a:fillRect/>
                    </a:stretch>
                  </pic:blipFill>
                  <pic:spPr>
                    <a:xfrm>
                      <a:off x="0" y="0"/>
                      <a:ext cx="4067425" cy="2239291"/>
                    </a:xfrm>
                    <a:prstGeom prst="rect">
                      <a:avLst/>
                    </a:prstGeom>
                  </pic:spPr>
                </pic:pic>
              </a:graphicData>
            </a:graphic>
          </wp:inline>
        </w:drawing>
      </w:r>
    </w:p>
    <w:p w14:paraId="4B57F382" w14:textId="6AAE6649" w:rsidR="00DD0CD6" w:rsidRDefault="00E1491D" w:rsidP="00DD0CD6">
      <w:pPr>
        <w:pStyle w:val="MDPI52figure"/>
      </w:pPr>
      <w:r>
        <w:rPr>
          <w:noProof/>
          <w:snapToGrid/>
        </w:rPr>
        <w:drawing>
          <wp:inline distT="0" distB="0" distL="0" distR="0" wp14:anchorId="3F96E34C" wp14:editId="54289CD6">
            <wp:extent cx="4038600" cy="223803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6">
                      <a:extLst>
                        <a:ext uri="{28A0092B-C50C-407E-A947-70E740481C1C}">
                          <a14:useLocalDpi xmlns:a14="http://schemas.microsoft.com/office/drawing/2010/main" val="0"/>
                        </a:ext>
                      </a:extLst>
                    </a:blip>
                    <a:stretch>
                      <a:fillRect/>
                    </a:stretch>
                  </pic:blipFill>
                  <pic:spPr>
                    <a:xfrm>
                      <a:off x="0" y="0"/>
                      <a:ext cx="4057604" cy="2248566"/>
                    </a:xfrm>
                    <a:prstGeom prst="rect">
                      <a:avLst/>
                    </a:prstGeom>
                  </pic:spPr>
                </pic:pic>
              </a:graphicData>
            </a:graphic>
          </wp:inline>
        </w:drawing>
      </w:r>
    </w:p>
    <w:p w14:paraId="6B32D69D" w14:textId="4BF00E98" w:rsidR="00DD0CD6" w:rsidRDefault="00DD0CD6" w:rsidP="00DD0CD6">
      <w:pPr>
        <w:pStyle w:val="MDPI51figurecaption"/>
      </w:pPr>
      <w:r>
        <w:t xml:space="preserve">Figure </w:t>
      </w:r>
      <w:r w:rsidR="00074485">
        <w:t>6</w:t>
      </w:r>
      <w:r>
        <w:t xml:space="preserve">. As in Figure </w:t>
      </w:r>
      <w:r w:rsidR="00074485">
        <w:t>3</w:t>
      </w:r>
      <w:r>
        <w:t>, but for the SMOS BEC data.</w:t>
      </w:r>
    </w:p>
    <w:p w14:paraId="73CCBF01" w14:textId="0B88E3DC" w:rsidR="00DD0CD6" w:rsidRDefault="008E3C66" w:rsidP="008E3C66">
      <w:pPr>
        <w:pStyle w:val="MDPI22heading2"/>
      </w:pPr>
      <w:r>
        <w:t>3.2 Amplitude and phase comparisons</w:t>
      </w:r>
    </w:p>
    <w:p w14:paraId="1D9A2193" w14:textId="01DC71F3" w:rsidR="000327C4" w:rsidRDefault="00607953" w:rsidP="000327C4">
      <w:pPr>
        <w:pStyle w:val="MDPI31text"/>
      </w:pPr>
      <w:r>
        <w:t>Comparison between mooring phases and the other datasets</w:t>
      </w:r>
      <w:r w:rsidR="00DA6442">
        <w:t xml:space="preserve"> (Figure </w:t>
      </w:r>
      <w:r w:rsidR="00074485">
        <w:t>7</w:t>
      </w:r>
      <w:r w:rsidR="00DA6442">
        <w:t>)</w:t>
      </w:r>
      <w:r>
        <w:t xml:space="preserve"> show they mostly match well.</w:t>
      </w:r>
      <w:r w:rsidR="002C5C0F">
        <w:t xml:space="preserve"> Maximum SSS along the equator and at the southern hemisphere moorings is in mid-year, June-September, while for the northern hemisphere moorings it is in November-March. </w:t>
      </w:r>
      <w:r w:rsidR="004A7074">
        <w:t xml:space="preserve">There </w:t>
      </w:r>
      <w:r w:rsidR="00E911B2">
        <w:t>is</w:t>
      </w:r>
      <w:r w:rsidR="004A7074">
        <w:t xml:space="preserve"> some</w:t>
      </w:r>
      <w:r w:rsidR="002C5C0F">
        <w:t xml:space="preserve"> tendency for small amplitude locations to be further off the one-to-one correspondence line than large amplitude ones. RMS</w:t>
      </w:r>
      <w:r w:rsidR="004A7074">
        <w:t xml:space="preserve"> differences (RMSD) between mooring and product phase </w:t>
      </w:r>
      <w:r w:rsidR="002C5C0F">
        <w:t xml:space="preserve">range from 0.5 to 1.5 months, all significantly different from zero (Table 1). Median differences are all less than </w:t>
      </w:r>
      <w:r w:rsidR="004A7074">
        <w:t xml:space="preserve">or equal to </w:t>
      </w:r>
      <w:r w:rsidR="002C5C0F">
        <w:t>0.1 in absolute value and none of them are significantly different from zero.</w:t>
      </w:r>
      <w:r w:rsidR="0038111D">
        <w:t xml:space="preserve"> The datasets with the largest scatter are the two SMAP datasets (</w:t>
      </w:r>
      <w:r w:rsidR="00AB73D5">
        <w:t>Figure 7</w:t>
      </w:r>
      <w:proofErr w:type="gramStart"/>
      <w:r w:rsidR="00AB73D5">
        <w:t>a,b</w:t>
      </w:r>
      <w:proofErr w:type="gramEnd"/>
      <w:r w:rsidR="00AB73D5">
        <w:t xml:space="preserve">; </w:t>
      </w:r>
      <w:r w:rsidR="0038111D">
        <w:t>1.3 months RMSD), Aquarius (</w:t>
      </w:r>
      <w:r w:rsidR="00AB73D5">
        <w:t xml:space="preserve">Figure 7c; </w:t>
      </w:r>
      <w:r w:rsidR="0038111D">
        <w:t>also 1.3 months) and SMOS BEC (</w:t>
      </w:r>
      <w:r w:rsidR="00AB73D5">
        <w:t xml:space="preserve">Figure 7f; </w:t>
      </w:r>
      <w:r w:rsidR="0038111D">
        <w:t>1.5 months). The ones with the smallest scatter are the CCI</w:t>
      </w:r>
      <w:r w:rsidR="00AB73D5">
        <w:t xml:space="preserve"> (Figure 7d)</w:t>
      </w:r>
      <w:r w:rsidR="0038111D">
        <w:t xml:space="preserve"> and the two in situ datasets</w:t>
      </w:r>
      <w:r w:rsidR="00AB73D5">
        <w:t xml:space="preserve"> (Figure 7</w:t>
      </w:r>
      <w:proofErr w:type="gramStart"/>
      <w:r w:rsidR="00AB73D5">
        <w:t>g,h</w:t>
      </w:r>
      <w:proofErr w:type="gramEnd"/>
      <w:r w:rsidR="00AB73D5">
        <w:t>)</w:t>
      </w:r>
      <w:r w:rsidR="0038111D">
        <w:t>, all with about 0.5 months RMSD.</w:t>
      </w:r>
    </w:p>
    <w:p w14:paraId="02489BB8" w14:textId="77777777" w:rsidR="007B703B" w:rsidRDefault="007B703B" w:rsidP="000327C4">
      <w:pPr>
        <w:pStyle w:val="MDPI31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6"/>
        <w:gridCol w:w="4306"/>
      </w:tblGrid>
      <w:tr w:rsidR="0009328C" w14:paraId="2E95937E" w14:textId="77777777" w:rsidTr="00EC1EC9">
        <w:trPr>
          <w:trHeight w:val="3133"/>
        </w:trPr>
        <w:tc>
          <w:tcPr>
            <w:tcW w:w="4146" w:type="dxa"/>
          </w:tcPr>
          <w:p w14:paraId="06E22F55" w14:textId="200C83FA" w:rsidR="00DB40EF" w:rsidRDefault="00356044" w:rsidP="0014356F">
            <w:pPr>
              <w:pStyle w:val="MDPI31text"/>
              <w:ind w:firstLine="0"/>
            </w:pPr>
            <w:r>
              <w:rPr>
                <w:noProof/>
                <w:snapToGrid/>
              </w:rPr>
              <w:drawing>
                <wp:inline distT="0" distB="0" distL="0" distR="0" wp14:anchorId="1B2FBEAD" wp14:editId="034C8E92">
                  <wp:extent cx="2599690" cy="197299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7">
                            <a:extLst>
                              <a:ext uri="{28A0092B-C50C-407E-A947-70E740481C1C}">
                                <a14:useLocalDpi xmlns:a14="http://schemas.microsoft.com/office/drawing/2010/main" val="0"/>
                              </a:ext>
                            </a:extLst>
                          </a:blip>
                          <a:stretch>
                            <a:fillRect/>
                          </a:stretch>
                        </pic:blipFill>
                        <pic:spPr>
                          <a:xfrm>
                            <a:off x="0" y="0"/>
                            <a:ext cx="2611040" cy="1981604"/>
                          </a:xfrm>
                          <a:prstGeom prst="rect">
                            <a:avLst/>
                          </a:prstGeom>
                        </pic:spPr>
                      </pic:pic>
                    </a:graphicData>
                  </a:graphic>
                </wp:inline>
              </w:drawing>
            </w:r>
          </w:p>
        </w:tc>
        <w:tc>
          <w:tcPr>
            <w:tcW w:w="4136" w:type="dxa"/>
          </w:tcPr>
          <w:p w14:paraId="2E3E7EDC" w14:textId="2F498AF6" w:rsidR="00DB40EF" w:rsidRDefault="00356044" w:rsidP="0014356F">
            <w:pPr>
              <w:pStyle w:val="MDPI31text"/>
              <w:ind w:firstLine="0"/>
            </w:pPr>
            <w:r>
              <w:rPr>
                <w:noProof/>
                <w:snapToGrid/>
              </w:rPr>
              <w:drawing>
                <wp:inline distT="0" distB="0" distL="0" distR="0" wp14:anchorId="3364BADD" wp14:editId="01B9AE8D">
                  <wp:extent cx="2593340" cy="1962892"/>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2609335" cy="1974999"/>
                          </a:xfrm>
                          <a:prstGeom prst="rect">
                            <a:avLst/>
                          </a:prstGeom>
                        </pic:spPr>
                      </pic:pic>
                    </a:graphicData>
                  </a:graphic>
                </wp:inline>
              </w:drawing>
            </w:r>
          </w:p>
        </w:tc>
      </w:tr>
      <w:tr w:rsidR="0009328C" w14:paraId="1B64AEDB" w14:textId="77777777" w:rsidTr="00EC1EC9">
        <w:trPr>
          <w:trHeight w:val="3148"/>
        </w:trPr>
        <w:tc>
          <w:tcPr>
            <w:tcW w:w="4146" w:type="dxa"/>
          </w:tcPr>
          <w:p w14:paraId="3B480CE2" w14:textId="609FB807" w:rsidR="00DB40EF" w:rsidRDefault="0009328C" w:rsidP="0014356F">
            <w:pPr>
              <w:pStyle w:val="MDPI31text"/>
              <w:ind w:firstLine="0"/>
            </w:pPr>
            <w:r>
              <w:rPr>
                <w:noProof/>
                <w:snapToGrid/>
              </w:rPr>
              <w:lastRenderedPageBreak/>
              <w:drawing>
                <wp:inline distT="0" distB="0" distL="0" distR="0" wp14:anchorId="6A63C7F8" wp14:editId="39462EF1">
                  <wp:extent cx="2596515" cy="1991131"/>
                  <wp:effectExtent l="0" t="0" r="0"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2618624" cy="2008085"/>
                          </a:xfrm>
                          <a:prstGeom prst="rect">
                            <a:avLst/>
                          </a:prstGeom>
                        </pic:spPr>
                      </pic:pic>
                    </a:graphicData>
                  </a:graphic>
                </wp:inline>
              </w:drawing>
            </w:r>
          </w:p>
        </w:tc>
        <w:tc>
          <w:tcPr>
            <w:tcW w:w="4136" w:type="dxa"/>
          </w:tcPr>
          <w:p w14:paraId="56231836" w14:textId="75BE6C0B" w:rsidR="00DB40EF" w:rsidRDefault="0009328C" w:rsidP="0014356F">
            <w:pPr>
              <w:pStyle w:val="MDPI31text"/>
              <w:ind w:firstLine="0"/>
            </w:pPr>
            <w:r>
              <w:rPr>
                <w:noProof/>
                <w:snapToGrid/>
              </w:rPr>
              <w:drawing>
                <wp:inline distT="0" distB="0" distL="0" distR="0" wp14:anchorId="2543E4F9" wp14:editId="52A85058">
                  <wp:extent cx="2597150" cy="1976054"/>
                  <wp:effectExtent l="0" t="0" r="0"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614095" cy="1988947"/>
                          </a:xfrm>
                          <a:prstGeom prst="rect">
                            <a:avLst/>
                          </a:prstGeom>
                        </pic:spPr>
                      </pic:pic>
                    </a:graphicData>
                  </a:graphic>
                </wp:inline>
              </w:drawing>
            </w:r>
          </w:p>
        </w:tc>
      </w:tr>
      <w:tr w:rsidR="0009328C" w14:paraId="186D817D" w14:textId="77777777" w:rsidTr="00EC1EC9">
        <w:trPr>
          <w:trHeight w:val="3119"/>
        </w:trPr>
        <w:tc>
          <w:tcPr>
            <w:tcW w:w="4146" w:type="dxa"/>
          </w:tcPr>
          <w:p w14:paraId="0094B5DE" w14:textId="076C6CFF" w:rsidR="00DB40EF" w:rsidRDefault="0009328C" w:rsidP="0014356F">
            <w:pPr>
              <w:pStyle w:val="MDPI31text"/>
              <w:ind w:firstLine="0"/>
            </w:pPr>
            <w:r>
              <w:rPr>
                <w:noProof/>
                <w:snapToGrid/>
              </w:rPr>
              <w:drawing>
                <wp:inline distT="0" distB="0" distL="0" distR="0" wp14:anchorId="659E2882" wp14:editId="6CF76790">
                  <wp:extent cx="2597082" cy="198628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1">
                            <a:extLst>
                              <a:ext uri="{28A0092B-C50C-407E-A947-70E740481C1C}">
                                <a14:useLocalDpi xmlns:a14="http://schemas.microsoft.com/office/drawing/2010/main" val="0"/>
                              </a:ext>
                            </a:extLst>
                          </a:blip>
                          <a:stretch>
                            <a:fillRect/>
                          </a:stretch>
                        </pic:blipFill>
                        <pic:spPr>
                          <a:xfrm>
                            <a:off x="0" y="0"/>
                            <a:ext cx="2614302" cy="1999450"/>
                          </a:xfrm>
                          <a:prstGeom prst="rect">
                            <a:avLst/>
                          </a:prstGeom>
                        </pic:spPr>
                      </pic:pic>
                    </a:graphicData>
                  </a:graphic>
                </wp:inline>
              </w:drawing>
            </w:r>
          </w:p>
        </w:tc>
        <w:tc>
          <w:tcPr>
            <w:tcW w:w="4136" w:type="dxa"/>
          </w:tcPr>
          <w:p w14:paraId="6411C2DD" w14:textId="57629A70" w:rsidR="00DB40EF" w:rsidRDefault="0009328C" w:rsidP="0014356F">
            <w:pPr>
              <w:pStyle w:val="MDPI31text"/>
              <w:ind w:firstLine="0"/>
            </w:pPr>
            <w:r>
              <w:rPr>
                <w:noProof/>
                <w:snapToGrid/>
              </w:rPr>
              <w:drawing>
                <wp:inline distT="0" distB="0" distL="0" distR="0" wp14:anchorId="7CCB9B1E" wp14:editId="02E201F4">
                  <wp:extent cx="2597150" cy="1965776"/>
                  <wp:effectExtent l="0" t="0" r="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619054" cy="1982355"/>
                          </a:xfrm>
                          <a:prstGeom prst="rect">
                            <a:avLst/>
                          </a:prstGeom>
                        </pic:spPr>
                      </pic:pic>
                    </a:graphicData>
                  </a:graphic>
                </wp:inline>
              </w:drawing>
            </w:r>
          </w:p>
        </w:tc>
      </w:tr>
      <w:tr w:rsidR="0009328C" w14:paraId="6E0AF910" w14:textId="77777777" w:rsidTr="00EC1EC9">
        <w:trPr>
          <w:trHeight w:val="3164"/>
        </w:trPr>
        <w:tc>
          <w:tcPr>
            <w:tcW w:w="4146" w:type="dxa"/>
          </w:tcPr>
          <w:p w14:paraId="3C0D5840" w14:textId="41C602B5" w:rsidR="00DB40EF" w:rsidRDefault="0009328C" w:rsidP="0014356F">
            <w:pPr>
              <w:pStyle w:val="MDPI31text"/>
              <w:ind w:firstLine="0"/>
            </w:pPr>
            <w:r>
              <w:rPr>
                <w:noProof/>
                <w:snapToGrid/>
              </w:rPr>
              <w:drawing>
                <wp:inline distT="0" distB="0" distL="0" distR="0" wp14:anchorId="6462A714" wp14:editId="13A0E92B">
                  <wp:extent cx="2596515" cy="1965295"/>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3">
                            <a:extLst>
                              <a:ext uri="{28A0092B-C50C-407E-A947-70E740481C1C}">
                                <a14:useLocalDpi xmlns:a14="http://schemas.microsoft.com/office/drawing/2010/main" val="0"/>
                              </a:ext>
                            </a:extLst>
                          </a:blip>
                          <a:stretch>
                            <a:fillRect/>
                          </a:stretch>
                        </pic:blipFill>
                        <pic:spPr>
                          <a:xfrm>
                            <a:off x="0" y="0"/>
                            <a:ext cx="2611481" cy="1976622"/>
                          </a:xfrm>
                          <a:prstGeom prst="rect">
                            <a:avLst/>
                          </a:prstGeom>
                        </pic:spPr>
                      </pic:pic>
                    </a:graphicData>
                  </a:graphic>
                </wp:inline>
              </w:drawing>
            </w:r>
          </w:p>
        </w:tc>
        <w:tc>
          <w:tcPr>
            <w:tcW w:w="4136" w:type="dxa"/>
          </w:tcPr>
          <w:p w14:paraId="66FF5FCC" w14:textId="5BCF4490" w:rsidR="00DB40EF" w:rsidRDefault="0009328C" w:rsidP="0014356F">
            <w:pPr>
              <w:pStyle w:val="MDPI31text"/>
              <w:ind w:firstLine="0"/>
            </w:pPr>
            <w:r>
              <w:rPr>
                <w:noProof/>
                <w:snapToGrid/>
              </w:rPr>
              <w:drawing>
                <wp:inline distT="0" distB="0" distL="0" distR="0" wp14:anchorId="39861D5B" wp14:editId="2C3C413D">
                  <wp:extent cx="2531533" cy="193128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4">
                            <a:extLst>
                              <a:ext uri="{28A0092B-C50C-407E-A947-70E740481C1C}">
                                <a14:useLocalDpi xmlns:a14="http://schemas.microsoft.com/office/drawing/2010/main" val="0"/>
                              </a:ext>
                            </a:extLst>
                          </a:blip>
                          <a:stretch>
                            <a:fillRect/>
                          </a:stretch>
                        </pic:blipFill>
                        <pic:spPr>
                          <a:xfrm>
                            <a:off x="0" y="0"/>
                            <a:ext cx="2543081" cy="1940091"/>
                          </a:xfrm>
                          <a:prstGeom prst="rect">
                            <a:avLst/>
                          </a:prstGeom>
                        </pic:spPr>
                      </pic:pic>
                    </a:graphicData>
                  </a:graphic>
                </wp:inline>
              </w:drawing>
            </w:r>
          </w:p>
        </w:tc>
      </w:tr>
      <w:tr w:rsidR="00E05118" w14:paraId="7DB04431" w14:textId="77777777" w:rsidTr="00EC1EC9">
        <w:trPr>
          <w:trHeight w:val="1216"/>
        </w:trPr>
        <w:tc>
          <w:tcPr>
            <w:tcW w:w="8282" w:type="dxa"/>
            <w:gridSpan w:val="2"/>
          </w:tcPr>
          <w:p w14:paraId="4179EE1A" w14:textId="76D38019" w:rsidR="00E05118" w:rsidRDefault="00EC1EC9" w:rsidP="00E05118">
            <w:pPr>
              <w:pStyle w:val="MDPI31text"/>
              <w:ind w:firstLine="0"/>
              <w:jc w:val="center"/>
              <w:rPr>
                <w:noProof/>
                <w:snapToGrid/>
              </w:rPr>
            </w:pPr>
            <w:r>
              <w:rPr>
                <w:noProof/>
                <w:snapToGrid/>
              </w:rPr>
              <w:drawing>
                <wp:inline distT="0" distB="0" distL="0" distR="0" wp14:anchorId="2AE643C8" wp14:editId="7EBABF21">
                  <wp:extent cx="5198533" cy="902866"/>
                  <wp:effectExtent l="0" t="0" r="0" b="0"/>
                  <wp:docPr id="16" name="Picture 1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chart&#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5206483" cy="904247"/>
                          </a:xfrm>
                          <a:prstGeom prst="rect">
                            <a:avLst/>
                          </a:prstGeom>
                        </pic:spPr>
                      </pic:pic>
                    </a:graphicData>
                  </a:graphic>
                </wp:inline>
              </w:drawing>
            </w:r>
          </w:p>
        </w:tc>
      </w:tr>
    </w:tbl>
    <w:p w14:paraId="2457451B" w14:textId="774A0E04" w:rsidR="008E3C66" w:rsidRDefault="00142D8E" w:rsidP="00142D8E">
      <w:pPr>
        <w:pStyle w:val="MDPI51figurecaption"/>
      </w:pPr>
      <w:commentRangeStart w:id="5"/>
      <w:commentRangeStart w:id="6"/>
      <w:r>
        <w:t xml:space="preserve">Figure </w:t>
      </w:r>
      <w:r w:rsidR="00910D8F">
        <w:t>7</w:t>
      </w:r>
      <w:r>
        <w:t xml:space="preserve">. </w:t>
      </w:r>
      <w:commentRangeEnd w:id="5"/>
      <w:r w:rsidR="004E71B8">
        <w:rPr>
          <w:rStyle w:val="CommentReference"/>
          <w:rFonts w:ascii="Times New Roman" w:hAnsi="Times New Roman"/>
          <w:lang w:bidi="ar-SA"/>
        </w:rPr>
        <w:commentReference w:id="5"/>
      </w:r>
      <w:commentRangeEnd w:id="6"/>
      <w:r w:rsidR="0032342D">
        <w:rPr>
          <w:rStyle w:val="CommentReference"/>
          <w:rFonts w:ascii="Times New Roman" w:hAnsi="Times New Roman"/>
          <w:lang w:bidi="ar-SA"/>
        </w:rPr>
        <w:commentReference w:id="6"/>
      </w:r>
      <w:r>
        <w:t xml:space="preserve">Scatterplots of first harmonic comparison </w:t>
      </w:r>
      <w:r w:rsidR="00DB769C">
        <w:t xml:space="preserve">product </w:t>
      </w:r>
      <w:r>
        <w:t xml:space="preserve">phase (month of maximum SSS) vs. mooring phase. </w:t>
      </w:r>
      <w:r w:rsidR="00AA2258">
        <w:t xml:space="preserve">Each symbol is for one mooring, with symbols plotted only where there is a significant </w:t>
      </w:r>
      <w:r w:rsidR="006F1A64" w:rsidRPr="00E911B2">
        <w:t>annual</w:t>
      </w:r>
      <w:r w:rsidR="006F1A64">
        <w:t xml:space="preserve"> </w:t>
      </w:r>
      <w:r w:rsidR="00AA2258">
        <w:t>fit for both the moorings and the given product.</w:t>
      </w:r>
      <w:r w:rsidR="006F1A64">
        <w:t xml:space="preserve"> The number of symbols in each plot is given for each product in </w:t>
      </w:r>
      <w:r w:rsidR="0032342D">
        <w:t>Table S7.</w:t>
      </w:r>
      <w:r w:rsidR="00AA2258">
        <w:t xml:space="preserve"> </w:t>
      </w:r>
      <w:r>
        <w:t>Colors of symbols indicate latitude of mooring</w:t>
      </w:r>
      <w:r w:rsidR="005C5825">
        <w:t xml:space="preserve"> with scale at bottom</w:t>
      </w:r>
      <w:r>
        <w:t>. Sizes of symbols indicate mooring amplitude</w:t>
      </w:r>
      <w:r w:rsidR="00DC0DD6">
        <w:t xml:space="preserve"> with scale at right</w:t>
      </w:r>
      <w:r w:rsidR="005C5825">
        <w:t xml:space="preserve"> in each panel</w:t>
      </w:r>
      <w:r>
        <w:t>. A light black line shows a one-to-one correspondence. Boxes in each panel show RMSD and median difference</w:t>
      </w:r>
      <w:r w:rsidR="00DA6442">
        <w:t xml:space="preserve"> (mooring – comparison)</w:t>
      </w:r>
      <w:r>
        <w:t xml:space="preserve"> in months. </w:t>
      </w:r>
      <w:r w:rsidR="00DB769C">
        <w:t>Products c</w:t>
      </w:r>
      <w:r>
        <w:t>omp</w:t>
      </w:r>
      <w:r w:rsidR="00DB769C">
        <w:t xml:space="preserve">ared </w:t>
      </w:r>
      <w:proofErr w:type="gramStart"/>
      <w:r>
        <w:t>are:</w:t>
      </w:r>
      <w:proofErr w:type="gramEnd"/>
      <w:r>
        <w:t xml:space="preserve"> a) SMAP RSS, b) SMAP JPL, c) Aquarius, d) CCI, e) SMOS CATDS, f) SMOS BEC, g) EN4, h) SIO</w:t>
      </w:r>
      <w:r w:rsidR="00E05118">
        <w:t>.</w:t>
      </w:r>
    </w:p>
    <w:p w14:paraId="3D5C2ECB" w14:textId="0FE583B1" w:rsidR="00142D8E" w:rsidRDefault="00142D8E" w:rsidP="0014356F">
      <w:pPr>
        <w:pStyle w:val="MDPI31text"/>
      </w:pPr>
    </w:p>
    <w:p w14:paraId="72F9CF80" w14:textId="7E59A4ED" w:rsidR="0073658E" w:rsidRDefault="0073658E" w:rsidP="0073658E">
      <w:pPr>
        <w:pStyle w:val="MDPI41tablecaption"/>
      </w:pPr>
      <w:r>
        <w:lastRenderedPageBreak/>
        <w:t xml:space="preserve">Table </w:t>
      </w:r>
      <w:r w:rsidR="00BA5C20">
        <w:t>2</w:t>
      </w:r>
      <w:r>
        <w:t xml:space="preserve">. </w:t>
      </w:r>
      <w:r w:rsidR="00744DF6">
        <w:t>Columns 2-</w:t>
      </w:r>
      <w:r w:rsidR="00E911B2">
        <w:t>5</w:t>
      </w:r>
      <w:r w:rsidR="00744DF6">
        <w:t xml:space="preserve">: </w:t>
      </w:r>
      <w:r>
        <w:t>Amplitude and phase discrepancies between mooring and satellite or in situ products. Median differences are mooring – product.</w:t>
      </w:r>
      <w:r w:rsidR="00744DF6">
        <w:t xml:space="preserve"> Column </w:t>
      </w:r>
      <w:r w:rsidR="00E911B2">
        <w:t>6</w:t>
      </w:r>
      <w:r w:rsidR="00744DF6">
        <w:t>: Median difference in R</w:t>
      </w:r>
      <w:r w:rsidR="00744DF6" w:rsidRPr="00744DF6">
        <w:rPr>
          <w:vertAlign w:val="superscript"/>
        </w:rPr>
        <w:t>2</w:t>
      </w:r>
      <w:r w:rsidR="00744DF6">
        <w:t xml:space="preserve"> between mooring and satellite or in situ product for the annual harmonic.</w:t>
      </w:r>
      <w:r w:rsidR="008138E5">
        <w:t xml:space="preserve"> Positive number means mooring R</w:t>
      </w:r>
      <w:r w:rsidR="008138E5" w:rsidRPr="0004307C">
        <w:rPr>
          <w:vertAlign w:val="superscript"/>
        </w:rPr>
        <w:t>2</w:t>
      </w:r>
      <w:r w:rsidR="008138E5">
        <w:t xml:space="preserve"> is greater.</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500"/>
        <w:gridCol w:w="1343"/>
        <w:gridCol w:w="1167"/>
        <w:gridCol w:w="1514"/>
        <w:gridCol w:w="1678"/>
        <w:gridCol w:w="1632"/>
      </w:tblGrid>
      <w:tr w:rsidR="009E414A" w14:paraId="03DD090E" w14:textId="23FFD75C" w:rsidTr="00206F56">
        <w:tc>
          <w:tcPr>
            <w:tcW w:w="1500" w:type="dxa"/>
          </w:tcPr>
          <w:p w14:paraId="7ED897BF" w14:textId="386EB8B9" w:rsidR="009E414A" w:rsidRPr="003B4960" w:rsidRDefault="003B4960" w:rsidP="00206085">
            <w:pPr>
              <w:pStyle w:val="MDPI42tablebody"/>
              <w:rPr>
                <w:b/>
                <w:bCs/>
              </w:rPr>
            </w:pPr>
            <w:r w:rsidRPr="003B4960">
              <w:rPr>
                <w:b/>
                <w:bCs/>
              </w:rPr>
              <w:t>Product</w:t>
            </w:r>
          </w:p>
        </w:tc>
        <w:tc>
          <w:tcPr>
            <w:tcW w:w="1343" w:type="dxa"/>
          </w:tcPr>
          <w:p w14:paraId="5642848E" w14:textId="595D7ABD" w:rsidR="009E414A" w:rsidRPr="00206F56" w:rsidRDefault="009E414A" w:rsidP="00206085">
            <w:pPr>
              <w:pStyle w:val="MDPI42tablebody"/>
              <w:rPr>
                <w:b/>
                <w:bCs/>
              </w:rPr>
            </w:pPr>
            <w:r w:rsidRPr="00206F56">
              <w:rPr>
                <w:b/>
                <w:bCs/>
              </w:rPr>
              <w:t>Amplitude RMSD</w:t>
            </w:r>
          </w:p>
        </w:tc>
        <w:tc>
          <w:tcPr>
            <w:tcW w:w="1167" w:type="dxa"/>
          </w:tcPr>
          <w:p w14:paraId="50E41354" w14:textId="34634A7A" w:rsidR="009E414A" w:rsidRPr="00206F56" w:rsidRDefault="009E414A" w:rsidP="00206085">
            <w:pPr>
              <w:pStyle w:val="MDPI42tablebody"/>
              <w:rPr>
                <w:b/>
                <w:bCs/>
              </w:rPr>
            </w:pPr>
            <w:r w:rsidRPr="00206F56">
              <w:rPr>
                <w:b/>
                <w:bCs/>
              </w:rPr>
              <w:t>Phase RMSD (months)</w:t>
            </w:r>
          </w:p>
        </w:tc>
        <w:tc>
          <w:tcPr>
            <w:tcW w:w="1514" w:type="dxa"/>
          </w:tcPr>
          <w:p w14:paraId="58C64BE4" w14:textId="2B78C499" w:rsidR="009E414A" w:rsidRPr="00206F56" w:rsidRDefault="009E414A" w:rsidP="00206085">
            <w:pPr>
              <w:pStyle w:val="MDPI42tablebody"/>
              <w:rPr>
                <w:b/>
                <w:bCs/>
              </w:rPr>
            </w:pPr>
            <w:r w:rsidRPr="00206F56">
              <w:rPr>
                <w:b/>
                <w:bCs/>
              </w:rPr>
              <w:t>Amplitude median difference</w:t>
            </w:r>
          </w:p>
        </w:tc>
        <w:tc>
          <w:tcPr>
            <w:tcW w:w="1678" w:type="dxa"/>
          </w:tcPr>
          <w:p w14:paraId="4A5A4384" w14:textId="75D0276C" w:rsidR="009E414A" w:rsidRPr="00206F56" w:rsidRDefault="009E414A" w:rsidP="00206085">
            <w:pPr>
              <w:pStyle w:val="MDPI42tablebody"/>
              <w:rPr>
                <w:b/>
                <w:bCs/>
              </w:rPr>
            </w:pPr>
            <w:r w:rsidRPr="00206F56">
              <w:rPr>
                <w:b/>
                <w:bCs/>
              </w:rPr>
              <w:t>Phase median difference (months)</w:t>
            </w:r>
          </w:p>
        </w:tc>
        <w:tc>
          <w:tcPr>
            <w:tcW w:w="1632" w:type="dxa"/>
          </w:tcPr>
          <w:p w14:paraId="28F5ABC1" w14:textId="0E44B22B" w:rsidR="009E414A" w:rsidRPr="00206F56" w:rsidRDefault="009E414A" w:rsidP="00206085">
            <w:pPr>
              <w:pStyle w:val="MDPI42tablebody"/>
              <w:rPr>
                <w:b/>
                <w:bCs/>
              </w:rPr>
            </w:pPr>
            <w:r w:rsidRPr="00206F56">
              <w:rPr>
                <w:b/>
                <w:bCs/>
              </w:rPr>
              <w:t>R</w:t>
            </w:r>
            <w:r w:rsidRPr="00206F56">
              <w:rPr>
                <w:b/>
                <w:bCs/>
                <w:vertAlign w:val="superscript"/>
              </w:rPr>
              <w:t>2</w:t>
            </w:r>
            <w:r w:rsidRPr="00206F56">
              <w:rPr>
                <w:b/>
                <w:bCs/>
              </w:rPr>
              <w:t xml:space="preserve"> median difference</w:t>
            </w:r>
          </w:p>
        </w:tc>
      </w:tr>
      <w:tr w:rsidR="009E414A" w14:paraId="709A2596" w14:textId="73CAE1F4" w:rsidTr="00206F56">
        <w:tc>
          <w:tcPr>
            <w:tcW w:w="1500" w:type="dxa"/>
          </w:tcPr>
          <w:p w14:paraId="51B1195A" w14:textId="08163F5D" w:rsidR="009E414A" w:rsidRDefault="009E414A" w:rsidP="006E4087">
            <w:pPr>
              <w:pStyle w:val="MDPI42tablebody"/>
            </w:pPr>
            <w:r>
              <w:t>SMOS BEC</w:t>
            </w:r>
          </w:p>
        </w:tc>
        <w:tc>
          <w:tcPr>
            <w:tcW w:w="1343" w:type="dxa"/>
          </w:tcPr>
          <w:p w14:paraId="1226858A" w14:textId="38C21C64" w:rsidR="009E414A" w:rsidRPr="0073658E" w:rsidRDefault="009E414A" w:rsidP="009C768D">
            <w:pPr>
              <w:pStyle w:val="MDPI42tablebody"/>
              <w:rPr>
                <w:color w:val="auto"/>
                <w:lang w:eastAsia="en-US"/>
              </w:rPr>
            </w:pPr>
            <w:r w:rsidRPr="0073658E">
              <w:rPr>
                <w:rFonts w:cs="Calibri"/>
              </w:rPr>
              <w:t>0.128±0.002</w:t>
            </w:r>
          </w:p>
        </w:tc>
        <w:tc>
          <w:tcPr>
            <w:tcW w:w="1167" w:type="dxa"/>
          </w:tcPr>
          <w:p w14:paraId="6ADDAB90" w14:textId="51544A56" w:rsidR="009E414A" w:rsidRPr="0073658E" w:rsidRDefault="009E414A" w:rsidP="006E4087">
            <w:pPr>
              <w:pStyle w:val="MDPI42tablebody"/>
            </w:pPr>
            <w:r w:rsidRPr="0073658E">
              <w:rPr>
                <w:rFonts w:cs="Calibri"/>
                <w:b/>
                <w:bCs/>
                <w:color w:val="FFFFFF"/>
              </w:rPr>
              <w:t>1</w:t>
            </w:r>
            <w:r w:rsidRPr="0073658E">
              <w:rPr>
                <w:rFonts w:cs="Calibri"/>
              </w:rPr>
              <w:t>1.48±0.04</w:t>
            </w:r>
          </w:p>
        </w:tc>
        <w:tc>
          <w:tcPr>
            <w:tcW w:w="1514" w:type="dxa"/>
          </w:tcPr>
          <w:p w14:paraId="550BA880" w14:textId="59C63C1A" w:rsidR="009E414A" w:rsidRPr="0073658E" w:rsidRDefault="009E414A" w:rsidP="009C768D">
            <w:pPr>
              <w:pStyle w:val="MDPI42tablebody"/>
            </w:pPr>
            <w:r w:rsidRPr="0073658E">
              <w:rPr>
                <w:rFonts w:cs="Calibri"/>
              </w:rPr>
              <w:t>0.06±0.01</w:t>
            </w:r>
          </w:p>
        </w:tc>
        <w:tc>
          <w:tcPr>
            <w:tcW w:w="1678" w:type="dxa"/>
          </w:tcPr>
          <w:p w14:paraId="3B4C13A3" w14:textId="7201533F" w:rsidR="009E414A" w:rsidRPr="0073658E" w:rsidRDefault="009E414A" w:rsidP="009C768D">
            <w:pPr>
              <w:pStyle w:val="MDPI42tablebody"/>
            </w:pPr>
            <w:r w:rsidRPr="0073658E">
              <w:rPr>
                <w:rFonts w:cs="Calibri"/>
              </w:rPr>
              <w:t>0.1±0.2</w:t>
            </w:r>
          </w:p>
        </w:tc>
        <w:tc>
          <w:tcPr>
            <w:tcW w:w="1632" w:type="dxa"/>
          </w:tcPr>
          <w:p w14:paraId="494B3B7C" w14:textId="24F04F21" w:rsidR="009E414A" w:rsidRPr="0073658E" w:rsidRDefault="009E414A" w:rsidP="009C768D">
            <w:pPr>
              <w:pStyle w:val="MDPI42tablebody"/>
              <w:rPr>
                <w:rFonts w:cs="Calibri"/>
              </w:rPr>
            </w:pPr>
            <w:r>
              <w:rPr>
                <w:rFonts w:cs="Calibri"/>
              </w:rPr>
              <w:t>0.03</w:t>
            </w:r>
          </w:p>
        </w:tc>
      </w:tr>
      <w:tr w:rsidR="009E414A" w14:paraId="107FD3CB" w14:textId="6635E8F9" w:rsidTr="00206F56">
        <w:tc>
          <w:tcPr>
            <w:tcW w:w="1500" w:type="dxa"/>
          </w:tcPr>
          <w:p w14:paraId="185E5F86" w14:textId="7D38A19F" w:rsidR="009E414A" w:rsidRDefault="009E414A" w:rsidP="006E4087">
            <w:pPr>
              <w:pStyle w:val="MDPI42tablebody"/>
            </w:pPr>
            <w:r>
              <w:t>SMOS CATDS</w:t>
            </w:r>
          </w:p>
        </w:tc>
        <w:tc>
          <w:tcPr>
            <w:tcW w:w="1343" w:type="dxa"/>
          </w:tcPr>
          <w:p w14:paraId="778361C8" w14:textId="0BD620A4" w:rsidR="009E414A" w:rsidRPr="0073658E" w:rsidRDefault="009E414A" w:rsidP="006E4087">
            <w:pPr>
              <w:pStyle w:val="MDPI42tablebody"/>
            </w:pPr>
            <w:r w:rsidRPr="0073658E">
              <w:rPr>
                <w:rFonts w:cs="Calibri"/>
              </w:rPr>
              <w:t>0.085±0.004</w:t>
            </w:r>
          </w:p>
        </w:tc>
        <w:tc>
          <w:tcPr>
            <w:tcW w:w="1167" w:type="dxa"/>
          </w:tcPr>
          <w:p w14:paraId="064B2827" w14:textId="30AEF8F7" w:rsidR="009E414A" w:rsidRPr="0073658E" w:rsidRDefault="009E414A" w:rsidP="006E4087">
            <w:pPr>
              <w:pStyle w:val="MDPI42tablebody"/>
            </w:pPr>
            <w:r w:rsidRPr="0073658E">
              <w:rPr>
                <w:rFonts w:cs="Calibri"/>
              </w:rPr>
              <w:t>1.02±0.05</w:t>
            </w:r>
          </w:p>
        </w:tc>
        <w:tc>
          <w:tcPr>
            <w:tcW w:w="1514" w:type="dxa"/>
          </w:tcPr>
          <w:p w14:paraId="0C500244" w14:textId="4391D6D9" w:rsidR="009E414A" w:rsidRPr="0073658E" w:rsidRDefault="009E414A" w:rsidP="006E4087">
            <w:pPr>
              <w:pStyle w:val="MDPI42tablebody"/>
            </w:pPr>
            <w:r w:rsidRPr="0073658E">
              <w:rPr>
                <w:rFonts w:cs="Calibri"/>
              </w:rPr>
              <w:t>0.01±0.01</w:t>
            </w:r>
          </w:p>
        </w:tc>
        <w:tc>
          <w:tcPr>
            <w:tcW w:w="1678" w:type="dxa"/>
          </w:tcPr>
          <w:p w14:paraId="7473909D" w14:textId="45CA03D1" w:rsidR="009E414A" w:rsidRPr="0073658E" w:rsidRDefault="00F05C0B" w:rsidP="006E4087">
            <w:pPr>
              <w:pStyle w:val="MDPI42tablebody"/>
            </w:pPr>
            <w:r>
              <w:rPr>
                <w:rFonts w:cs="Calibri"/>
              </w:rPr>
              <w:t>-</w:t>
            </w:r>
            <w:r w:rsidR="009E414A" w:rsidRPr="0073658E">
              <w:rPr>
                <w:rFonts w:cs="Calibri"/>
              </w:rPr>
              <w:t>0.1±0.1</w:t>
            </w:r>
          </w:p>
        </w:tc>
        <w:tc>
          <w:tcPr>
            <w:tcW w:w="1632" w:type="dxa"/>
          </w:tcPr>
          <w:p w14:paraId="3D378BFF" w14:textId="2D859B62" w:rsidR="009E414A" w:rsidRPr="0073658E" w:rsidRDefault="009E414A" w:rsidP="006E4087">
            <w:pPr>
              <w:pStyle w:val="MDPI42tablebody"/>
              <w:rPr>
                <w:rFonts w:cs="Calibri"/>
              </w:rPr>
            </w:pPr>
            <w:r>
              <w:rPr>
                <w:rFonts w:cs="Calibri"/>
              </w:rPr>
              <w:t>0.05</w:t>
            </w:r>
          </w:p>
        </w:tc>
      </w:tr>
      <w:tr w:rsidR="009E414A" w14:paraId="47EBE010" w14:textId="170292ED" w:rsidTr="00206F56">
        <w:tc>
          <w:tcPr>
            <w:tcW w:w="1500" w:type="dxa"/>
          </w:tcPr>
          <w:p w14:paraId="37D50B4A" w14:textId="28745BD7" w:rsidR="009E414A" w:rsidRDefault="009E414A" w:rsidP="006E4087">
            <w:pPr>
              <w:pStyle w:val="MDPI42tablebody"/>
            </w:pPr>
            <w:r>
              <w:t>CCI</w:t>
            </w:r>
          </w:p>
        </w:tc>
        <w:tc>
          <w:tcPr>
            <w:tcW w:w="1343" w:type="dxa"/>
          </w:tcPr>
          <w:p w14:paraId="031EF3FF" w14:textId="36930446" w:rsidR="009E414A" w:rsidRPr="0073658E" w:rsidRDefault="009E414A" w:rsidP="006E4087">
            <w:pPr>
              <w:pStyle w:val="MDPI42tablebody"/>
            </w:pPr>
            <w:r w:rsidRPr="0073658E">
              <w:rPr>
                <w:rFonts w:cs="Calibri"/>
              </w:rPr>
              <w:t>0.07</w:t>
            </w:r>
            <w:r w:rsidR="00880C6A">
              <w:rPr>
                <w:rFonts w:cs="Calibri"/>
              </w:rPr>
              <w:t>4</w:t>
            </w:r>
            <w:r w:rsidRPr="0073658E">
              <w:rPr>
                <w:rFonts w:cs="Calibri"/>
              </w:rPr>
              <w:t>±0.00</w:t>
            </w:r>
            <w:r w:rsidR="00880C6A">
              <w:rPr>
                <w:rFonts w:cs="Calibri"/>
              </w:rPr>
              <w:t>2</w:t>
            </w:r>
          </w:p>
        </w:tc>
        <w:tc>
          <w:tcPr>
            <w:tcW w:w="1167" w:type="dxa"/>
          </w:tcPr>
          <w:p w14:paraId="55833682" w14:textId="4787D721" w:rsidR="009E414A" w:rsidRPr="0073658E" w:rsidRDefault="00880C6A" w:rsidP="006E4087">
            <w:pPr>
              <w:pStyle w:val="MDPI42tablebody"/>
            </w:pPr>
            <w:r>
              <w:rPr>
                <w:rFonts w:cs="Calibri"/>
              </w:rPr>
              <w:t>1.2</w:t>
            </w:r>
            <w:r w:rsidR="009E414A" w:rsidRPr="0073658E">
              <w:rPr>
                <w:rFonts w:cs="Calibri"/>
              </w:rPr>
              <w:t>±0.</w:t>
            </w:r>
            <w:r>
              <w:rPr>
                <w:rFonts w:cs="Calibri"/>
              </w:rPr>
              <w:t>04</w:t>
            </w:r>
          </w:p>
        </w:tc>
        <w:tc>
          <w:tcPr>
            <w:tcW w:w="1514" w:type="dxa"/>
          </w:tcPr>
          <w:p w14:paraId="25CEEDE6" w14:textId="4154DE10" w:rsidR="009E414A" w:rsidRPr="0073658E" w:rsidRDefault="009E414A" w:rsidP="006E4087">
            <w:pPr>
              <w:pStyle w:val="MDPI42tablebody"/>
            </w:pPr>
            <w:r w:rsidRPr="0073658E">
              <w:rPr>
                <w:rFonts w:cs="Calibri"/>
              </w:rPr>
              <w:t>0.0</w:t>
            </w:r>
            <w:r w:rsidR="00880C6A">
              <w:rPr>
                <w:rFonts w:cs="Calibri"/>
              </w:rPr>
              <w:t>2</w:t>
            </w:r>
            <w:r w:rsidRPr="0073658E">
              <w:rPr>
                <w:rFonts w:cs="Calibri"/>
              </w:rPr>
              <w:t>±0.01</w:t>
            </w:r>
          </w:p>
        </w:tc>
        <w:tc>
          <w:tcPr>
            <w:tcW w:w="1678" w:type="dxa"/>
          </w:tcPr>
          <w:p w14:paraId="0E8964C7" w14:textId="59F99C1B" w:rsidR="009E414A" w:rsidRPr="0073658E" w:rsidRDefault="009E414A" w:rsidP="006E4087">
            <w:pPr>
              <w:pStyle w:val="MDPI42tablebody"/>
            </w:pPr>
            <w:r w:rsidRPr="0073658E">
              <w:rPr>
                <w:rFonts w:cs="Calibri"/>
              </w:rPr>
              <w:t>0.0</w:t>
            </w:r>
            <w:r w:rsidR="00880C6A">
              <w:rPr>
                <w:rFonts w:cs="Calibri"/>
              </w:rPr>
              <w:t>4</w:t>
            </w:r>
            <w:r w:rsidRPr="0073658E">
              <w:rPr>
                <w:rFonts w:cs="Calibri"/>
              </w:rPr>
              <w:t>±0.</w:t>
            </w:r>
            <w:r w:rsidR="00880C6A">
              <w:rPr>
                <w:rFonts w:cs="Calibri"/>
              </w:rPr>
              <w:t>15</w:t>
            </w:r>
          </w:p>
        </w:tc>
        <w:tc>
          <w:tcPr>
            <w:tcW w:w="1632" w:type="dxa"/>
          </w:tcPr>
          <w:p w14:paraId="58CB470B" w14:textId="2006B605" w:rsidR="009E414A" w:rsidRPr="0073658E" w:rsidRDefault="00880C6A" w:rsidP="006E4087">
            <w:pPr>
              <w:pStyle w:val="MDPI42tablebody"/>
              <w:rPr>
                <w:rFonts w:cs="Calibri"/>
              </w:rPr>
            </w:pPr>
            <w:r>
              <w:rPr>
                <w:rFonts w:cs="Calibri"/>
              </w:rPr>
              <w:t>0.01</w:t>
            </w:r>
          </w:p>
        </w:tc>
      </w:tr>
      <w:tr w:rsidR="009E414A" w14:paraId="31C0802C" w14:textId="09714CA3" w:rsidTr="00206F56">
        <w:tc>
          <w:tcPr>
            <w:tcW w:w="1500" w:type="dxa"/>
          </w:tcPr>
          <w:p w14:paraId="2186856E" w14:textId="7CD5B669" w:rsidR="009E414A" w:rsidRDefault="009E414A" w:rsidP="006E4087">
            <w:pPr>
              <w:pStyle w:val="MDPI42tablebody"/>
            </w:pPr>
            <w:r>
              <w:t>SMAP JPL</w:t>
            </w:r>
          </w:p>
        </w:tc>
        <w:tc>
          <w:tcPr>
            <w:tcW w:w="1343" w:type="dxa"/>
          </w:tcPr>
          <w:p w14:paraId="40B992B8" w14:textId="2A38E42D" w:rsidR="009E414A" w:rsidRPr="0073658E" w:rsidRDefault="009E414A" w:rsidP="006E4087">
            <w:pPr>
              <w:pStyle w:val="MDPI42tablebody"/>
            </w:pPr>
            <w:r w:rsidRPr="0073658E">
              <w:rPr>
                <w:rFonts w:cs="Calibri"/>
              </w:rPr>
              <w:t>0.074±0.003</w:t>
            </w:r>
          </w:p>
        </w:tc>
        <w:tc>
          <w:tcPr>
            <w:tcW w:w="1167" w:type="dxa"/>
          </w:tcPr>
          <w:p w14:paraId="2A3E7ACE" w14:textId="63966DE8" w:rsidR="009E414A" w:rsidRPr="0073658E" w:rsidRDefault="009E414A" w:rsidP="006E4087">
            <w:pPr>
              <w:pStyle w:val="MDPI42tablebody"/>
            </w:pPr>
            <w:r w:rsidRPr="0073658E">
              <w:rPr>
                <w:rFonts w:cs="Calibri"/>
              </w:rPr>
              <w:t>1.27±0.04</w:t>
            </w:r>
          </w:p>
        </w:tc>
        <w:tc>
          <w:tcPr>
            <w:tcW w:w="1514" w:type="dxa"/>
          </w:tcPr>
          <w:p w14:paraId="39FA0222" w14:textId="1D035C23" w:rsidR="009E414A" w:rsidRPr="0073658E" w:rsidRDefault="009E414A" w:rsidP="006E4087">
            <w:pPr>
              <w:pStyle w:val="MDPI42tablebody"/>
            </w:pPr>
            <w:r w:rsidRPr="0073658E">
              <w:rPr>
                <w:rFonts w:cs="Calibri"/>
              </w:rPr>
              <w:t>-0.013±0.009</w:t>
            </w:r>
          </w:p>
        </w:tc>
        <w:tc>
          <w:tcPr>
            <w:tcW w:w="1678" w:type="dxa"/>
          </w:tcPr>
          <w:p w14:paraId="4730AF43" w14:textId="3751D8DE" w:rsidR="009E414A" w:rsidRPr="0073658E" w:rsidRDefault="00F05C0B" w:rsidP="006E4087">
            <w:pPr>
              <w:pStyle w:val="MDPI42tablebody"/>
            </w:pPr>
            <w:r>
              <w:rPr>
                <w:rFonts w:cs="Calibri"/>
              </w:rPr>
              <w:t>-</w:t>
            </w:r>
            <w:r w:rsidR="009E414A" w:rsidRPr="0073658E">
              <w:rPr>
                <w:rFonts w:cs="Calibri"/>
              </w:rPr>
              <w:t>0.0±0.2</w:t>
            </w:r>
          </w:p>
        </w:tc>
        <w:tc>
          <w:tcPr>
            <w:tcW w:w="1632" w:type="dxa"/>
          </w:tcPr>
          <w:p w14:paraId="5A95C24F" w14:textId="7F86B50C" w:rsidR="009E414A" w:rsidRPr="0073658E" w:rsidRDefault="009E414A" w:rsidP="006E4087">
            <w:pPr>
              <w:pStyle w:val="MDPI42tablebody"/>
              <w:rPr>
                <w:rFonts w:cs="Calibri"/>
              </w:rPr>
            </w:pPr>
            <w:r>
              <w:rPr>
                <w:rFonts w:cs="Calibri"/>
              </w:rPr>
              <w:t>0.01</w:t>
            </w:r>
          </w:p>
        </w:tc>
      </w:tr>
      <w:tr w:rsidR="009E414A" w14:paraId="179F60DD" w14:textId="3E4C3A46" w:rsidTr="00206F56">
        <w:tc>
          <w:tcPr>
            <w:tcW w:w="1500" w:type="dxa"/>
          </w:tcPr>
          <w:p w14:paraId="2488545C" w14:textId="59C38273" w:rsidR="009E414A" w:rsidRDefault="009E414A" w:rsidP="006E4087">
            <w:pPr>
              <w:pStyle w:val="MDPI42tablebody"/>
            </w:pPr>
            <w:r>
              <w:t>SMAP RSS</w:t>
            </w:r>
          </w:p>
        </w:tc>
        <w:tc>
          <w:tcPr>
            <w:tcW w:w="1343" w:type="dxa"/>
          </w:tcPr>
          <w:p w14:paraId="1D191821" w14:textId="040E0D35" w:rsidR="009E414A" w:rsidRPr="0073658E" w:rsidRDefault="009E414A" w:rsidP="006E4087">
            <w:pPr>
              <w:pStyle w:val="MDPI42tablebody"/>
            </w:pPr>
            <w:r w:rsidRPr="0073658E">
              <w:rPr>
                <w:rFonts w:cs="Calibri"/>
              </w:rPr>
              <w:t>0.070±0.003</w:t>
            </w:r>
          </w:p>
        </w:tc>
        <w:tc>
          <w:tcPr>
            <w:tcW w:w="1167" w:type="dxa"/>
          </w:tcPr>
          <w:p w14:paraId="66BF6122" w14:textId="2A1D4B60" w:rsidR="009E414A" w:rsidRPr="0073658E" w:rsidRDefault="009E414A" w:rsidP="006E4087">
            <w:pPr>
              <w:pStyle w:val="MDPI42tablebody"/>
            </w:pPr>
            <w:r w:rsidRPr="0073658E">
              <w:rPr>
                <w:rFonts w:cs="Calibri"/>
              </w:rPr>
              <w:t>1.30±0.04</w:t>
            </w:r>
          </w:p>
        </w:tc>
        <w:tc>
          <w:tcPr>
            <w:tcW w:w="1514" w:type="dxa"/>
          </w:tcPr>
          <w:p w14:paraId="56FE4990" w14:textId="40E1604A" w:rsidR="009E414A" w:rsidRPr="0073658E" w:rsidRDefault="009E414A" w:rsidP="006E4087">
            <w:pPr>
              <w:pStyle w:val="MDPI42tablebody"/>
            </w:pPr>
            <w:r w:rsidRPr="0073658E">
              <w:rPr>
                <w:rFonts w:cs="Calibri"/>
              </w:rPr>
              <w:t>0.003±0.009</w:t>
            </w:r>
          </w:p>
        </w:tc>
        <w:tc>
          <w:tcPr>
            <w:tcW w:w="1678" w:type="dxa"/>
          </w:tcPr>
          <w:p w14:paraId="74590EF2" w14:textId="4E7D4877" w:rsidR="009E414A" w:rsidRPr="0073658E" w:rsidRDefault="00F05C0B" w:rsidP="006E4087">
            <w:pPr>
              <w:pStyle w:val="MDPI42tablebody"/>
            </w:pPr>
            <w:r>
              <w:rPr>
                <w:rFonts w:cs="Calibri"/>
              </w:rPr>
              <w:t>-</w:t>
            </w:r>
            <w:r w:rsidR="009E414A" w:rsidRPr="0073658E">
              <w:rPr>
                <w:rFonts w:cs="Calibri"/>
              </w:rPr>
              <w:t>0.1±0.2</w:t>
            </w:r>
          </w:p>
        </w:tc>
        <w:tc>
          <w:tcPr>
            <w:tcW w:w="1632" w:type="dxa"/>
          </w:tcPr>
          <w:p w14:paraId="0D6466A6" w14:textId="3A9CA6CA" w:rsidR="009E414A" w:rsidRPr="0073658E" w:rsidRDefault="009E414A" w:rsidP="006E4087">
            <w:pPr>
              <w:pStyle w:val="MDPI42tablebody"/>
              <w:rPr>
                <w:rFonts w:cs="Calibri"/>
              </w:rPr>
            </w:pPr>
            <w:r>
              <w:rPr>
                <w:rFonts w:cs="Calibri"/>
              </w:rPr>
              <w:t>0.01</w:t>
            </w:r>
          </w:p>
        </w:tc>
      </w:tr>
      <w:tr w:rsidR="009E414A" w14:paraId="789E47BE" w14:textId="5FC2B243" w:rsidTr="00206F56">
        <w:tc>
          <w:tcPr>
            <w:tcW w:w="1500" w:type="dxa"/>
          </w:tcPr>
          <w:p w14:paraId="370CBA94" w14:textId="71B1D482" w:rsidR="009E414A" w:rsidRDefault="009E414A" w:rsidP="006E4087">
            <w:pPr>
              <w:pStyle w:val="MDPI42tablebody"/>
            </w:pPr>
            <w:r>
              <w:t>Aquarius</w:t>
            </w:r>
          </w:p>
        </w:tc>
        <w:tc>
          <w:tcPr>
            <w:tcW w:w="1343" w:type="dxa"/>
          </w:tcPr>
          <w:p w14:paraId="7E5E8A51" w14:textId="77126692" w:rsidR="009E414A" w:rsidRPr="0073658E" w:rsidRDefault="009E414A" w:rsidP="006E4087">
            <w:pPr>
              <w:pStyle w:val="MDPI42tablebody"/>
            </w:pPr>
            <w:r w:rsidRPr="0073658E">
              <w:rPr>
                <w:rFonts w:cs="Calibri"/>
              </w:rPr>
              <w:t>0.108±0.003</w:t>
            </w:r>
          </w:p>
        </w:tc>
        <w:tc>
          <w:tcPr>
            <w:tcW w:w="1167" w:type="dxa"/>
          </w:tcPr>
          <w:p w14:paraId="0BED3B5E" w14:textId="17F5F3F7" w:rsidR="009E414A" w:rsidRPr="0073658E" w:rsidRDefault="009E414A" w:rsidP="006E4087">
            <w:pPr>
              <w:pStyle w:val="MDPI42tablebody"/>
            </w:pPr>
            <w:r w:rsidRPr="0073658E">
              <w:rPr>
                <w:rFonts w:cs="Calibri"/>
              </w:rPr>
              <w:t>1.33±0.04</w:t>
            </w:r>
          </w:p>
        </w:tc>
        <w:tc>
          <w:tcPr>
            <w:tcW w:w="1514" w:type="dxa"/>
          </w:tcPr>
          <w:p w14:paraId="270B3508" w14:textId="519D0732" w:rsidR="009E414A" w:rsidRPr="0073658E" w:rsidRDefault="009E414A" w:rsidP="006E4087">
            <w:pPr>
              <w:pStyle w:val="MDPI42tablebody"/>
            </w:pPr>
            <w:r w:rsidRPr="0073658E">
              <w:rPr>
                <w:rFonts w:cs="Calibri"/>
              </w:rPr>
              <w:t>-0.02±0.01</w:t>
            </w:r>
          </w:p>
        </w:tc>
        <w:tc>
          <w:tcPr>
            <w:tcW w:w="1678" w:type="dxa"/>
          </w:tcPr>
          <w:p w14:paraId="73FE2A00" w14:textId="29842B49" w:rsidR="009E414A" w:rsidRPr="0073658E" w:rsidRDefault="00F05C0B" w:rsidP="006E4087">
            <w:pPr>
              <w:pStyle w:val="MDPI42tablebody"/>
            </w:pPr>
            <w:r>
              <w:rPr>
                <w:rFonts w:cs="Calibri"/>
              </w:rPr>
              <w:t>-</w:t>
            </w:r>
            <w:r w:rsidR="009E414A" w:rsidRPr="0073658E">
              <w:rPr>
                <w:rFonts w:cs="Calibri"/>
              </w:rPr>
              <w:t>0.1±0.2</w:t>
            </w:r>
          </w:p>
        </w:tc>
        <w:tc>
          <w:tcPr>
            <w:tcW w:w="1632" w:type="dxa"/>
          </w:tcPr>
          <w:p w14:paraId="4B3DAAE0" w14:textId="05DAD7E4" w:rsidR="009E414A" w:rsidRPr="0073658E" w:rsidRDefault="009E414A" w:rsidP="006E4087">
            <w:pPr>
              <w:pStyle w:val="MDPI42tablebody"/>
              <w:rPr>
                <w:rFonts w:cs="Calibri"/>
              </w:rPr>
            </w:pPr>
            <w:r>
              <w:rPr>
                <w:rFonts w:cs="Calibri"/>
              </w:rPr>
              <w:t>-0.12</w:t>
            </w:r>
          </w:p>
        </w:tc>
      </w:tr>
      <w:tr w:rsidR="009E414A" w14:paraId="56CFD4E8" w14:textId="17D13ADB" w:rsidTr="00206F56">
        <w:tc>
          <w:tcPr>
            <w:tcW w:w="1500" w:type="dxa"/>
          </w:tcPr>
          <w:p w14:paraId="554E45AD" w14:textId="194E9559" w:rsidR="009E414A" w:rsidRDefault="009E414A" w:rsidP="006E4087">
            <w:pPr>
              <w:pStyle w:val="MDPI42tablebody"/>
            </w:pPr>
            <w:r>
              <w:t>EN4</w:t>
            </w:r>
          </w:p>
        </w:tc>
        <w:tc>
          <w:tcPr>
            <w:tcW w:w="1343" w:type="dxa"/>
          </w:tcPr>
          <w:p w14:paraId="36D3EBB2" w14:textId="3551E85E" w:rsidR="009E414A" w:rsidRPr="0073658E" w:rsidRDefault="009E414A" w:rsidP="006E4087">
            <w:pPr>
              <w:pStyle w:val="MDPI42tablebody"/>
            </w:pPr>
            <w:r w:rsidRPr="0073658E">
              <w:rPr>
                <w:rFonts w:cs="Calibri"/>
              </w:rPr>
              <w:t>0.082±0.008</w:t>
            </w:r>
          </w:p>
        </w:tc>
        <w:tc>
          <w:tcPr>
            <w:tcW w:w="1167" w:type="dxa"/>
          </w:tcPr>
          <w:p w14:paraId="7B05CA13" w14:textId="224C32F8" w:rsidR="009E414A" w:rsidRPr="0073658E" w:rsidRDefault="009E414A" w:rsidP="006E4087">
            <w:pPr>
              <w:pStyle w:val="MDPI42tablebody"/>
            </w:pPr>
            <w:r w:rsidRPr="0073658E">
              <w:rPr>
                <w:rFonts w:cs="Calibri"/>
              </w:rPr>
              <w:t>0.53±0.05</w:t>
            </w:r>
          </w:p>
        </w:tc>
        <w:tc>
          <w:tcPr>
            <w:tcW w:w="1514" w:type="dxa"/>
          </w:tcPr>
          <w:p w14:paraId="282646DF" w14:textId="604C1F3F" w:rsidR="009E414A" w:rsidRPr="0073658E" w:rsidRDefault="009E414A" w:rsidP="006E4087">
            <w:pPr>
              <w:pStyle w:val="MDPI42tablebody"/>
            </w:pPr>
            <w:r w:rsidRPr="0073658E">
              <w:rPr>
                <w:rFonts w:cs="Calibri"/>
              </w:rPr>
              <w:t>0.01±0.01</w:t>
            </w:r>
          </w:p>
        </w:tc>
        <w:tc>
          <w:tcPr>
            <w:tcW w:w="1678" w:type="dxa"/>
          </w:tcPr>
          <w:p w14:paraId="5F79982D" w14:textId="10A1C80C" w:rsidR="009E414A" w:rsidRPr="0073658E" w:rsidRDefault="00F05C0B" w:rsidP="006E4087">
            <w:pPr>
              <w:pStyle w:val="MDPI42tablebody"/>
            </w:pPr>
            <w:r>
              <w:rPr>
                <w:rFonts w:cs="Calibri"/>
              </w:rPr>
              <w:t>-</w:t>
            </w:r>
            <w:r w:rsidR="009E414A" w:rsidRPr="0073658E">
              <w:rPr>
                <w:rFonts w:cs="Calibri"/>
              </w:rPr>
              <w:t>0.08±0.08</w:t>
            </w:r>
          </w:p>
        </w:tc>
        <w:tc>
          <w:tcPr>
            <w:tcW w:w="1632" w:type="dxa"/>
          </w:tcPr>
          <w:p w14:paraId="50CB911D" w14:textId="6A6D134D" w:rsidR="009E414A" w:rsidRPr="0073658E" w:rsidRDefault="009E414A" w:rsidP="006E4087">
            <w:pPr>
              <w:pStyle w:val="MDPI42tablebody"/>
              <w:rPr>
                <w:rFonts w:cs="Calibri"/>
              </w:rPr>
            </w:pPr>
            <w:r>
              <w:rPr>
                <w:rFonts w:cs="Calibri"/>
              </w:rPr>
              <w:t>-0.14</w:t>
            </w:r>
          </w:p>
        </w:tc>
      </w:tr>
      <w:tr w:rsidR="009E414A" w14:paraId="5230BB7E" w14:textId="2C8AF029" w:rsidTr="00206F56">
        <w:tc>
          <w:tcPr>
            <w:tcW w:w="1500" w:type="dxa"/>
          </w:tcPr>
          <w:p w14:paraId="64380E4F" w14:textId="46EAD0D0" w:rsidR="009E414A" w:rsidRDefault="009E414A" w:rsidP="006E4087">
            <w:pPr>
              <w:pStyle w:val="MDPI42tablebody"/>
            </w:pPr>
            <w:r>
              <w:t>SIO</w:t>
            </w:r>
          </w:p>
        </w:tc>
        <w:tc>
          <w:tcPr>
            <w:tcW w:w="1343" w:type="dxa"/>
          </w:tcPr>
          <w:p w14:paraId="5589D79F" w14:textId="31F5FDF5" w:rsidR="009E414A" w:rsidRPr="0073658E" w:rsidRDefault="009E414A" w:rsidP="006E4087">
            <w:pPr>
              <w:pStyle w:val="MDPI42tablebody"/>
            </w:pPr>
            <w:r w:rsidRPr="0073658E">
              <w:rPr>
                <w:rFonts w:cs="Calibri"/>
              </w:rPr>
              <w:t>0.080±0.008</w:t>
            </w:r>
          </w:p>
        </w:tc>
        <w:tc>
          <w:tcPr>
            <w:tcW w:w="1167" w:type="dxa"/>
          </w:tcPr>
          <w:p w14:paraId="2421D052" w14:textId="451C7187" w:rsidR="009E414A" w:rsidRPr="0073658E" w:rsidRDefault="009E414A" w:rsidP="006E4087">
            <w:pPr>
              <w:pStyle w:val="MDPI42tablebody"/>
            </w:pPr>
            <w:r w:rsidRPr="0073658E">
              <w:rPr>
                <w:rFonts w:cs="Calibri"/>
              </w:rPr>
              <w:t>0.55±0.04</w:t>
            </w:r>
          </w:p>
        </w:tc>
        <w:tc>
          <w:tcPr>
            <w:tcW w:w="1514" w:type="dxa"/>
          </w:tcPr>
          <w:p w14:paraId="4041A04C" w14:textId="6F3C137E" w:rsidR="009E414A" w:rsidRPr="0073658E" w:rsidRDefault="009E414A" w:rsidP="006E4087">
            <w:pPr>
              <w:pStyle w:val="MDPI42tablebody"/>
            </w:pPr>
            <w:r w:rsidRPr="0073658E">
              <w:rPr>
                <w:rFonts w:cs="Calibri"/>
              </w:rPr>
              <w:t>0.01±0.01</w:t>
            </w:r>
          </w:p>
        </w:tc>
        <w:tc>
          <w:tcPr>
            <w:tcW w:w="1678" w:type="dxa"/>
          </w:tcPr>
          <w:p w14:paraId="30AF5A87" w14:textId="5FEE919B" w:rsidR="009E414A" w:rsidRPr="0073658E" w:rsidRDefault="00F05C0B" w:rsidP="006E4087">
            <w:pPr>
              <w:pStyle w:val="MDPI42tablebody"/>
            </w:pPr>
            <w:r>
              <w:rPr>
                <w:rFonts w:cs="Calibri"/>
              </w:rPr>
              <w:t>-</w:t>
            </w:r>
            <w:r w:rsidR="009E414A" w:rsidRPr="0073658E">
              <w:rPr>
                <w:rFonts w:cs="Calibri"/>
              </w:rPr>
              <w:t>0.05±0.08</w:t>
            </w:r>
          </w:p>
        </w:tc>
        <w:tc>
          <w:tcPr>
            <w:tcW w:w="1632" w:type="dxa"/>
          </w:tcPr>
          <w:p w14:paraId="692C1A93" w14:textId="17E2A96B" w:rsidR="009E414A" w:rsidRPr="0073658E" w:rsidRDefault="009E414A" w:rsidP="006E4087">
            <w:pPr>
              <w:pStyle w:val="MDPI42tablebody"/>
              <w:rPr>
                <w:rFonts w:cs="Calibri"/>
              </w:rPr>
            </w:pPr>
            <w:r>
              <w:rPr>
                <w:rFonts w:cs="Calibri"/>
              </w:rPr>
              <w:t>-0.14</w:t>
            </w:r>
          </w:p>
        </w:tc>
      </w:tr>
    </w:tbl>
    <w:p w14:paraId="66419812" w14:textId="787AFFDB" w:rsidR="00206085" w:rsidRDefault="00206085" w:rsidP="00206085">
      <w:pPr>
        <w:pStyle w:val="MDPI42tablebody"/>
      </w:pPr>
    </w:p>
    <w:p w14:paraId="21B676C9" w14:textId="245200E1" w:rsidR="00206085" w:rsidRDefault="000A5E71" w:rsidP="0014356F">
      <w:pPr>
        <w:pStyle w:val="MDPI31text"/>
      </w:pPr>
      <w:r>
        <w:t xml:space="preserve">In a couple of </w:t>
      </w:r>
      <w:proofErr w:type="gramStart"/>
      <w:r>
        <w:t>cases</w:t>
      </w:r>
      <w:proofErr w:type="gramEnd"/>
      <w:r>
        <w:t xml:space="preserve"> we can compare two products whose underlying measurement is the same. There are two different L3 SMAP products and two L</w:t>
      </w:r>
      <w:r w:rsidR="005C6C29">
        <w:t>3</w:t>
      </w:r>
      <w:r>
        <w:t xml:space="preserve"> SMOS products (Figure </w:t>
      </w:r>
      <w:r w:rsidR="00C56719">
        <w:t>8</w:t>
      </w:r>
      <w:r>
        <w:t xml:space="preserve">). </w:t>
      </w:r>
      <w:r w:rsidR="00B236E5">
        <w:t>So, in making these comparisons, all of the difference between them is due to the processing algorithm and not the measurement platform.</w:t>
      </w:r>
      <w:r w:rsidR="00AD586D">
        <w:t xml:space="preserve"> The SMAP products compare very well, with an RMSD of about 0.7 months and median difference not significantly different from zero</w:t>
      </w:r>
      <w:r w:rsidR="004A7074">
        <w:t xml:space="preserve"> (Figure </w:t>
      </w:r>
      <w:r w:rsidR="00C56719">
        <w:t>8a</w:t>
      </w:r>
      <w:r w:rsidR="004A7074">
        <w:t>)</w:t>
      </w:r>
      <w:r w:rsidR="00AD586D">
        <w:t xml:space="preserve">. The one outlier point is at </w:t>
      </w:r>
      <w:r w:rsidR="0079733B">
        <w:t>(15</w:t>
      </w:r>
      <w:r w:rsidR="0004307C">
        <w:t>°</w:t>
      </w:r>
      <w:r w:rsidR="0079733B">
        <w:t>N, 65</w:t>
      </w:r>
      <w:r w:rsidR="0004307C">
        <w:t>°</w:t>
      </w:r>
      <w:r w:rsidR="0079733B">
        <w:t>E) in the Arabian Sea</w:t>
      </w:r>
      <w:r w:rsidR="00AD586D">
        <w:t>.</w:t>
      </w:r>
      <w:r w:rsidR="0079733B">
        <w:t xml:space="preserve"> (This harmonic is not included in any mooring plot because there are too few data</w:t>
      </w:r>
      <w:r w:rsidR="007A3215">
        <w:t xml:space="preserve"> at this location</w:t>
      </w:r>
      <w:r w:rsidR="0079733B">
        <w:t>.)</w:t>
      </w:r>
      <w:r w:rsidR="00AD586D">
        <w:t xml:space="preserve"> The two SMOS products do show some differences, with the SMOS BEC product generally leading the SMOS CATDS</w:t>
      </w:r>
      <w:r w:rsidR="004A7074">
        <w:t xml:space="preserve"> (Figure </w:t>
      </w:r>
      <w:r w:rsidR="00C56719">
        <w:t>8b</w:t>
      </w:r>
      <w:r w:rsidR="004A7074">
        <w:t>)</w:t>
      </w:r>
      <w:r w:rsidR="00AD586D">
        <w:t>. The median difference is 0.4 months.</w:t>
      </w:r>
    </w:p>
    <w:p w14:paraId="4CF9035D" w14:textId="5D5E822E" w:rsidR="00B236E5" w:rsidRDefault="00B236E5" w:rsidP="0014356F">
      <w:pPr>
        <w:pStyle w:val="MDPI31tex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1"/>
        <w:gridCol w:w="4563"/>
      </w:tblGrid>
      <w:tr w:rsidR="0009328C" w14:paraId="2F056B81" w14:textId="77777777" w:rsidTr="007B703B">
        <w:tc>
          <w:tcPr>
            <w:tcW w:w="4271" w:type="dxa"/>
          </w:tcPr>
          <w:p w14:paraId="27CCB608" w14:textId="300C1794" w:rsidR="00B236E5" w:rsidRDefault="0009328C" w:rsidP="00B236E5">
            <w:pPr>
              <w:pStyle w:val="MDPI52figure"/>
            </w:pPr>
            <w:r>
              <w:rPr>
                <w:noProof/>
                <w:snapToGrid/>
              </w:rPr>
              <w:drawing>
                <wp:inline distT="0" distB="0" distL="0" distR="0" wp14:anchorId="5AF15F62" wp14:editId="616423EF">
                  <wp:extent cx="2573040" cy="18986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6">
                            <a:extLst>
                              <a:ext uri="{28A0092B-C50C-407E-A947-70E740481C1C}">
                                <a14:useLocalDpi xmlns:a14="http://schemas.microsoft.com/office/drawing/2010/main" val="0"/>
                              </a:ext>
                            </a:extLst>
                          </a:blip>
                          <a:stretch>
                            <a:fillRect/>
                          </a:stretch>
                        </pic:blipFill>
                        <pic:spPr>
                          <a:xfrm>
                            <a:off x="0" y="0"/>
                            <a:ext cx="2590123" cy="1911256"/>
                          </a:xfrm>
                          <a:prstGeom prst="rect">
                            <a:avLst/>
                          </a:prstGeom>
                        </pic:spPr>
                      </pic:pic>
                    </a:graphicData>
                  </a:graphic>
                </wp:inline>
              </w:drawing>
            </w:r>
          </w:p>
        </w:tc>
        <w:tc>
          <w:tcPr>
            <w:tcW w:w="4563" w:type="dxa"/>
          </w:tcPr>
          <w:p w14:paraId="73701C95" w14:textId="07A27033" w:rsidR="00B236E5" w:rsidRDefault="0009328C" w:rsidP="00B236E5">
            <w:pPr>
              <w:pStyle w:val="MDPI52figure"/>
            </w:pPr>
            <w:r>
              <w:rPr>
                <w:noProof/>
                <w:snapToGrid/>
              </w:rPr>
              <w:drawing>
                <wp:inline distT="0" distB="0" distL="0" distR="0" wp14:anchorId="7DB71530" wp14:editId="47BD2E8F">
                  <wp:extent cx="2633133" cy="194835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7">
                            <a:extLst>
                              <a:ext uri="{28A0092B-C50C-407E-A947-70E740481C1C}">
                                <a14:useLocalDpi xmlns:a14="http://schemas.microsoft.com/office/drawing/2010/main" val="0"/>
                              </a:ext>
                            </a:extLst>
                          </a:blip>
                          <a:stretch>
                            <a:fillRect/>
                          </a:stretch>
                        </pic:blipFill>
                        <pic:spPr>
                          <a:xfrm>
                            <a:off x="0" y="0"/>
                            <a:ext cx="2672565" cy="1977529"/>
                          </a:xfrm>
                          <a:prstGeom prst="rect">
                            <a:avLst/>
                          </a:prstGeom>
                        </pic:spPr>
                      </pic:pic>
                    </a:graphicData>
                  </a:graphic>
                </wp:inline>
              </w:drawing>
            </w:r>
          </w:p>
        </w:tc>
      </w:tr>
    </w:tbl>
    <w:p w14:paraId="0DB4F6E8" w14:textId="753959FB" w:rsidR="00B236E5" w:rsidRDefault="00E809C6" w:rsidP="00E809C6">
      <w:pPr>
        <w:pStyle w:val="MDPI51figurecaption"/>
      </w:pPr>
      <w:r>
        <w:t xml:space="preserve">Figure </w:t>
      </w:r>
      <w:r w:rsidR="00C56719">
        <w:t>8</w:t>
      </w:r>
      <w:r>
        <w:t xml:space="preserve">. As in Figure </w:t>
      </w:r>
      <w:r w:rsidR="00DB769C">
        <w:t>7</w:t>
      </w:r>
      <w:r>
        <w:t>. Comparisons are a) SMAP RSS vs. SMAP JPL and b) SMOS CATDS vs. SMOS BEC.</w:t>
      </w:r>
    </w:p>
    <w:p w14:paraId="328C5A97" w14:textId="5AFAE281" w:rsidR="00744395" w:rsidRDefault="00A24361" w:rsidP="001D1F82">
      <w:pPr>
        <w:pStyle w:val="MDPI31text"/>
      </w:pPr>
      <w:r>
        <w:t>With the</w:t>
      </w:r>
      <w:r w:rsidR="0026525E">
        <w:t xml:space="preserve"> first harmonic amplitudes, we find that most satellite and in situ products compare well with the moorings (Figure </w:t>
      </w:r>
      <w:r w:rsidR="00213AE3">
        <w:t xml:space="preserve">9 </w:t>
      </w:r>
      <w:r w:rsidR="0026525E">
        <w:t xml:space="preserve">and Table </w:t>
      </w:r>
      <w:r w:rsidR="00F7573C">
        <w:t>2</w:t>
      </w:r>
      <w:r w:rsidR="0026525E">
        <w:t>).</w:t>
      </w:r>
      <w:r w:rsidR="00C26E4C">
        <w:t xml:space="preserve"> RMSDs are typically 0.</w:t>
      </w:r>
      <w:r w:rsidR="00F7573C">
        <w:t>0</w:t>
      </w:r>
      <w:r w:rsidR="00C26E4C">
        <w:t>7-0.</w:t>
      </w:r>
      <w:r w:rsidR="00F7573C">
        <w:t>0</w:t>
      </w:r>
      <w:r w:rsidR="00C26E4C">
        <w:t>8 and median differences of about 0.</w:t>
      </w:r>
      <w:r w:rsidR="00F7573C">
        <w:t>0</w:t>
      </w:r>
      <w:r w:rsidR="00C26E4C">
        <w:t>1-0.</w:t>
      </w:r>
      <w:r w:rsidR="00F7573C">
        <w:t>0</w:t>
      </w:r>
      <w:r w:rsidR="00C26E4C">
        <w:t>3.</w:t>
      </w:r>
      <w:r w:rsidR="0026525E">
        <w:t xml:space="preserve"> The two exceptions are </w:t>
      </w:r>
      <w:r w:rsidR="009E682A">
        <w:t>Aquarius, with RMSD of 0.11 and SMOS BEC with RMSD of 0.13.</w:t>
      </w:r>
      <w:r w:rsidR="00C26E4C">
        <w:t xml:space="preserve"> For the SMOS BEC dataset, the </w:t>
      </w:r>
      <w:r w:rsidR="00804483">
        <w:t xml:space="preserve">mooring </w:t>
      </w:r>
      <w:r w:rsidR="00C26E4C">
        <w:t>amplitudes are generally larger than in the satellite data, with median difference of about 0.06.</w:t>
      </w:r>
    </w:p>
    <w:p w14:paraId="65D04554" w14:textId="77777777" w:rsidR="007B703B" w:rsidRPr="0004307C" w:rsidRDefault="007B703B" w:rsidP="001D1F82">
      <w:pPr>
        <w:pStyle w:val="MDPI31text"/>
        <w:rPr>
          <w:strik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17"/>
      </w:tblGrid>
      <w:tr w:rsidR="0026525E" w14:paraId="597BECD9" w14:textId="77777777" w:rsidTr="007B703B">
        <w:tc>
          <w:tcPr>
            <w:tcW w:w="4417" w:type="dxa"/>
          </w:tcPr>
          <w:p w14:paraId="06D13E83" w14:textId="62AA5FC0" w:rsidR="005721AB" w:rsidRDefault="00222730" w:rsidP="0014356F">
            <w:pPr>
              <w:pStyle w:val="MDPI31text"/>
              <w:ind w:firstLine="0"/>
            </w:pPr>
            <w:r>
              <w:rPr>
                <w:noProof/>
                <w:snapToGrid/>
                <w:lang w:eastAsia="zh-CN" w:bidi="ar-SA"/>
              </w:rPr>
              <w:lastRenderedPageBreak/>
              <w:drawing>
                <wp:inline distT="0" distB="0" distL="0" distR="0" wp14:anchorId="27988193" wp14:editId="20AFA704">
                  <wp:extent cx="2646548" cy="278511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8">
                            <a:extLst>
                              <a:ext uri="{28A0092B-C50C-407E-A947-70E740481C1C}">
                                <a14:useLocalDpi xmlns:a14="http://schemas.microsoft.com/office/drawing/2010/main" val="0"/>
                              </a:ext>
                            </a:extLst>
                          </a:blip>
                          <a:stretch>
                            <a:fillRect/>
                          </a:stretch>
                        </pic:blipFill>
                        <pic:spPr>
                          <a:xfrm>
                            <a:off x="0" y="0"/>
                            <a:ext cx="2663298" cy="2802737"/>
                          </a:xfrm>
                          <a:prstGeom prst="rect">
                            <a:avLst/>
                          </a:prstGeom>
                        </pic:spPr>
                      </pic:pic>
                    </a:graphicData>
                  </a:graphic>
                </wp:inline>
              </w:drawing>
            </w:r>
          </w:p>
        </w:tc>
        <w:tc>
          <w:tcPr>
            <w:tcW w:w="4417" w:type="dxa"/>
          </w:tcPr>
          <w:p w14:paraId="2457DB11" w14:textId="0C371A2E" w:rsidR="005721AB" w:rsidRDefault="00222730" w:rsidP="0014356F">
            <w:pPr>
              <w:pStyle w:val="MDPI31text"/>
              <w:ind w:firstLine="0"/>
            </w:pPr>
            <w:r>
              <w:rPr>
                <w:noProof/>
                <w:snapToGrid/>
                <w:lang w:eastAsia="zh-CN" w:bidi="ar-SA"/>
              </w:rPr>
              <w:drawing>
                <wp:inline distT="0" distB="0" distL="0" distR="0" wp14:anchorId="7F2D321A" wp14:editId="03E81D97">
                  <wp:extent cx="2610947" cy="2747645"/>
                  <wp:effectExtent l="0" t="0" r="571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9">
                            <a:extLst>
                              <a:ext uri="{28A0092B-C50C-407E-A947-70E740481C1C}">
                                <a14:useLocalDpi xmlns:a14="http://schemas.microsoft.com/office/drawing/2010/main" val="0"/>
                              </a:ext>
                            </a:extLst>
                          </a:blip>
                          <a:stretch>
                            <a:fillRect/>
                          </a:stretch>
                        </pic:blipFill>
                        <pic:spPr>
                          <a:xfrm>
                            <a:off x="0" y="0"/>
                            <a:ext cx="2627018" cy="2764557"/>
                          </a:xfrm>
                          <a:prstGeom prst="rect">
                            <a:avLst/>
                          </a:prstGeom>
                        </pic:spPr>
                      </pic:pic>
                    </a:graphicData>
                  </a:graphic>
                </wp:inline>
              </w:drawing>
            </w:r>
          </w:p>
        </w:tc>
      </w:tr>
      <w:tr w:rsidR="0026525E" w14:paraId="27D1FE95" w14:textId="77777777" w:rsidTr="007B703B">
        <w:tc>
          <w:tcPr>
            <w:tcW w:w="4417" w:type="dxa"/>
          </w:tcPr>
          <w:p w14:paraId="023A1A3A" w14:textId="3F0B3707" w:rsidR="005721AB" w:rsidRDefault="00222730" w:rsidP="0014356F">
            <w:pPr>
              <w:pStyle w:val="MDPI31text"/>
              <w:ind w:firstLine="0"/>
            </w:pPr>
            <w:r>
              <w:rPr>
                <w:noProof/>
                <w:snapToGrid/>
                <w:lang w:eastAsia="zh-CN" w:bidi="ar-SA"/>
              </w:rPr>
              <w:drawing>
                <wp:inline distT="0" distB="0" distL="0" distR="0" wp14:anchorId="08566CA0" wp14:editId="7691EB65">
                  <wp:extent cx="2646548" cy="278511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40">
                            <a:extLst>
                              <a:ext uri="{28A0092B-C50C-407E-A947-70E740481C1C}">
                                <a14:useLocalDpi xmlns:a14="http://schemas.microsoft.com/office/drawing/2010/main" val="0"/>
                              </a:ext>
                            </a:extLst>
                          </a:blip>
                          <a:stretch>
                            <a:fillRect/>
                          </a:stretch>
                        </pic:blipFill>
                        <pic:spPr>
                          <a:xfrm>
                            <a:off x="0" y="0"/>
                            <a:ext cx="2665075" cy="2804606"/>
                          </a:xfrm>
                          <a:prstGeom prst="rect">
                            <a:avLst/>
                          </a:prstGeom>
                        </pic:spPr>
                      </pic:pic>
                    </a:graphicData>
                  </a:graphic>
                </wp:inline>
              </w:drawing>
            </w:r>
          </w:p>
        </w:tc>
        <w:tc>
          <w:tcPr>
            <w:tcW w:w="4417" w:type="dxa"/>
          </w:tcPr>
          <w:p w14:paraId="0A0CCAF0" w14:textId="65A7085D" w:rsidR="005721AB" w:rsidRDefault="00222730" w:rsidP="0014356F">
            <w:pPr>
              <w:pStyle w:val="MDPI31text"/>
              <w:ind w:firstLine="0"/>
            </w:pPr>
            <w:r>
              <w:rPr>
                <w:noProof/>
                <w:snapToGrid/>
                <w:lang w:eastAsia="zh-CN" w:bidi="ar-SA"/>
              </w:rPr>
              <w:drawing>
                <wp:inline distT="0" distB="0" distL="0" distR="0" wp14:anchorId="5D91F702" wp14:editId="43BDE443">
                  <wp:extent cx="2656726" cy="279582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41">
                            <a:extLst>
                              <a:ext uri="{28A0092B-C50C-407E-A947-70E740481C1C}">
                                <a14:useLocalDpi xmlns:a14="http://schemas.microsoft.com/office/drawing/2010/main" val="0"/>
                              </a:ext>
                            </a:extLst>
                          </a:blip>
                          <a:stretch>
                            <a:fillRect/>
                          </a:stretch>
                        </pic:blipFill>
                        <pic:spPr>
                          <a:xfrm>
                            <a:off x="0" y="0"/>
                            <a:ext cx="2719403" cy="2861780"/>
                          </a:xfrm>
                          <a:prstGeom prst="rect">
                            <a:avLst/>
                          </a:prstGeom>
                        </pic:spPr>
                      </pic:pic>
                    </a:graphicData>
                  </a:graphic>
                </wp:inline>
              </w:drawing>
            </w:r>
          </w:p>
        </w:tc>
      </w:tr>
    </w:tbl>
    <w:p w14:paraId="21405A2E" w14:textId="3803F088" w:rsidR="005721AB" w:rsidRDefault="0026525E" w:rsidP="0026525E">
      <w:pPr>
        <w:pStyle w:val="MDPI51figurecaption"/>
      </w:pPr>
      <w:r>
        <w:t xml:space="preserve">Figure </w:t>
      </w:r>
      <w:r w:rsidR="00213AE3">
        <w:t>9</w:t>
      </w:r>
      <w:r>
        <w:t>. Scatterplots of first harmonic amplitude vs. mooring amplitude</w:t>
      </w:r>
      <w:r w:rsidR="00F47813">
        <w:t xml:space="preserve">. A light black line shows a one-to-one correspondence. Boxes in each panel show RMSD and median difference (mooring – comparison). Comparison amplitudes </w:t>
      </w:r>
      <w:proofErr w:type="gramStart"/>
      <w:r w:rsidR="00F47813">
        <w:t>are:</w:t>
      </w:r>
      <w:proofErr w:type="gramEnd"/>
      <w:r w:rsidR="00F47813">
        <w:t xml:space="preserve"> a) </w:t>
      </w:r>
      <w:r w:rsidR="00646B81">
        <w:t>SMOS BEC</w:t>
      </w:r>
      <w:r w:rsidR="00F47813">
        <w:t xml:space="preserve">, b) SMAP </w:t>
      </w:r>
      <w:r w:rsidR="00646B81">
        <w:t>RSS</w:t>
      </w:r>
      <w:r w:rsidR="00F47813">
        <w:t xml:space="preserve">, c) </w:t>
      </w:r>
      <w:r w:rsidR="00646B81">
        <w:t>SIO</w:t>
      </w:r>
      <w:r w:rsidR="00F47813">
        <w:t xml:space="preserve">, d) </w:t>
      </w:r>
      <w:r w:rsidR="00646B81">
        <w:t>Aquarius</w:t>
      </w:r>
      <w:r w:rsidR="00AB73D5">
        <w:t>. For completeness, all first harmonic amplitude comparisons are shown in the supplemental materials (Table S4).</w:t>
      </w:r>
    </w:p>
    <w:p w14:paraId="661AD5BC" w14:textId="77777777" w:rsidR="008138E5" w:rsidRDefault="008138E5" w:rsidP="008138E5">
      <w:pPr>
        <w:pStyle w:val="MDPI31text"/>
      </w:pPr>
      <w:r>
        <w:t>Table 2 shows the median of the difference between R</w:t>
      </w:r>
      <w:r w:rsidRPr="004F71A5">
        <w:rPr>
          <w:vertAlign w:val="superscript"/>
        </w:rPr>
        <w:t>2</w:t>
      </w:r>
      <w:r>
        <w:t xml:space="preserve"> values for the mooring and that of the various products. In other words, for each dot in Figure 9, one can subtract the mooring value from the comparison product value, to obtain the degree to which those dots depart from the one-to-one line. One can then compute the median of those differences, to get the numbers displayed in Table 2. Table 3 shows the median over the dots for, say, the moorings or SMAP RSS. These values show which products tend to have large or small values of R</w:t>
      </w:r>
      <w:r w:rsidRPr="0004307C">
        <w:rPr>
          <w:vertAlign w:val="superscript"/>
        </w:rPr>
        <w:t>2</w:t>
      </w:r>
      <w:r>
        <w:t xml:space="preserve">. </w:t>
      </w:r>
    </w:p>
    <w:p w14:paraId="7C1D3AD3" w14:textId="5BD96EE8" w:rsidR="005721AB" w:rsidRDefault="00C84112" w:rsidP="0014356F">
      <w:pPr>
        <w:pStyle w:val="MDPI31text"/>
      </w:pPr>
      <w:r>
        <w:t>A</w:t>
      </w:r>
      <w:r w:rsidR="00446DB2">
        <w:t xml:space="preserve">n example </w:t>
      </w:r>
      <w:r>
        <w:t xml:space="preserve">set of </w:t>
      </w:r>
      <w:r w:rsidR="00D910EB">
        <w:t>R</w:t>
      </w:r>
      <w:r w:rsidR="00D910EB" w:rsidRPr="0004307C">
        <w:rPr>
          <w:vertAlign w:val="superscript"/>
        </w:rPr>
        <w:t>2</w:t>
      </w:r>
      <w:r w:rsidR="00D910EB" w:rsidRPr="00D910EB">
        <w:t xml:space="preserve"> </w:t>
      </w:r>
      <w:r>
        <w:t xml:space="preserve">comparisons are shown (Figure </w:t>
      </w:r>
      <w:r w:rsidR="00213AE3">
        <w:t>10</w:t>
      </w:r>
      <w:r w:rsidR="008F5619">
        <w:t xml:space="preserve">; Table </w:t>
      </w:r>
      <w:r w:rsidR="00A92BC3">
        <w:t>3</w:t>
      </w:r>
      <w:r>
        <w:t xml:space="preserve">). </w:t>
      </w:r>
      <w:r w:rsidR="00D910EB">
        <w:t>The value</w:t>
      </w:r>
      <w:r w:rsidR="00D1239D">
        <w:t xml:space="preserve"> of R</w:t>
      </w:r>
      <w:r w:rsidR="00D1239D" w:rsidRPr="00446DB2">
        <w:rPr>
          <w:vertAlign w:val="superscript"/>
        </w:rPr>
        <w:t>2</w:t>
      </w:r>
      <w:r w:rsidR="00D1239D">
        <w:t xml:space="preserve"> is a function of the sampling of each dataset, as well as the amount of variance each </w:t>
      </w:r>
      <w:r w:rsidR="008F5619">
        <w:t>dataset</w:t>
      </w:r>
      <w:r w:rsidR="00D1239D">
        <w:t xml:space="preserve"> may capture.</w:t>
      </w:r>
      <w:r w:rsidR="00EC4706">
        <w:t xml:space="preserve"> Overall, in the tropics the annual harmonic only </w:t>
      </w:r>
      <w:r w:rsidR="00D910EB">
        <w:t>comprises</w:t>
      </w:r>
      <w:r w:rsidR="00EC4706">
        <w:t xml:space="preserve"> about 20% of the total variance of SSS</w:t>
      </w:r>
      <w:r w:rsidR="00D910EB">
        <w:t xml:space="preserve"> for the moorings</w:t>
      </w:r>
      <w:r w:rsidR="00EC4706">
        <w:t>.</w:t>
      </w:r>
      <w:r w:rsidR="00446DB2">
        <w:t xml:space="preserve"> The mooring</w:t>
      </w:r>
      <w:r w:rsidR="007206D4">
        <w:t>s</w:t>
      </w:r>
      <w:r w:rsidR="00446DB2">
        <w:t xml:space="preserve">, one assumes as they are sampled hourly, capture all or almost all of the </w:t>
      </w:r>
      <w:r w:rsidR="00844180">
        <w:t xml:space="preserve">temporal </w:t>
      </w:r>
      <w:r w:rsidR="00446DB2">
        <w:t xml:space="preserve">variance in nature. The </w:t>
      </w:r>
      <w:proofErr w:type="gramStart"/>
      <w:r w:rsidR="00446DB2">
        <w:t>in situ</w:t>
      </w:r>
      <w:proofErr w:type="gramEnd"/>
      <w:r w:rsidR="00446DB2">
        <w:t xml:space="preserve"> datasets (EN4 and SIO) are averaged monthly</w:t>
      </w:r>
      <w:r w:rsidR="00FA3EDB">
        <w:t xml:space="preserve"> and over a 1</w:t>
      </w:r>
      <w:r w:rsidR="0004307C">
        <w:t>°</w:t>
      </w:r>
      <w:r w:rsidR="00FA3EDB">
        <w:t>X1</w:t>
      </w:r>
      <w:r w:rsidR="0004307C">
        <w:t>°</w:t>
      </w:r>
      <w:r w:rsidR="00FA3EDB">
        <w:t xml:space="preserve"> area</w:t>
      </w:r>
      <w:r w:rsidR="00F7573C">
        <w:t>, so a</w:t>
      </w:r>
      <w:r w:rsidR="00446DB2">
        <w:t xml:space="preserve">ny variance with </w:t>
      </w:r>
      <w:r w:rsidR="00FA3EDB">
        <w:t xml:space="preserve">smaller </w:t>
      </w:r>
      <w:r w:rsidR="00446DB2">
        <w:t>time</w:t>
      </w:r>
      <w:r w:rsidR="00FA3EDB">
        <w:t xml:space="preserve"> and space</w:t>
      </w:r>
      <w:r w:rsidR="00446DB2">
        <w:t xml:space="preserve"> scale</w:t>
      </w:r>
      <w:r w:rsidR="00FA3EDB">
        <w:t>s</w:t>
      </w:r>
      <w:r w:rsidR="00446DB2">
        <w:t xml:space="preserve"> is not </w:t>
      </w:r>
      <w:r w:rsidR="00FA3EDB">
        <w:t xml:space="preserve">present </w:t>
      </w:r>
      <w:r w:rsidR="00446DB2">
        <w:t xml:space="preserve">in those datasets. Thus, one would expect </w:t>
      </w:r>
      <w:r w:rsidR="00D910EB">
        <w:t>R</w:t>
      </w:r>
      <w:r w:rsidR="00D910EB" w:rsidRPr="0004307C">
        <w:rPr>
          <w:vertAlign w:val="superscript"/>
        </w:rPr>
        <w:t>2</w:t>
      </w:r>
      <w:r w:rsidR="00D910EB" w:rsidRPr="00D910EB">
        <w:t xml:space="preserve"> </w:t>
      </w:r>
      <w:r w:rsidR="00446DB2">
        <w:t xml:space="preserve">in the annual harmonic would be larger for these than for the moorings, which it is (Figure </w:t>
      </w:r>
      <w:r w:rsidR="005F25E3">
        <w:t>10c</w:t>
      </w:r>
      <w:r w:rsidR="008F5619">
        <w:t>; Table</w:t>
      </w:r>
      <w:r w:rsidR="00F7573C">
        <w:t xml:space="preserve"> </w:t>
      </w:r>
      <w:r w:rsidR="00FA3EDB">
        <w:t>3</w:t>
      </w:r>
      <w:r w:rsidR="00446DB2">
        <w:t xml:space="preserve">). For Aquarius, the issue is </w:t>
      </w:r>
      <w:r w:rsidR="00FA3EDB">
        <w:t>similar</w:t>
      </w:r>
      <w:r w:rsidR="00446DB2">
        <w:t xml:space="preserve">. It has a </w:t>
      </w:r>
      <w:r w:rsidR="00FA3EDB">
        <w:t xml:space="preserve">similarly </w:t>
      </w:r>
      <w:r w:rsidR="00446DB2">
        <w:t>large footprint</w:t>
      </w:r>
      <w:r w:rsidR="00FA3EDB">
        <w:t xml:space="preserve">, though </w:t>
      </w:r>
      <w:r w:rsidR="00FA3EDB">
        <w:lastRenderedPageBreak/>
        <w:t>with weekly time resolution (Table 1)</w:t>
      </w:r>
      <w:r w:rsidR="00446DB2">
        <w:t xml:space="preserve">. Thus, it does not sample </w:t>
      </w:r>
      <w:r w:rsidR="00844180">
        <w:t xml:space="preserve">most of the </w:t>
      </w:r>
      <w:r w:rsidR="00446DB2">
        <w:t xml:space="preserve">variability at less than ~100 km in size. As much of ocean </w:t>
      </w:r>
      <w:r w:rsidR="007206D4">
        <w:t xml:space="preserve">SSS </w:t>
      </w:r>
      <w:r w:rsidR="00446DB2">
        <w:t xml:space="preserve">variance is at sizes less than 50 km </w:t>
      </w:r>
      <w:r w:rsidR="006F0FBA">
        <w:t>[</w:t>
      </w:r>
      <w:r w:rsidR="009A4EAD">
        <w:t>3</w:t>
      </w:r>
      <w:r w:rsidR="006D7A92">
        <w:t>2</w:t>
      </w:r>
      <w:r w:rsidR="009A4EAD">
        <w:t>]</w:t>
      </w:r>
      <w:r w:rsidR="00446DB2">
        <w:t xml:space="preserve">, the Aquarius dataset will miss it, and therefore, the annual harmonic will be a larger fraction of the variance than for the moorings (Figure </w:t>
      </w:r>
      <w:r w:rsidR="00AE393E">
        <w:t>10</w:t>
      </w:r>
      <w:r w:rsidR="00446DB2">
        <w:t>d</w:t>
      </w:r>
      <w:r w:rsidR="008F5619">
        <w:t>; Table</w:t>
      </w:r>
      <w:r w:rsidR="00FA3EDB">
        <w:t xml:space="preserve"> 3</w:t>
      </w:r>
      <w:r w:rsidR="00446DB2">
        <w:t>).</w:t>
      </w:r>
      <w:r w:rsidR="00A4584B">
        <w:t xml:space="preserve"> As we have seen, the SMOS BEC data underestimate the </w:t>
      </w:r>
      <w:r w:rsidR="008F5619">
        <w:t xml:space="preserve">size of the </w:t>
      </w:r>
      <w:r w:rsidR="00A4584B">
        <w:t xml:space="preserve">annual harmonic, and so the fraction of variance captured in that dataset is less than for the moorings (Figure </w:t>
      </w:r>
      <w:r w:rsidR="00AE393E">
        <w:t>10</w:t>
      </w:r>
      <w:r w:rsidR="007206D4">
        <w:t>a</w:t>
      </w:r>
      <w:r w:rsidR="008F5619">
        <w:t>; Table</w:t>
      </w:r>
      <w:r w:rsidR="00F7573C">
        <w:t xml:space="preserve"> </w:t>
      </w:r>
      <w:r w:rsidR="00FA3EDB">
        <w:t>3</w:t>
      </w:r>
      <w:r w:rsidR="00A4584B">
        <w:t>). Finally, the SMAP RSS product</w:t>
      </w:r>
      <w:r w:rsidR="007206D4">
        <w:t xml:space="preserve"> (Figure </w:t>
      </w:r>
      <w:r w:rsidR="00AE393E">
        <w:t>10</w:t>
      </w:r>
      <w:r w:rsidR="007206D4">
        <w:t>b</w:t>
      </w:r>
      <w:r w:rsidR="008F5619">
        <w:t xml:space="preserve">; Table </w:t>
      </w:r>
      <w:r w:rsidR="00F7573C">
        <w:t>3</w:t>
      </w:r>
      <w:r w:rsidR="007206D4">
        <w:t>)</w:t>
      </w:r>
      <w:r w:rsidR="00A4584B">
        <w:t xml:space="preserve"> has a smaller footprint than Aquarius, and more frequent sampling than SIO. The fraction of variance depicted in that dataset is comparable to that of the moorings.</w:t>
      </w:r>
      <w:r w:rsidR="008F5619">
        <w:t xml:space="preserve"> The datasets not plotted in Figure </w:t>
      </w:r>
      <w:r w:rsidR="00AE393E">
        <w:t>10</w:t>
      </w:r>
      <w:r w:rsidR="008F5619">
        <w:t xml:space="preserve">, SMOS CATDS, SMAP JPL, EN4 and CCI, all show similar patterns </w:t>
      </w:r>
      <w:r w:rsidR="00D910EB">
        <w:t xml:space="preserve">as SMAP </w:t>
      </w:r>
      <w:proofErr w:type="gramStart"/>
      <w:r w:rsidR="00D910EB">
        <w:t>RSS</w:t>
      </w:r>
      <w:r w:rsidR="008F5619">
        <w:t>(</w:t>
      </w:r>
      <w:proofErr w:type="gramEnd"/>
      <w:r w:rsidR="008F5619">
        <w:t xml:space="preserve">Table </w:t>
      </w:r>
      <w:commentRangeStart w:id="7"/>
      <w:commentRangeStart w:id="8"/>
      <w:r w:rsidR="008F5619">
        <w:t>2</w:t>
      </w:r>
      <w:commentRangeEnd w:id="7"/>
      <w:r w:rsidR="00D268C1">
        <w:rPr>
          <w:rStyle w:val="CommentReference"/>
          <w:rFonts w:ascii="Times New Roman" w:hAnsi="Times New Roman"/>
          <w:snapToGrid/>
          <w:lang w:bidi="ar-SA"/>
        </w:rPr>
        <w:commentReference w:id="7"/>
      </w:r>
      <w:commentRangeEnd w:id="8"/>
      <w:r w:rsidR="00EC4706">
        <w:rPr>
          <w:rStyle w:val="CommentReference"/>
          <w:rFonts w:ascii="Times New Roman" w:hAnsi="Times New Roman"/>
          <w:snapToGrid/>
          <w:lang w:bidi="ar-SA"/>
        </w:rPr>
        <w:commentReference w:id="8"/>
      </w:r>
      <w:r w:rsidR="008F5619">
        <w:t>).</w:t>
      </w:r>
    </w:p>
    <w:p w14:paraId="6E9B5A99" w14:textId="0881035D" w:rsidR="002D310C" w:rsidRDefault="002D310C" w:rsidP="0014356F">
      <w:pPr>
        <w:pStyle w:val="MDPI31text"/>
      </w:pPr>
    </w:p>
    <w:p w14:paraId="586AA907" w14:textId="6706037D" w:rsidR="002D310C" w:rsidRDefault="002D310C" w:rsidP="002D310C">
      <w:pPr>
        <w:pStyle w:val="MDPI41tablecaption"/>
      </w:pPr>
      <w:r>
        <w:t>Table 3. Median R</w:t>
      </w:r>
      <w:r w:rsidRPr="002D310C">
        <w:rPr>
          <w:vertAlign w:val="superscript"/>
        </w:rPr>
        <w:t>2</w:t>
      </w:r>
      <w:r>
        <w:t xml:space="preserve"> over all the mooring</w:t>
      </w:r>
      <w:r w:rsidR="001D1F82">
        <w:t xml:space="preserve"> location</w:t>
      </w:r>
      <w:r>
        <w:t xml:space="preserve">s for </w:t>
      </w:r>
      <w:r w:rsidR="001D1F82">
        <w:t xml:space="preserve">all the products for </w:t>
      </w:r>
      <w:r>
        <w:t>the annual harmonic.</w:t>
      </w:r>
      <w:r w:rsidR="001D1F82">
        <w:t xml:space="preserve"> </w:t>
      </w:r>
      <w:r w:rsidR="007B703B">
        <w:t>The n</w:t>
      </w:r>
      <w:r w:rsidR="001D1F82">
        <w:t>umber of mooring</w:t>
      </w:r>
      <w:r w:rsidR="007B703B">
        <w:t xml:space="preserve"> location</w:t>
      </w:r>
      <w:r w:rsidR="001D1F82">
        <w:t>s used in each of these values is listed in Table S7.</w:t>
      </w:r>
    </w:p>
    <w:p w14:paraId="2C6C1C7F" w14:textId="77777777" w:rsidR="00FB1652" w:rsidRDefault="00FB1652" w:rsidP="0014356F">
      <w:pPr>
        <w:pStyle w:val="MDPI31text"/>
      </w:pP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1500"/>
        <w:gridCol w:w="1632"/>
      </w:tblGrid>
      <w:tr w:rsidR="00FB1652" w14:paraId="0413425D" w14:textId="77777777" w:rsidTr="006C589D">
        <w:tc>
          <w:tcPr>
            <w:tcW w:w="1500" w:type="dxa"/>
          </w:tcPr>
          <w:p w14:paraId="5F872BFB" w14:textId="77777777" w:rsidR="00FB1652" w:rsidRDefault="00FB1652" w:rsidP="00F74861">
            <w:pPr>
              <w:pStyle w:val="MDPI42tablebody"/>
            </w:pPr>
          </w:p>
        </w:tc>
        <w:tc>
          <w:tcPr>
            <w:tcW w:w="1632" w:type="dxa"/>
          </w:tcPr>
          <w:p w14:paraId="5D223334" w14:textId="1C0450A6" w:rsidR="00FB1652" w:rsidRPr="006C589D" w:rsidRDefault="00FB1652" w:rsidP="00F74861">
            <w:pPr>
              <w:pStyle w:val="MDPI42tablebody"/>
              <w:rPr>
                <w:b/>
                <w:bCs/>
              </w:rPr>
            </w:pPr>
            <w:r w:rsidRPr="006C589D">
              <w:rPr>
                <w:b/>
                <w:bCs/>
              </w:rPr>
              <w:t>Median R</w:t>
            </w:r>
            <w:r w:rsidRPr="006C589D">
              <w:rPr>
                <w:b/>
                <w:bCs/>
                <w:vertAlign w:val="superscript"/>
              </w:rPr>
              <w:t>2</w:t>
            </w:r>
            <w:r w:rsidRPr="006C589D">
              <w:rPr>
                <w:b/>
                <w:bCs/>
              </w:rPr>
              <w:t xml:space="preserve"> </w:t>
            </w:r>
          </w:p>
        </w:tc>
      </w:tr>
      <w:tr w:rsidR="00FB1652" w14:paraId="65165697" w14:textId="77777777" w:rsidTr="006C589D">
        <w:tc>
          <w:tcPr>
            <w:tcW w:w="1500" w:type="dxa"/>
          </w:tcPr>
          <w:p w14:paraId="7C4D8158" w14:textId="193F172F" w:rsidR="00FB1652" w:rsidRDefault="00FB1652" w:rsidP="00F74861">
            <w:pPr>
              <w:pStyle w:val="MDPI42tablebody"/>
            </w:pPr>
            <w:r>
              <w:t>Moorings</w:t>
            </w:r>
          </w:p>
        </w:tc>
        <w:tc>
          <w:tcPr>
            <w:tcW w:w="1632" w:type="dxa"/>
          </w:tcPr>
          <w:p w14:paraId="446801B5" w14:textId="6094A990" w:rsidR="00FB1652" w:rsidRDefault="009E11B1" w:rsidP="00F74861">
            <w:pPr>
              <w:pStyle w:val="MDPI42tablebody"/>
              <w:rPr>
                <w:rFonts w:cs="Calibri"/>
              </w:rPr>
            </w:pPr>
            <w:r>
              <w:rPr>
                <w:rFonts w:cs="Calibri"/>
              </w:rPr>
              <w:t>0.190</w:t>
            </w:r>
          </w:p>
        </w:tc>
      </w:tr>
      <w:tr w:rsidR="00FB1652" w14:paraId="7DA04EE3" w14:textId="77777777" w:rsidTr="006C589D">
        <w:tc>
          <w:tcPr>
            <w:tcW w:w="1500" w:type="dxa"/>
          </w:tcPr>
          <w:p w14:paraId="71E58F8C" w14:textId="77777777" w:rsidR="00FB1652" w:rsidRDefault="00FB1652" w:rsidP="00F74861">
            <w:pPr>
              <w:pStyle w:val="MDPI42tablebody"/>
            </w:pPr>
            <w:r>
              <w:t>SMOS BEC</w:t>
            </w:r>
          </w:p>
        </w:tc>
        <w:tc>
          <w:tcPr>
            <w:tcW w:w="1632" w:type="dxa"/>
          </w:tcPr>
          <w:p w14:paraId="17283C5C" w14:textId="4D4CF185" w:rsidR="00FB1652" w:rsidRPr="0073658E" w:rsidRDefault="009E11B1" w:rsidP="00F74861">
            <w:pPr>
              <w:pStyle w:val="MDPI42tablebody"/>
              <w:rPr>
                <w:rFonts w:cs="Calibri"/>
              </w:rPr>
            </w:pPr>
            <w:r>
              <w:rPr>
                <w:rFonts w:cs="Calibri"/>
              </w:rPr>
              <w:t>0.103</w:t>
            </w:r>
          </w:p>
        </w:tc>
      </w:tr>
      <w:tr w:rsidR="00FB1652" w14:paraId="6D47B202" w14:textId="77777777" w:rsidTr="006C589D">
        <w:tc>
          <w:tcPr>
            <w:tcW w:w="1500" w:type="dxa"/>
          </w:tcPr>
          <w:p w14:paraId="09FF66E2" w14:textId="77777777" w:rsidR="00FB1652" w:rsidRDefault="00FB1652" w:rsidP="00F74861">
            <w:pPr>
              <w:pStyle w:val="MDPI42tablebody"/>
            </w:pPr>
            <w:r>
              <w:t>SMOS CATDS</w:t>
            </w:r>
          </w:p>
        </w:tc>
        <w:tc>
          <w:tcPr>
            <w:tcW w:w="1632" w:type="dxa"/>
          </w:tcPr>
          <w:p w14:paraId="56F0C1CD" w14:textId="0109692C" w:rsidR="00FB1652" w:rsidRPr="0073658E" w:rsidRDefault="009E11B1" w:rsidP="00F74861">
            <w:pPr>
              <w:pStyle w:val="MDPI42tablebody"/>
              <w:rPr>
                <w:rFonts w:cs="Calibri"/>
              </w:rPr>
            </w:pPr>
            <w:r>
              <w:rPr>
                <w:rFonts w:cs="Calibri"/>
              </w:rPr>
              <w:t>0.187</w:t>
            </w:r>
          </w:p>
        </w:tc>
      </w:tr>
      <w:tr w:rsidR="00FB1652" w14:paraId="10D93D97" w14:textId="77777777" w:rsidTr="006C589D">
        <w:tc>
          <w:tcPr>
            <w:tcW w:w="1500" w:type="dxa"/>
          </w:tcPr>
          <w:p w14:paraId="7284DD13" w14:textId="5B2EBDB1" w:rsidR="00FB1652" w:rsidRDefault="00FB1652" w:rsidP="00F74861">
            <w:pPr>
              <w:pStyle w:val="MDPI42tablebody"/>
            </w:pPr>
            <w:r>
              <w:t>CCI</w:t>
            </w:r>
          </w:p>
        </w:tc>
        <w:tc>
          <w:tcPr>
            <w:tcW w:w="1632" w:type="dxa"/>
          </w:tcPr>
          <w:p w14:paraId="38939573" w14:textId="2B3021F2" w:rsidR="00FB1652" w:rsidRPr="0073658E" w:rsidRDefault="009E11B1" w:rsidP="00F74861">
            <w:pPr>
              <w:pStyle w:val="MDPI42tablebody"/>
              <w:rPr>
                <w:rFonts w:cs="Calibri"/>
              </w:rPr>
            </w:pPr>
            <w:r>
              <w:rPr>
                <w:rFonts w:cs="Calibri"/>
              </w:rPr>
              <w:t>0.</w:t>
            </w:r>
            <w:r w:rsidR="00626798">
              <w:rPr>
                <w:rFonts w:cs="Calibri"/>
              </w:rPr>
              <w:t>1842</w:t>
            </w:r>
          </w:p>
        </w:tc>
      </w:tr>
      <w:tr w:rsidR="00FB1652" w14:paraId="0F1CBEBD" w14:textId="77777777" w:rsidTr="006C589D">
        <w:tc>
          <w:tcPr>
            <w:tcW w:w="1500" w:type="dxa"/>
          </w:tcPr>
          <w:p w14:paraId="791C710A" w14:textId="77777777" w:rsidR="00FB1652" w:rsidRDefault="00FB1652" w:rsidP="00F74861">
            <w:pPr>
              <w:pStyle w:val="MDPI42tablebody"/>
            </w:pPr>
            <w:r>
              <w:t>SMAP JPL</w:t>
            </w:r>
          </w:p>
        </w:tc>
        <w:tc>
          <w:tcPr>
            <w:tcW w:w="1632" w:type="dxa"/>
          </w:tcPr>
          <w:p w14:paraId="52A7EC30" w14:textId="598A51BF" w:rsidR="00FB1652" w:rsidRPr="0073658E" w:rsidRDefault="009E11B1" w:rsidP="00F74861">
            <w:pPr>
              <w:pStyle w:val="MDPI42tablebody"/>
              <w:rPr>
                <w:rFonts w:cs="Calibri"/>
              </w:rPr>
            </w:pPr>
            <w:r>
              <w:rPr>
                <w:rFonts w:cs="Calibri"/>
              </w:rPr>
              <w:t>0.198</w:t>
            </w:r>
          </w:p>
        </w:tc>
      </w:tr>
      <w:tr w:rsidR="00FB1652" w14:paraId="0E506E00" w14:textId="77777777" w:rsidTr="006C589D">
        <w:tc>
          <w:tcPr>
            <w:tcW w:w="1500" w:type="dxa"/>
          </w:tcPr>
          <w:p w14:paraId="5CCE0F35" w14:textId="77777777" w:rsidR="00FB1652" w:rsidRDefault="00FB1652" w:rsidP="00F74861">
            <w:pPr>
              <w:pStyle w:val="MDPI42tablebody"/>
            </w:pPr>
            <w:r>
              <w:t>SMAP RSS</w:t>
            </w:r>
          </w:p>
        </w:tc>
        <w:tc>
          <w:tcPr>
            <w:tcW w:w="1632" w:type="dxa"/>
          </w:tcPr>
          <w:p w14:paraId="54319C92" w14:textId="2A6F01BA" w:rsidR="00FB1652" w:rsidRPr="0073658E" w:rsidRDefault="009E11B1" w:rsidP="00F74861">
            <w:pPr>
              <w:pStyle w:val="MDPI42tablebody"/>
              <w:rPr>
                <w:rFonts w:cs="Calibri"/>
              </w:rPr>
            </w:pPr>
            <w:r>
              <w:rPr>
                <w:rFonts w:cs="Calibri"/>
              </w:rPr>
              <w:t>0.203</w:t>
            </w:r>
          </w:p>
        </w:tc>
      </w:tr>
      <w:tr w:rsidR="00FB1652" w14:paraId="57509EE1" w14:textId="77777777" w:rsidTr="006C589D">
        <w:tc>
          <w:tcPr>
            <w:tcW w:w="1500" w:type="dxa"/>
          </w:tcPr>
          <w:p w14:paraId="3E98AB20" w14:textId="77777777" w:rsidR="00FB1652" w:rsidRDefault="00FB1652" w:rsidP="00F74861">
            <w:pPr>
              <w:pStyle w:val="MDPI42tablebody"/>
            </w:pPr>
            <w:r>
              <w:t>Aquarius</w:t>
            </w:r>
          </w:p>
        </w:tc>
        <w:tc>
          <w:tcPr>
            <w:tcW w:w="1632" w:type="dxa"/>
          </w:tcPr>
          <w:p w14:paraId="54518B0F" w14:textId="7FA20147" w:rsidR="00FB1652" w:rsidRPr="0073658E" w:rsidRDefault="009E11B1" w:rsidP="00F74861">
            <w:pPr>
              <w:pStyle w:val="MDPI42tablebody"/>
              <w:rPr>
                <w:rFonts w:cs="Calibri"/>
              </w:rPr>
            </w:pPr>
            <w:r>
              <w:rPr>
                <w:rFonts w:cs="Calibri"/>
              </w:rPr>
              <w:t>0.316</w:t>
            </w:r>
          </w:p>
        </w:tc>
      </w:tr>
      <w:tr w:rsidR="00FB1652" w14:paraId="2EEEF2B6" w14:textId="77777777" w:rsidTr="006C589D">
        <w:tc>
          <w:tcPr>
            <w:tcW w:w="1500" w:type="dxa"/>
          </w:tcPr>
          <w:p w14:paraId="4AEC152C" w14:textId="77777777" w:rsidR="00FB1652" w:rsidRDefault="00FB1652" w:rsidP="00F74861">
            <w:pPr>
              <w:pStyle w:val="MDPI42tablebody"/>
            </w:pPr>
            <w:r>
              <w:t>EN4</w:t>
            </w:r>
          </w:p>
        </w:tc>
        <w:tc>
          <w:tcPr>
            <w:tcW w:w="1632" w:type="dxa"/>
          </w:tcPr>
          <w:p w14:paraId="14021511" w14:textId="38545A79" w:rsidR="00FB1652" w:rsidRPr="0073658E" w:rsidRDefault="009E11B1" w:rsidP="00F74861">
            <w:pPr>
              <w:pStyle w:val="MDPI42tablebody"/>
              <w:rPr>
                <w:rFonts w:cs="Calibri"/>
              </w:rPr>
            </w:pPr>
            <w:r>
              <w:rPr>
                <w:rFonts w:cs="Calibri"/>
              </w:rPr>
              <w:t>0.351</w:t>
            </w:r>
          </w:p>
        </w:tc>
      </w:tr>
      <w:tr w:rsidR="00FB1652" w14:paraId="271DEEBA" w14:textId="77777777" w:rsidTr="006C589D">
        <w:tc>
          <w:tcPr>
            <w:tcW w:w="1500" w:type="dxa"/>
          </w:tcPr>
          <w:p w14:paraId="1FE1F92D" w14:textId="77777777" w:rsidR="00FB1652" w:rsidRDefault="00FB1652" w:rsidP="00F74861">
            <w:pPr>
              <w:pStyle w:val="MDPI42tablebody"/>
            </w:pPr>
            <w:r>
              <w:t>SIO</w:t>
            </w:r>
          </w:p>
        </w:tc>
        <w:tc>
          <w:tcPr>
            <w:tcW w:w="1632" w:type="dxa"/>
          </w:tcPr>
          <w:p w14:paraId="00FA8DC8" w14:textId="171F9B5E" w:rsidR="00FB1652" w:rsidRPr="0073658E" w:rsidRDefault="009E11B1" w:rsidP="00F74861">
            <w:pPr>
              <w:pStyle w:val="MDPI42tablebody"/>
              <w:rPr>
                <w:rFonts w:cs="Calibri"/>
              </w:rPr>
            </w:pPr>
            <w:r>
              <w:rPr>
                <w:rFonts w:cs="Calibri"/>
              </w:rPr>
              <w:t>0.430</w:t>
            </w:r>
          </w:p>
        </w:tc>
      </w:tr>
    </w:tbl>
    <w:p w14:paraId="547ED2D4" w14:textId="42ADD82E" w:rsidR="00C84112" w:rsidRDefault="00C84112" w:rsidP="00C84112">
      <w:pPr>
        <w:pStyle w:val="MDPI52figur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6"/>
        <w:gridCol w:w="4408"/>
      </w:tblGrid>
      <w:tr w:rsidR="00527E97" w14:paraId="4F563053" w14:textId="77777777" w:rsidTr="00C9696A">
        <w:tc>
          <w:tcPr>
            <w:tcW w:w="4417" w:type="dxa"/>
          </w:tcPr>
          <w:p w14:paraId="1D5A042C" w14:textId="233D47E9" w:rsidR="00527E97" w:rsidRDefault="00C9696A" w:rsidP="00C84112">
            <w:pPr>
              <w:pStyle w:val="MDPI52figure"/>
            </w:pPr>
            <w:r w:rsidRPr="00C9696A">
              <w:rPr>
                <w:noProof/>
                <w:lang w:eastAsia="zh-CN" w:bidi="ar-SA"/>
              </w:rPr>
              <w:drawing>
                <wp:inline distT="0" distB="0" distL="0" distR="0" wp14:anchorId="00FC8573" wp14:editId="71F338B6">
                  <wp:extent cx="2680138" cy="2574444"/>
                  <wp:effectExtent l="0" t="0" r="0" b="3810"/>
                  <wp:docPr id="361" name="Google Shape;361;p44"/>
                  <wp:cNvGraphicFramePr/>
                  <a:graphic xmlns:a="http://schemas.openxmlformats.org/drawingml/2006/main">
                    <a:graphicData uri="http://schemas.openxmlformats.org/drawingml/2006/picture">
                      <pic:pic xmlns:pic="http://schemas.openxmlformats.org/drawingml/2006/picture">
                        <pic:nvPicPr>
                          <pic:cNvPr id="361" name="Google Shape;361;p44"/>
                          <pic:cNvPicPr preferRelativeResize="0"/>
                        </pic:nvPicPr>
                        <pic:blipFill>
                          <a:blip r:embed="rId42">
                            <a:alphaModFix/>
                          </a:blip>
                          <a:stretch>
                            <a:fillRect/>
                          </a:stretch>
                        </pic:blipFill>
                        <pic:spPr>
                          <a:xfrm>
                            <a:off x="0" y="0"/>
                            <a:ext cx="2715028" cy="2607958"/>
                          </a:xfrm>
                          <a:prstGeom prst="rect">
                            <a:avLst/>
                          </a:prstGeom>
                          <a:noFill/>
                          <a:ln>
                            <a:noFill/>
                          </a:ln>
                        </pic:spPr>
                      </pic:pic>
                    </a:graphicData>
                  </a:graphic>
                </wp:inline>
              </w:drawing>
            </w:r>
          </w:p>
        </w:tc>
        <w:tc>
          <w:tcPr>
            <w:tcW w:w="4417" w:type="dxa"/>
          </w:tcPr>
          <w:p w14:paraId="215EDD22" w14:textId="5CCDB49B" w:rsidR="00527E97" w:rsidRDefault="00C9696A" w:rsidP="00C84112">
            <w:pPr>
              <w:pStyle w:val="MDPI52figure"/>
            </w:pPr>
            <w:r w:rsidRPr="00C9696A">
              <w:rPr>
                <w:noProof/>
                <w:lang w:eastAsia="zh-CN" w:bidi="ar-SA"/>
              </w:rPr>
              <w:drawing>
                <wp:inline distT="0" distB="0" distL="0" distR="0" wp14:anchorId="5A968D6D" wp14:editId="5CBC76BF">
                  <wp:extent cx="2543504" cy="2627587"/>
                  <wp:effectExtent l="0" t="0" r="0" b="1905"/>
                  <wp:docPr id="362" name="Google Shape;362;p44"/>
                  <wp:cNvGraphicFramePr/>
                  <a:graphic xmlns:a="http://schemas.openxmlformats.org/drawingml/2006/main">
                    <a:graphicData uri="http://schemas.openxmlformats.org/drawingml/2006/picture">
                      <pic:pic xmlns:pic="http://schemas.openxmlformats.org/drawingml/2006/picture">
                        <pic:nvPicPr>
                          <pic:cNvPr id="362" name="Google Shape;362;p44"/>
                          <pic:cNvPicPr preferRelativeResize="0"/>
                        </pic:nvPicPr>
                        <pic:blipFill>
                          <a:blip r:embed="rId43">
                            <a:alphaModFix/>
                          </a:blip>
                          <a:stretch>
                            <a:fillRect/>
                          </a:stretch>
                        </pic:blipFill>
                        <pic:spPr>
                          <a:xfrm>
                            <a:off x="0" y="0"/>
                            <a:ext cx="2570392" cy="2655364"/>
                          </a:xfrm>
                          <a:prstGeom prst="rect">
                            <a:avLst/>
                          </a:prstGeom>
                          <a:noFill/>
                          <a:ln>
                            <a:noFill/>
                          </a:ln>
                        </pic:spPr>
                      </pic:pic>
                    </a:graphicData>
                  </a:graphic>
                </wp:inline>
              </w:drawing>
            </w:r>
          </w:p>
        </w:tc>
      </w:tr>
      <w:tr w:rsidR="00527E97" w14:paraId="78443E27" w14:textId="77777777" w:rsidTr="00C9696A">
        <w:tc>
          <w:tcPr>
            <w:tcW w:w="4417" w:type="dxa"/>
          </w:tcPr>
          <w:p w14:paraId="3888CB3A" w14:textId="63ED7BBA" w:rsidR="00527E97" w:rsidRDefault="00C9696A" w:rsidP="00C84112">
            <w:pPr>
              <w:pStyle w:val="MDPI52figure"/>
            </w:pPr>
            <w:r w:rsidRPr="00C9696A">
              <w:rPr>
                <w:noProof/>
                <w:lang w:eastAsia="zh-CN" w:bidi="ar-SA"/>
              </w:rPr>
              <w:lastRenderedPageBreak/>
              <w:drawing>
                <wp:inline distT="0" distB="0" distL="0" distR="0" wp14:anchorId="28B07752" wp14:editId="2344D3D5">
                  <wp:extent cx="2627586" cy="2427890"/>
                  <wp:effectExtent l="0" t="0" r="1905" b="0"/>
                  <wp:docPr id="363" name="Google Shape;363;p44"/>
                  <wp:cNvGraphicFramePr/>
                  <a:graphic xmlns:a="http://schemas.openxmlformats.org/drawingml/2006/main">
                    <a:graphicData uri="http://schemas.openxmlformats.org/drawingml/2006/picture">
                      <pic:pic xmlns:pic="http://schemas.openxmlformats.org/drawingml/2006/picture">
                        <pic:nvPicPr>
                          <pic:cNvPr id="363" name="Google Shape;363;p44"/>
                          <pic:cNvPicPr preferRelativeResize="0"/>
                        </pic:nvPicPr>
                        <pic:blipFill>
                          <a:blip r:embed="rId44">
                            <a:alphaModFix/>
                          </a:blip>
                          <a:stretch>
                            <a:fillRect/>
                          </a:stretch>
                        </pic:blipFill>
                        <pic:spPr>
                          <a:xfrm>
                            <a:off x="0" y="0"/>
                            <a:ext cx="2659051" cy="2456964"/>
                          </a:xfrm>
                          <a:prstGeom prst="rect">
                            <a:avLst/>
                          </a:prstGeom>
                          <a:noFill/>
                          <a:ln>
                            <a:noFill/>
                          </a:ln>
                        </pic:spPr>
                      </pic:pic>
                    </a:graphicData>
                  </a:graphic>
                </wp:inline>
              </w:drawing>
            </w:r>
          </w:p>
        </w:tc>
        <w:tc>
          <w:tcPr>
            <w:tcW w:w="4417" w:type="dxa"/>
          </w:tcPr>
          <w:p w14:paraId="72E93933" w14:textId="44E381A8" w:rsidR="00527E97" w:rsidRDefault="00C9696A" w:rsidP="00C84112">
            <w:pPr>
              <w:pStyle w:val="MDPI52figure"/>
            </w:pPr>
            <w:r w:rsidRPr="00C9696A">
              <w:rPr>
                <w:noProof/>
                <w:lang w:eastAsia="zh-CN" w:bidi="ar-SA"/>
              </w:rPr>
              <w:drawing>
                <wp:inline distT="0" distB="0" distL="0" distR="0" wp14:anchorId="66F1EC09" wp14:editId="10E995C2">
                  <wp:extent cx="2501462" cy="2438400"/>
                  <wp:effectExtent l="0" t="0" r="635" b="0"/>
                  <wp:docPr id="364" name="Google Shape;364;p44"/>
                  <wp:cNvGraphicFramePr/>
                  <a:graphic xmlns:a="http://schemas.openxmlformats.org/drawingml/2006/main">
                    <a:graphicData uri="http://schemas.openxmlformats.org/drawingml/2006/picture">
                      <pic:pic xmlns:pic="http://schemas.openxmlformats.org/drawingml/2006/picture">
                        <pic:nvPicPr>
                          <pic:cNvPr id="364" name="Google Shape;364;p44"/>
                          <pic:cNvPicPr preferRelativeResize="0"/>
                        </pic:nvPicPr>
                        <pic:blipFill>
                          <a:blip r:embed="rId45">
                            <a:alphaModFix/>
                          </a:blip>
                          <a:stretch>
                            <a:fillRect/>
                          </a:stretch>
                        </pic:blipFill>
                        <pic:spPr>
                          <a:xfrm>
                            <a:off x="0" y="0"/>
                            <a:ext cx="2524645" cy="2460998"/>
                          </a:xfrm>
                          <a:prstGeom prst="rect">
                            <a:avLst/>
                          </a:prstGeom>
                          <a:noFill/>
                          <a:ln>
                            <a:noFill/>
                          </a:ln>
                        </pic:spPr>
                      </pic:pic>
                    </a:graphicData>
                  </a:graphic>
                </wp:inline>
              </w:drawing>
            </w:r>
          </w:p>
        </w:tc>
      </w:tr>
    </w:tbl>
    <w:p w14:paraId="224B2B50" w14:textId="77777777" w:rsidR="00527E97" w:rsidRDefault="00527E97" w:rsidP="00C84112">
      <w:pPr>
        <w:pStyle w:val="MDPI52figure"/>
      </w:pPr>
    </w:p>
    <w:p w14:paraId="6F465FF0" w14:textId="1EB609D3" w:rsidR="009C4AB5" w:rsidRDefault="009C4AB5" w:rsidP="009C4AB5">
      <w:pPr>
        <w:pStyle w:val="MDPI51figurecaption"/>
      </w:pPr>
      <w:commentRangeStart w:id="9"/>
      <w:r>
        <w:t xml:space="preserve">Figure </w:t>
      </w:r>
      <w:r w:rsidR="00C65CA7">
        <w:t>10</w:t>
      </w:r>
      <w:r>
        <w:t xml:space="preserve">. </w:t>
      </w:r>
      <w:r w:rsidR="00547E53">
        <w:t>Scatterplots of f</w:t>
      </w:r>
      <w:r>
        <w:t>raction of variance</w:t>
      </w:r>
      <w:r w:rsidR="00EC4706">
        <w:t>, R</w:t>
      </w:r>
      <w:r w:rsidR="00EC4706" w:rsidRPr="001D1F82">
        <w:rPr>
          <w:vertAlign w:val="superscript"/>
        </w:rPr>
        <w:t>2</w:t>
      </w:r>
      <w:r w:rsidR="00EC4706">
        <w:t>,</w:t>
      </w:r>
      <w:r>
        <w:t xml:space="preserve"> </w:t>
      </w:r>
      <w:r w:rsidR="00547E53">
        <w:t>in the annual</w:t>
      </w:r>
      <w:r w:rsidR="002D310C">
        <w:t xml:space="preserve"> </w:t>
      </w:r>
      <w:r w:rsidR="00547E53">
        <w:t xml:space="preserve">harmonic </w:t>
      </w:r>
      <w:r>
        <w:t xml:space="preserve">captured by </w:t>
      </w:r>
      <w:r w:rsidR="00547E53">
        <w:t>four</w:t>
      </w:r>
      <w:r>
        <w:t xml:space="preserve"> products, compared to that captured by the moorings.</w:t>
      </w:r>
      <w:r w:rsidR="00EC4706">
        <w:t xml:space="preserve"> R</w:t>
      </w:r>
      <w:r w:rsidR="00EC4706" w:rsidRPr="00FC7093">
        <w:rPr>
          <w:vertAlign w:val="superscript"/>
        </w:rPr>
        <w:t>2</w:t>
      </w:r>
      <w:r w:rsidR="00EC4706">
        <w:t xml:space="preserve"> values are based on the entirety of each dataset</w:t>
      </w:r>
      <w:r w:rsidR="00FC7093">
        <w:t>, including possibly non-overlapping periods</w:t>
      </w:r>
      <w:r w:rsidR="00EC4706">
        <w:t>.</w:t>
      </w:r>
      <w:r>
        <w:t xml:space="preserve"> Products are (a) SMOS BEC, (b) SMAP RSS, (c) SIO and (d) Aquarius.</w:t>
      </w:r>
      <w:commentRangeEnd w:id="9"/>
      <w:r w:rsidR="00583BB7">
        <w:rPr>
          <w:rStyle w:val="CommentReference"/>
          <w:rFonts w:ascii="Times New Roman" w:hAnsi="Times New Roman"/>
          <w:lang w:bidi="ar-SA"/>
        </w:rPr>
        <w:commentReference w:id="9"/>
      </w:r>
    </w:p>
    <w:p w14:paraId="1FEE3765" w14:textId="77777777" w:rsidR="009C4AB5" w:rsidRDefault="009C4AB5" w:rsidP="0014356F">
      <w:pPr>
        <w:pStyle w:val="MDPI31text"/>
      </w:pPr>
    </w:p>
    <w:p w14:paraId="0E65E708" w14:textId="77777777" w:rsidR="0014356F" w:rsidRPr="00706F48" w:rsidRDefault="0014356F" w:rsidP="0014356F">
      <w:pPr>
        <w:pStyle w:val="MDPI21heading1"/>
      </w:pPr>
      <w:r w:rsidRPr="00706F48">
        <w:t>4. Discussion</w:t>
      </w:r>
    </w:p>
    <w:p w14:paraId="765CCCE2" w14:textId="58B78617" w:rsidR="0014356F" w:rsidRDefault="008F5619" w:rsidP="0014356F">
      <w:pPr>
        <w:pStyle w:val="MDPI31text"/>
      </w:pPr>
      <w:r>
        <w:t>We have done comparisons of some various SSS datasets at the annual time scale.</w:t>
      </w:r>
      <w:r w:rsidR="00212A6D">
        <w:t xml:space="preserve"> These comparisons are congruent with those of</w:t>
      </w:r>
      <w:r w:rsidR="006F0FBA">
        <w:t xml:space="preserve"> </w:t>
      </w:r>
      <w:r w:rsidR="009A4EAD">
        <w:t>[1</w:t>
      </w:r>
      <w:r w:rsidR="006D7A92">
        <w:t>8</w:t>
      </w:r>
      <w:r w:rsidR="009A4EAD">
        <w:t>]</w:t>
      </w:r>
      <w:r w:rsidR="00A2333E">
        <w:t xml:space="preserve"> among others</w:t>
      </w:r>
      <w:r w:rsidR="00212A6D">
        <w:t>. The advantage to our analysis is that it was done with the very long high-quality records of SSS at the moorings</w:t>
      </w:r>
      <w:r w:rsidR="002537D1">
        <w:t xml:space="preserve">, </w:t>
      </w:r>
      <w:r w:rsidR="00355D6A">
        <w:t xml:space="preserve">and </w:t>
      </w:r>
      <w:r w:rsidR="002537D1">
        <w:t>that these mooring data are largely independent of the products being evaluated</w:t>
      </w:r>
      <w:r w:rsidR="00212A6D">
        <w:t xml:space="preserve">. We have done more detailed comparisons of amplitude (Figure 8) and phase (Figure 6) in the discrete locations defined by the moorings (Figure 1) than was done by </w:t>
      </w:r>
      <w:r w:rsidR="009A4EAD">
        <w:t>[1</w:t>
      </w:r>
      <w:r w:rsidR="006D7A92">
        <w:t>8</w:t>
      </w:r>
      <w:r w:rsidR="009A4EAD">
        <w:t>]</w:t>
      </w:r>
      <w:r w:rsidR="00212A6D">
        <w:t xml:space="preserve">. The disadvantage is the limited </w:t>
      </w:r>
      <w:r w:rsidR="000D1F74">
        <w:t>expanse</w:t>
      </w:r>
      <w:r w:rsidR="00212A6D">
        <w:t xml:space="preserve"> of the mooring array – most are equatorward of 10</w:t>
      </w:r>
      <w:r w:rsidR="0004307C">
        <w:t>°</w:t>
      </w:r>
      <w:r w:rsidR="002537D1">
        <w:t xml:space="preserve"> especially in the Pacific</w:t>
      </w:r>
      <w:r w:rsidR="00D543EC">
        <w:t>- and the limited spatial coverage of a point measurement from a mooring relative to the spatial averages from a satellite or gridded in situ product</w:t>
      </w:r>
      <w:r w:rsidR="006F0FBA">
        <w:t xml:space="preserve"> </w:t>
      </w:r>
      <w:r w:rsidR="009A4EAD">
        <w:t>[3</w:t>
      </w:r>
      <w:r w:rsidR="006D7A92">
        <w:t>3</w:t>
      </w:r>
      <w:r w:rsidR="009A4EAD">
        <w:t>]</w:t>
      </w:r>
      <w:r w:rsidR="00D543EC">
        <w:t>.</w:t>
      </w:r>
    </w:p>
    <w:p w14:paraId="34EA6D92" w14:textId="6F4B8A32" w:rsidR="007B631D" w:rsidRDefault="00212A6D" w:rsidP="00BA5C20">
      <w:pPr>
        <w:pStyle w:val="MDPI31text"/>
      </w:pPr>
      <w:r>
        <w:t xml:space="preserve">Most of the datasets record the </w:t>
      </w:r>
      <w:r w:rsidR="000D1F74">
        <w:t xml:space="preserve">phase of the </w:t>
      </w:r>
      <w:r>
        <w:t>annual cycle in a way</w:t>
      </w:r>
      <w:r w:rsidR="00DC6245">
        <w:t xml:space="preserve"> that is reasonably consistent</w:t>
      </w:r>
      <w:r w:rsidR="002537D1">
        <w:t xml:space="preserve"> with the </w:t>
      </w:r>
      <w:r w:rsidR="006E56E4">
        <w:t>mooring</w:t>
      </w:r>
      <w:r w:rsidR="002537D1">
        <w:t xml:space="preserve"> data</w:t>
      </w:r>
      <w:r w:rsidR="00022AEA">
        <w:t>. Median phase differences between moorings and the products studied</w:t>
      </w:r>
      <w:r w:rsidR="006A7C64">
        <w:t xml:space="preserve"> all</w:t>
      </w:r>
      <w:r w:rsidR="00022AEA">
        <w:t xml:space="preserve"> include zero in their uncertainty range</w:t>
      </w:r>
      <w:r>
        <w:t xml:space="preserve"> (Table 2, column 5</w:t>
      </w:r>
      <w:r w:rsidR="002537D1">
        <w:t xml:space="preserve"> and Figure </w:t>
      </w:r>
      <w:r w:rsidR="009B79E9">
        <w:t>7</w:t>
      </w:r>
      <w:r>
        <w:t>).</w:t>
      </w:r>
      <w:r w:rsidR="000D1F74">
        <w:t xml:space="preserve"> The RMSD </w:t>
      </w:r>
      <w:r w:rsidR="00546EAA">
        <w:t xml:space="preserve">for phase </w:t>
      </w:r>
      <w:r w:rsidR="000D1F74">
        <w:t xml:space="preserve">between the moorings and the different products varies between 0.5 and 1.5 (Table 2, column 3 and Figure </w:t>
      </w:r>
      <w:r w:rsidR="009B79E9">
        <w:t>7</w:t>
      </w:r>
      <w:r w:rsidR="000D1F74">
        <w:t>)</w:t>
      </w:r>
      <w:r w:rsidR="000A2A82">
        <w:t>, giving an idea of the spread of phase values inherent in the data.</w:t>
      </w:r>
      <w:r w:rsidR="00BA5C20">
        <w:t xml:space="preserve"> </w:t>
      </w:r>
      <w:r w:rsidR="007B631D">
        <w:t>Most of the products studied also give a reasonable value for the amplitude. Amplitude median differences are as high as 0.</w:t>
      </w:r>
      <w:r w:rsidR="0053017C">
        <w:t>0</w:t>
      </w:r>
      <w:r w:rsidR="007B631D">
        <w:t xml:space="preserve">6 (Table 1, column 4), with </w:t>
      </w:r>
      <w:r w:rsidR="00BA5C20">
        <w:t>some</w:t>
      </w:r>
      <w:r w:rsidR="007B631D">
        <w:t xml:space="preserve"> within the uncertainty range of zero.</w:t>
      </w:r>
    </w:p>
    <w:p w14:paraId="6D694E32" w14:textId="73548661" w:rsidR="00BA5C20" w:rsidRDefault="00BA5C20" w:rsidP="00564C63">
      <w:pPr>
        <w:pStyle w:val="MDPI31text"/>
      </w:pPr>
      <w:commentRangeStart w:id="10"/>
      <w:r>
        <w:t xml:space="preserve">It’s difficult to track what exactly might be causing differences in products </w:t>
      </w:r>
      <w:r w:rsidR="001F44FC">
        <w:t>quantified</w:t>
      </w:r>
      <w:r>
        <w:t xml:space="preserve"> in </w:t>
      </w:r>
      <w:r w:rsidR="008D56AD">
        <w:t>Table 2</w:t>
      </w:r>
      <w:r w:rsidR="00276940">
        <w:t xml:space="preserve"> given the variety of different processing algorithms, hardware configurations, antenna patterns, </w:t>
      </w:r>
      <w:r w:rsidR="007D60C4">
        <w:t xml:space="preserve">ancillary </w:t>
      </w:r>
      <w:r w:rsidR="00276940">
        <w:t xml:space="preserve">input data, etc. detailed in the references shown in Table </w:t>
      </w:r>
      <w:r w:rsidR="00276940" w:rsidRPr="00546EAA">
        <w:t>S1</w:t>
      </w:r>
      <w:r w:rsidR="008D56AD">
        <w:t>.</w:t>
      </w:r>
      <w:r w:rsidR="00B77C16">
        <w:t xml:space="preserve"> A</w:t>
      </w:r>
      <w:commentRangeEnd w:id="10"/>
      <w:r w:rsidR="002F526F">
        <w:rPr>
          <w:rStyle w:val="CommentReference"/>
          <w:rFonts w:ascii="Times New Roman" w:hAnsi="Times New Roman"/>
          <w:snapToGrid/>
          <w:lang w:bidi="ar-SA"/>
        </w:rPr>
        <w:commentReference w:id="10"/>
      </w:r>
      <w:r w:rsidR="00B77C16">
        <w:t xml:space="preserve">re differences related to the conversion from L2 to L3? Is the annual cycle the same or similar in the L2 version of each of these as in the L3? Are any differences inherent in the hardware that is in orbit or are they part of the processing algorithm that converts engineering measurements within the satellite to geophysical measurements (L1 to L2)? Are they related to the footprint of the satellite or its antenna pattern? Its method of correcting for sea state, Faraday rotation within the atmosphere, galaxy </w:t>
      </w:r>
      <w:r w:rsidR="00082BAD">
        <w:t>brightness</w:t>
      </w:r>
      <w:r w:rsidR="00B77C16">
        <w:t>, radio frequency interference filtering, etc.?</w:t>
      </w:r>
      <w:r w:rsidR="001F44FC">
        <w:t xml:space="preserve"> We get some hint of the answers to these questions in the comparison of </w:t>
      </w:r>
      <w:r w:rsidR="00FB09D6">
        <w:t xml:space="preserve">SMAP RSS and SMAP JPL (Figure 8a) and comparison of </w:t>
      </w:r>
      <w:r w:rsidR="001F44FC">
        <w:t xml:space="preserve">SMOS BEC and SMOS CATDS (Figure </w:t>
      </w:r>
      <w:r w:rsidR="00E8676D">
        <w:t>8b</w:t>
      </w:r>
      <w:r w:rsidR="001F44FC">
        <w:t xml:space="preserve">). As these datasets originate from the same basic L1 observations, any differences </w:t>
      </w:r>
      <w:r w:rsidR="00082BAD">
        <w:t xml:space="preserve">must be </w:t>
      </w:r>
      <w:r w:rsidR="001F44FC">
        <w:t>related to the L1 to L2 or L2 to L3 conversion.</w:t>
      </w:r>
      <w:r w:rsidR="0075720A">
        <w:t xml:space="preserve"> </w:t>
      </w:r>
      <w:r w:rsidR="00FE42D8">
        <w:t xml:space="preserve">In the case of SMAP, it appears that very little </w:t>
      </w:r>
      <w:r w:rsidR="00FE42D8">
        <w:lastRenderedPageBreak/>
        <w:t xml:space="preserve">difference is introduced in the gridding and processing, but the opposite is the case with the SMOS datasets. </w:t>
      </w:r>
      <w:r w:rsidR="0075720A">
        <w:t>Clearly answers to the questions posed in this paragraph will require more analysis.</w:t>
      </w:r>
    </w:p>
    <w:p w14:paraId="21962571" w14:textId="525E4688" w:rsidR="00540515" w:rsidRDefault="00EC2A32" w:rsidP="00564C63">
      <w:pPr>
        <w:pStyle w:val="MDPI31text"/>
      </w:pPr>
      <w:r>
        <w:t>Satellite SSS is usually validated against one of the common gridded in situ products</w:t>
      </w:r>
      <w:r w:rsidR="00C37D4E">
        <w:t xml:space="preserve"> </w:t>
      </w:r>
      <w:r w:rsidR="006F0FBA">
        <w:t>[5, 7, 18, 34],</w:t>
      </w:r>
      <w:r>
        <w:t xml:space="preserve"> of which we utilized two for our work here. As the seasonal time scale is </w:t>
      </w:r>
      <w:r w:rsidR="00C37D4E">
        <w:t xml:space="preserve">one of the most energetic in terms of variability </w:t>
      </w:r>
      <w:r w:rsidR="002B1964">
        <w:t>[</w:t>
      </w:r>
      <w:r w:rsidR="006D7A92">
        <w:t>19</w:t>
      </w:r>
      <w:r w:rsidR="007028B1">
        <w:t>]</w:t>
      </w:r>
      <w:r w:rsidR="00C37D4E">
        <w:t>, it is important to make sure these products themselves a</w:t>
      </w:r>
      <w:r w:rsidR="00060364">
        <w:t>re validated. We have done some</w:t>
      </w:r>
      <w:r w:rsidR="006E56E4">
        <w:t xml:space="preserve"> of</w:t>
      </w:r>
      <w:r w:rsidR="00060364">
        <w:t xml:space="preserve"> that here for a limited geographical extent and a very limited time scale</w:t>
      </w:r>
      <w:r w:rsidR="00276940">
        <w:t xml:space="preserve"> – </w:t>
      </w:r>
      <w:proofErr w:type="gramStart"/>
      <w:r w:rsidR="00276940">
        <w:t>i.e.</w:t>
      </w:r>
      <w:proofErr w:type="gramEnd"/>
      <w:r w:rsidR="00276940">
        <w:t xml:space="preserve"> annual</w:t>
      </w:r>
      <w:r w:rsidR="00060364">
        <w:t>.</w:t>
      </w:r>
    </w:p>
    <w:p w14:paraId="7FB65B3F" w14:textId="0CB42FF4" w:rsidR="00AB56AB" w:rsidRDefault="00060364" w:rsidP="009409D7">
      <w:pPr>
        <w:pStyle w:val="MDPI31text"/>
      </w:pPr>
      <w:r>
        <w:t xml:space="preserve">Most important for the process of validation is the different </w:t>
      </w:r>
      <w:r w:rsidR="0049499F">
        <w:t xml:space="preserve">fractions </w:t>
      </w:r>
      <w:r>
        <w:t xml:space="preserve">of </w:t>
      </w:r>
      <w:r w:rsidR="0075720A">
        <w:t xml:space="preserve">temporal </w:t>
      </w:r>
      <w:r>
        <w:t xml:space="preserve">variance captured </w:t>
      </w:r>
      <w:r w:rsidR="0075720A">
        <w:t xml:space="preserve">in the annual time scale </w:t>
      </w:r>
      <w:r>
        <w:t xml:space="preserve">by the </w:t>
      </w:r>
      <w:proofErr w:type="gramStart"/>
      <w:r>
        <w:t>in situ</w:t>
      </w:r>
      <w:proofErr w:type="gramEnd"/>
      <w:r>
        <w:t xml:space="preserve"> products vs</w:t>
      </w:r>
      <w:r w:rsidR="00540515">
        <w:t>.</w:t>
      </w:r>
      <w:r>
        <w:t xml:space="preserve"> the various satellite products (Table 3 and Figure </w:t>
      </w:r>
      <w:r w:rsidR="00E8676D">
        <w:t>10</w:t>
      </w:r>
      <w:r>
        <w:t>).</w:t>
      </w:r>
      <w:r w:rsidR="00540515">
        <w:t xml:space="preserve"> Given the fact that in situ products are mostly generated from sparse Argo data, it’s expected that the seasonal time scale would be more heavily represented than anything shorter. Our results show however, that if validation is done using gridded products, important parts of the temporal spectrum of variability are missing. Do the satellite products get the balance correct between seasonal and shorter-term variability? </w:t>
      </w:r>
      <w:commentRangeStart w:id="11"/>
      <w:commentRangeStart w:id="12"/>
      <w:r w:rsidR="00540515">
        <w:t xml:space="preserve">Our results from </w:t>
      </w:r>
      <w:r w:rsidR="00DB5D73">
        <w:t xml:space="preserve">Table 3 and </w:t>
      </w:r>
      <w:r w:rsidR="00540515">
        <w:t xml:space="preserve">Figure </w:t>
      </w:r>
      <w:r w:rsidR="00524EED">
        <w:t xml:space="preserve">10 </w:t>
      </w:r>
      <w:r w:rsidR="00540515">
        <w:t xml:space="preserve">show </w:t>
      </w:r>
      <w:r w:rsidR="0075720A">
        <w:t>that this varies from one product to another.</w:t>
      </w:r>
      <w:commentRangeEnd w:id="11"/>
      <w:r w:rsidR="00AB56AB">
        <w:rPr>
          <w:rStyle w:val="CommentReference"/>
          <w:rFonts w:ascii="Times New Roman" w:hAnsi="Times New Roman"/>
          <w:snapToGrid/>
          <w:lang w:bidi="ar-SA"/>
        </w:rPr>
        <w:commentReference w:id="11"/>
      </w:r>
      <w:commentRangeEnd w:id="12"/>
      <w:r w:rsidR="00F0701E">
        <w:rPr>
          <w:rStyle w:val="CommentReference"/>
          <w:rFonts w:ascii="Times New Roman" w:hAnsi="Times New Roman"/>
          <w:snapToGrid/>
          <w:lang w:bidi="ar-SA"/>
        </w:rPr>
        <w:commentReference w:id="12"/>
      </w:r>
    </w:p>
    <w:p w14:paraId="501B5210" w14:textId="7A54B612" w:rsidR="0049499F" w:rsidRPr="00706F48" w:rsidRDefault="0049499F" w:rsidP="009409D7">
      <w:pPr>
        <w:pStyle w:val="MDPI31text"/>
      </w:pPr>
      <w:r>
        <w:t>As the moorings are a directly measured in situ dataset, the value of R</w:t>
      </w:r>
      <w:r w:rsidRPr="001D1F82">
        <w:rPr>
          <w:vertAlign w:val="superscript"/>
        </w:rPr>
        <w:t>2</w:t>
      </w:r>
      <w:r>
        <w:t xml:space="preserve"> presented in Table 3 (0.19) likely is a good estimate of </w:t>
      </w:r>
      <w:r w:rsidR="00554D52">
        <w:t>what fraction of</w:t>
      </w:r>
      <w:r>
        <w:t xml:space="preserve"> variance the annual cycle represents in the real ocean – though Figure 10 indicates that this has a large degree of variation</w:t>
      </w:r>
      <w:r w:rsidR="00554D52">
        <w:t>, from near-zero to almost 80%</w:t>
      </w:r>
      <w:r>
        <w:t>.</w:t>
      </w:r>
      <w:r w:rsidR="00554D52">
        <w:t xml:space="preserve"> A further extension on this study would be to use the mooring data to generate power spectra for each location to see how prominent the peaks are, and how those spectra compare with ones from the satellite data. A major difference between the satellite data and the moorings is the fact that the satellites measure over a footprint rather than at a point. One would expect this difference to reduce the variance in individual estimates of SSS and thus make spectral peaks</w:t>
      </w:r>
      <w:r w:rsidR="00470B1F">
        <w:t>, including a seasonal peak if present,</w:t>
      </w:r>
      <w:r w:rsidR="00554D52">
        <w:t xml:space="preserve"> more prominent.</w:t>
      </w:r>
      <w:r w:rsidR="00720109">
        <w:t xml:space="preserve"> Table 3 shows that the fraction of variance in the mooring data is larger than one of the satellite datasets (SMOS BEC), comparable to most, and smaller than one (Aquarius). </w:t>
      </w:r>
      <w:r w:rsidR="00B700FD">
        <w:t xml:space="preserve">This seems a hopeful sign, that the satellite datasets are mostly doing well at capturing the seasonal cycle, or at least giving it the correct </w:t>
      </w:r>
      <w:r w:rsidR="00470B1F">
        <w:t>weight</w:t>
      </w:r>
      <w:r w:rsidR="00B700FD">
        <w:t xml:space="preserve"> among the other time scales present in the ocean.</w:t>
      </w:r>
    </w:p>
    <w:p w14:paraId="612CF608" w14:textId="77777777" w:rsidR="0014356F" w:rsidRPr="00706F48" w:rsidRDefault="0014356F" w:rsidP="0014356F">
      <w:pPr>
        <w:pStyle w:val="MDPI21heading1"/>
      </w:pPr>
      <w:r>
        <w:t>5. Conclusions</w:t>
      </w:r>
    </w:p>
    <w:p w14:paraId="4A95E5E6" w14:textId="660418CF" w:rsidR="007D60C4" w:rsidRDefault="007D60C4" w:rsidP="0014356F">
      <w:pPr>
        <w:pStyle w:val="MDPI31text"/>
      </w:pPr>
      <w:r>
        <w:t xml:space="preserve">We have compared a variety of satellite and in </w:t>
      </w:r>
      <w:r w:rsidR="00D11450">
        <w:t>situ</w:t>
      </w:r>
      <w:r>
        <w:t xml:space="preserve"> products with SSS data from the GTMBA at the seasonal time scale. A summary of the important results of this paper is shown in Table 2, which gives RMSD and median difference (</w:t>
      </w:r>
      <w:proofErr w:type="gramStart"/>
      <w:r>
        <w:t>i.e.</w:t>
      </w:r>
      <w:proofErr w:type="gramEnd"/>
      <w:r>
        <w:t xml:space="preserve"> bias) for each product.</w:t>
      </w:r>
      <w:r w:rsidR="008F2F50">
        <w:t xml:space="preserve"> </w:t>
      </w:r>
      <w:r w:rsidR="0048085C">
        <w:t>The annual cycle</w:t>
      </w:r>
      <w:r w:rsidR="008F2F50">
        <w:t xml:space="preserve"> </w:t>
      </w:r>
      <w:r w:rsidR="0048085C">
        <w:t>is</w:t>
      </w:r>
      <w:r w:rsidR="008F2F50">
        <w:t xml:space="preserve"> generally well-represented in all the products</w:t>
      </w:r>
      <w:r w:rsidR="0048085C">
        <w:t>, though some discrepancies have been highlighted in the text.</w:t>
      </w:r>
      <w:r w:rsidR="002D7786">
        <w:t xml:space="preserve"> RMSD in amplitude (phase) has a range of 0.07-0.13 (0.5-1.5 months). Bias has a range of -0.02 - 0.06 (-0.1 - 0.1</w:t>
      </w:r>
      <w:r w:rsidR="00251442">
        <w:t xml:space="preserve"> months</w:t>
      </w:r>
      <w:r w:rsidR="002D7786">
        <w:t>) in amplitude (phase).</w:t>
      </w:r>
      <w:r w:rsidR="00C33E77">
        <w:t xml:space="preserve"> The different products have different characteristics with regards to the fraction of variance in the annual cycle</w:t>
      </w:r>
      <w:r w:rsidR="00F543E5">
        <w:t xml:space="preserve"> (Table 3)</w:t>
      </w:r>
      <w:r w:rsidR="00C33E77">
        <w:t xml:space="preserve">. Aquarius and the two in situ products have </w:t>
      </w:r>
      <w:r w:rsidR="00F543E5">
        <w:t>the largest fraction (up to 43%) and the SMOS BEC product the smallest (10%).</w:t>
      </w:r>
    </w:p>
    <w:p w14:paraId="5C4AB6C0" w14:textId="25AAA252" w:rsidR="007831BB" w:rsidRPr="00706F48" w:rsidRDefault="007831BB" w:rsidP="007831BB">
      <w:pPr>
        <w:pStyle w:val="MDPI61Supplementary"/>
      </w:pPr>
      <w:r w:rsidRPr="00706F48">
        <w:rPr>
          <w:b/>
        </w:rPr>
        <w:t>Supplementary Materials:</w:t>
      </w:r>
      <w:r w:rsidRPr="00706F48">
        <w:t xml:space="preserve"> The following are available online at </w:t>
      </w:r>
      <w:r w:rsidR="00D63153">
        <w:t>[</w:t>
      </w:r>
      <w:r w:rsidR="00C52865" w:rsidRPr="00002633">
        <w:rPr>
          <w:highlight w:val="yellow"/>
        </w:rPr>
        <w:t>www.mdpi.com/xxx/s1</w:t>
      </w:r>
      <w:r w:rsidR="00D63153">
        <w:t>]</w:t>
      </w:r>
      <w:r w:rsidRPr="00706F48">
        <w:t xml:space="preserve">, </w:t>
      </w:r>
      <w:r w:rsidR="00A316B1">
        <w:t xml:space="preserve">Tables </w:t>
      </w:r>
      <w:r w:rsidR="00A316B1" w:rsidRPr="00BC1332">
        <w:t>S1-</w:t>
      </w:r>
      <w:r w:rsidR="009E1EAD" w:rsidRPr="00BC1332">
        <w:t>S7</w:t>
      </w:r>
      <w:r w:rsidR="00A316B1">
        <w:t>.</w:t>
      </w:r>
    </w:p>
    <w:p w14:paraId="165BA2B8" w14:textId="7F9B4B29" w:rsidR="00A271B9" w:rsidRDefault="00F24F5F" w:rsidP="007831BB">
      <w:pPr>
        <w:pStyle w:val="MDPI62Acknowledgments"/>
        <w:rPr>
          <w:b/>
        </w:rPr>
      </w:pPr>
      <w:r>
        <w:rPr>
          <w:b/>
        </w:rPr>
        <w:t xml:space="preserve">Author Contributions: </w:t>
      </w:r>
      <w:r w:rsidR="00A271B9" w:rsidRPr="0004307C">
        <w:t>Conceptualization: F.B.</w:t>
      </w:r>
      <w:r w:rsidR="000573B3" w:rsidRPr="0004307C">
        <w:t xml:space="preserve"> and L.Y.</w:t>
      </w:r>
      <w:r w:rsidR="00A271B9" w:rsidRPr="0004307C">
        <w:t>; formal analysis: S.B.; funding acquisition: F</w:t>
      </w:r>
      <w:r w:rsidR="000573B3" w:rsidRPr="0004307C">
        <w:t>.</w:t>
      </w:r>
      <w:r w:rsidR="00A271B9" w:rsidRPr="0004307C">
        <w:t>B</w:t>
      </w:r>
      <w:r w:rsidR="000573B3" w:rsidRPr="0004307C">
        <w:t>.</w:t>
      </w:r>
      <w:r w:rsidR="00A271B9" w:rsidRPr="0004307C">
        <w:t xml:space="preserve">; </w:t>
      </w:r>
      <w:r w:rsidR="000573B3" w:rsidRPr="0004307C">
        <w:t xml:space="preserve">project administration: F.B.; </w:t>
      </w:r>
      <w:r w:rsidR="00A271B9" w:rsidRPr="0004307C">
        <w:t>software: F.B. and S.B.; supervision: F.B.; visualization: S.B.; writing – original draft: F.B. and S.B.; writing – review &amp; editing: F.B. and L.Y.</w:t>
      </w:r>
      <w:r w:rsidR="000573B3" w:rsidRPr="0004307C">
        <w:t xml:space="preserve"> All authors have read and agreed to the published version of the manuscript</w:t>
      </w:r>
      <w:r w:rsidR="000573B3">
        <w:t>.</w:t>
      </w:r>
    </w:p>
    <w:p w14:paraId="104A96E0" w14:textId="3F8B8005" w:rsidR="00524B85" w:rsidRPr="00524B85" w:rsidRDefault="00524B85" w:rsidP="007831BB">
      <w:pPr>
        <w:pStyle w:val="MDPI62Acknowledgments"/>
      </w:pPr>
      <w:r>
        <w:rPr>
          <w:b/>
        </w:rPr>
        <w:t xml:space="preserve">Funding: </w:t>
      </w:r>
      <w:r w:rsidR="000573B3">
        <w:t xml:space="preserve">This research was funded by the National Aeronautics and Space Administration under grant number </w:t>
      </w:r>
      <w:r w:rsidR="000573B3" w:rsidRPr="000573B3">
        <w:t>80NSSC18K1322</w:t>
      </w:r>
      <w:r w:rsidR="000573B3">
        <w:t>.</w:t>
      </w:r>
    </w:p>
    <w:p w14:paraId="188AC780" w14:textId="3CD7F498" w:rsidR="007831BB" w:rsidRPr="000F6A97" w:rsidRDefault="000F6A97" w:rsidP="007831BB">
      <w:pPr>
        <w:pStyle w:val="MDPI62Acknowledgments"/>
      </w:pPr>
      <w:r>
        <w:rPr>
          <w:b/>
        </w:rPr>
        <w:t>Acknowledgments:</w:t>
      </w:r>
      <w:r w:rsidRPr="000F6A97">
        <w:t xml:space="preserve"> </w:t>
      </w:r>
      <w:r w:rsidR="000573B3">
        <w:t>This study benefitted from comments given by NASA’s Ocean Salinity Science Team.</w:t>
      </w:r>
      <w:r w:rsidR="00897907">
        <w:t xml:space="preserve"> </w:t>
      </w:r>
      <w:r w:rsidR="00897907" w:rsidRPr="00897907">
        <w:t xml:space="preserve">SMAP salinity data are produced by Remote Sensing Systems and sponsored by the NASA Ocean Salinity Science Team. They are available at </w:t>
      </w:r>
      <w:hyperlink r:id="rId46" w:history="1">
        <w:r w:rsidR="005511D5" w:rsidRPr="00587E27">
          <w:rPr>
            <w:rStyle w:val="Hyperlink"/>
          </w:rPr>
          <w:t>www.remss.com</w:t>
        </w:r>
      </w:hyperlink>
      <w:r w:rsidR="00897907" w:rsidRPr="00897907">
        <w:t>.</w:t>
      </w:r>
      <w:r w:rsidR="005511D5">
        <w:t xml:space="preserve"> Color scales are taken from the “</w:t>
      </w:r>
      <w:proofErr w:type="spellStart"/>
      <w:r w:rsidR="005511D5">
        <w:t>cmocean</w:t>
      </w:r>
      <w:proofErr w:type="spellEnd"/>
      <w:r w:rsidR="005511D5">
        <w:t xml:space="preserve">” package </w:t>
      </w:r>
      <w:r w:rsidR="00756110">
        <w:t>[3</w:t>
      </w:r>
      <w:r w:rsidR="006D7A92">
        <w:t>5</w:t>
      </w:r>
      <w:r w:rsidR="00756110">
        <w:t>]</w:t>
      </w:r>
      <w:r w:rsidR="005511D5">
        <w:t>.</w:t>
      </w:r>
    </w:p>
    <w:p w14:paraId="1F142EDA" w14:textId="03C5496A" w:rsidR="007831BB" w:rsidRPr="00706F48" w:rsidRDefault="007831BB" w:rsidP="007831BB">
      <w:pPr>
        <w:pStyle w:val="MDPI64CoI"/>
      </w:pPr>
      <w:r w:rsidRPr="00706F48">
        <w:rPr>
          <w:b/>
        </w:rPr>
        <w:t>Conflicts of Interest:</w:t>
      </w:r>
      <w:r w:rsidRPr="00706F48">
        <w:t xml:space="preserve"> The authors declare no conflict of interest.</w:t>
      </w:r>
    </w:p>
    <w:p w14:paraId="4FDAA506" w14:textId="4355D7A9" w:rsidR="0014356F" w:rsidRDefault="00CB4AD1" w:rsidP="00F87E59">
      <w:pPr>
        <w:pStyle w:val="MDPI21heading1"/>
        <w:spacing w:before="0"/>
      </w:pPr>
      <w:r>
        <w:br w:type="page"/>
      </w:r>
      <w:r w:rsidR="0014356F" w:rsidRPr="00706F48">
        <w:lastRenderedPageBreak/>
        <w:t xml:space="preserve"> </w:t>
      </w:r>
    </w:p>
    <w:p w14:paraId="11F9B91D" w14:textId="77777777" w:rsidR="0014356F" w:rsidRPr="00706F48" w:rsidRDefault="0014356F" w:rsidP="0014356F">
      <w:pPr>
        <w:pStyle w:val="MDPI21heading1"/>
      </w:pPr>
      <w:r w:rsidRPr="00706F48">
        <w:t>References</w:t>
      </w:r>
    </w:p>
    <w:p w14:paraId="1DC0F5BC" w14:textId="6D42C893" w:rsidR="006A6B9B" w:rsidRPr="006A6B9B" w:rsidRDefault="006A6B9B" w:rsidP="0014356F">
      <w:pPr>
        <w:pStyle w:val="MDPI71References"/>
        <w:numPr>
          <w:ilvl w:val="0"/>
          <w:numId w:val="4"/>
        </w:numPr>
        <w:ind w:left="425" w:hanging="425"/>
      </w:pPr>
      <w:r w:rsidRPr="007C60A5">
        <w:rPr>
          <w:rFonts w:eastAsia="SimSun"/>
        </w:rPr>
        <w:t xml:space="preserve">Kerr, Y.H.; </w:t>
      </w:r>
      <w:proofErr w:type="spellStart"/>
      <w:r w:rsidRPr="007C60A5">
        <w:rPr>
          <w:rFonts w:eastAsia="SimSun"/>
        </w:rPr>
        <w:t>Waldteufel</w:t>
      </w:r>
      <w:proofErr w:type="spellEnd"/>
      <w:r w:rsidRPr="007C60A5">
        <w:rPr>
          <w:rFonts w:eastAsia="SimSun"/>
        </w:rPr>
        <w:t xml:space="preserve">, P.; </w:t>
      </w:r>
      <w:proofErr w:type="spellStart"/>
      <w:r w:rsidRPr="007C60A5">
        <w:rPr>
          <w:rFonts w:eastAsia="SimSun"/>
        </w:rPr>
        <w:t>Wigneron</w:t>
      </w:r>
      <w:proofErr w:type="spellEnd"/>
      <w:r w:rsidRPr="007C60A5">
        <w:rPr>
          <w:rFonts w:eastAsia="SimSun"/>
        </w:rPr>
        <w:t xml:space="preserve">, J.P.; </w:t>
      </w:r>
      <w:proofErr w:type="spellStart"/>
      <w:r w:rsidRPr="007C60A5">
        <w:rPr>
          <w:rFonts w:eastAsia="SimSun"/>
        </w:rPr>
        <w:t>Delwart</w:t>
      </w:r>
      <w:proofErr w:type="spellEnd"/>
      <w:r w:rsidRPr="007C60A5">
        <w:rPr>
          <w:rFonts w:eastAsia="SimSun"/>
        </w:rPr>
        <w:t xml:space="preserve">, S.; Cabot, F.; Boutin, J.; </w:t>
      </w:r>
      <w:proofErr w:type="spellStart"/>
      <w:r w:rsidRPr="007C60A5">
        <w:rPr>
          <w:rFonts w:eastAsia="SimSun"/>
        </w:rPr>
        <w:t>Escorihuela</w:t>
      </w:r>
      <w:proofErr w:type="spellEnd"/>
      <w:r w:rsidRPr="007C60A5">
        <w:rPr>
          <w:rFonts w:eastAsia="SimSun"/>
        </w:rPr>
        <w:t xml:space="preserve">, M.J.; Font, J.; </w:t>
      </w:r>
      <w:proofErr w:type="spellStart"/>
      <w:r w:rsidRPr="007C60A5">
        <w:rPr>
          <w:rFonts w:eastAsia="SimSun"/>
        </w:rPr>
        <w:t>Reul</w:t>
      </w:r>
      <w:proofErr w:type="spellEnd"/>
      <w:r w:rsidRPr="007C60A5">
        <w:rPr>
          <w:rFonts w:eastAsia="SimSun"/>
        </w:rPr>
        <w:t xml:space="preserve">, N.; </w:t>
      </w:r>
      <w:proofErr w:type="spellStart"/>
      <w:r w:rsidRPr="007C60A5">
        <w:rPr>
          <w:rFonts w:eastAsia="SimSun"/>
        </w:rPr>
        <w:t>Gruhier</w:t>
      </w:r>
      <w:proofErr w:type="spellEnd"/>
      <w:r w:rsidRPr="007C60A5">
        <w:rPr>
          <w:rFonts w:eastAsia="SimSun"/>
        </w:rPr>
        <w:t>, C., et al. The SMOS Mission: New Tool for Monitoring Key Elements of</w:t>
      </w:r>
      <w:r>
        <w:rPr>
          <w:rFonts w:eastAsia="SimSun"/>
        </w:rPr>
        <w:t xml:space="preserve"> </w:t>
      </w:r>
      <w:r w:rsidRPr="007C60A5">
        <w:rPr>
          <w:rFonts w:eastAsia="SimSun"/>
        </w:rPr>
        <w:t>the Global Water Cycle. Proceedings of the IEEE 2010, 98, 666-687, doi:10.1109/JPROC.2010.2043032.</w:t>
      </w:r>
    </w:p>
    <w:p w14:paraId="50151EB1" w14:textId="77777777" w:rsidR="006A6B9B" w:rsidRDefault="006A6B9B" w:rsidP="006A6B9B">
      <w:pPr>
        <w:pStyle w:val="MDPI71References"/>
        <w:numPr>
          <w:ilvl w:val="0"/>
          <w:numId w:val="4"/>
        </w:numPr>
        <w:ind w:left="450"/>
      </w:pPr>
      <w:proofErr w:type="spellStart"/>
      <w:r>
        <w:t>Lagerloef</w:t>
      </w:r>
      <w:proofErr w:type="spellEnd"/>
      <w:r>
        <w:t xml:space="preserve">, G.S.; </w:t>
      </w:r>
      <w:proofErr w:type="spellStart"/>
      <w:r>
        <w:t>Colomb</w:t>
      </w:r>
      <w:proofErr w:type="spellEnd"/>
      <w:r>
        <w:t xml:space="preserve">, F.R.; Le Vine, D.M.; Wentz, F.; Yueh, S.; </w:t>
      </w:r>
      <w:proofErr w:type="spellStart"/>
      <w:r>
        <w:t>Ruf</w:t>
      </w:r>
      <w:proofErr w:type="spellEnd"/>
      <w:r>
        <w:t xml:space="preserve">, C.; Lilly, J.; Gunn, J.; Chao, Y.; </w:t>
      </w:r>
      <w:proofErr w:type="spellStart"/>
      <w:r>
        <w:t>deCharon</w:t>
      </w:r>
      <w:proofErr w:type="spellEnd"/>
      <w:r>
        <w:t>, A., et al. The Aquarius/SAC-D Mission: Designed to Meet the Salinity Remote-sensing Challenge. Oceanography 2008, 20, 68-81.</w:t>
      </w:r>
    </w:p>
    <w:p w14:paraId="554757F9" w14:textId="3BC0F423" w:rsidR="006A6B9B" w:rsidRDefault="006A6B9B" w:rsidP="006A6B9B">
      <w:pPr>
        <w:pStyle w:val="MDPI71References"/>
        <w:numPr>
          <w:ilvl w:val="0"/>
          <w:numId w:val="4"/>
        </w:numPr>
        <w:ind w:left="450"/>
      </w:pPr>
      <w:r>
        <w:t>Meissner, T.; Wentz, F.; Le Vine, D. The salinity retrieval algorithms for the NASA Aquarius version 5 and SMAP version 3 releases. Remote Sensing 2018, 10, 1121, doi:10.3390/rs10071121.</w:t>
      </w:r>
    </w:p>
    <w:p w14:paraId="2D06C5F9" w14:textId="33218496" w:rsidR="006A6B9B" w:rsidRDefault="006A6B9B" w:rsidP="006A6B9B">
      <w:pPr>
        <w:pStyle w:val="MDPI71References"/>
        <w:numPr>
          <w:ilvl w:val="0"/>
          <w:numId w:val="4"/>
        </w:numPr>
        <w:ind w:left="450"/>
      </w:pPr>
      <w:r>
        <w:t xml:space="preserve">Abe, H.; </w:t>
      </w:r>
      <w:proofErr w:type="spellStart"/>
      <w:r>
        <w:t>Ebuchi</w:t>
      </w:r>
      <w:proofErr w:type="spellEnd"/>
      <w:r>
        <w:t>, N. Evaluation of sea‐surface salinity observed by Aquarius. Journal of Geophysical Research Oceans 2014, 119, 8109-8121, doi:10.1002/2014JC010094.</w:t>
      </w:r>
    </w:p>
    <w:p w14:paraId="77E5A51D" w14:textId="7BB9A241" w:rsidR="006A6B9B" w:rsidRDefault="006A6B9B" w:rsidP="006A6B9B">
      <w:pPr>
        <w:pStyle w:val="MDPI71References"/>
        <w:numPr>
          <w:ilvl w:val="0"/>
          <w:numId w:val="4"/>
        </w:numPr>
        <w:ind w:left="450"/>
      </w:pPr>
      <w:r>
        <w:t>Bao, S.; Wang, H.; Zhang, R.; Yan, H.; Chen, J. Comparison of Satellite-Derived Sea Surface Salinity Products from SMOS, Aquarius, and SMAP. Journal of Geophysical Research: Oceans 2019, 124, 1932-1944, doi:10.1029/2019jc014937.</w:t>
      </w:r>
    </w:p>
    <w:p w14:paraId="3FFC4A90" w14:textId="74C06DDD" w:rsidR="006A6B9B" w:rsidRDefault="006A6B9B" w:rsidP="006A6B9B">
      <w:pPr>
        <w:pStyle w:val="MDPI71References"/>
        <w:numPr>
          <w:ilvl w:val="0"/>
          <w:numId w:val="4"/>
        </w:numPr>
        <w:ind w:left="450"/>
      </w:pPr>
      <w:r>
        <w:t xml:space="preserve">Vazquez-Cuervo, J.; Gomez-Valdes, J.; </w:t>
      </w:r>
      <w:proofErr w:type="spellStart"/>
      <w:r>
        <w:t>Bouali</w:t>
      </w:r>
      <w:proofErr w:type="spellEnd"/>
      <w:r>
        <w:t xml:space="preserve">, M.; Miranda, L.E.; Van der </w:t>
      </w:r>
      <w:proofErr w:type="spellStart"/>
      <w:r>
        <w:t>Stocken</w:t>
      </w:r>
      <w:proofErr w:type="spellEnd"/>
      <w:r>
        <w:t xml:space="preserve">, T.; Tang, W.; </w:t>
      </w:r>
      <w:proofErr w:type="spellStart"/>
      <w:r>
        <w:t>Gentemann</w:t>
      </w:r>
      <w:proofErr w:type="spellEnd"/>
      <w:r>
        <w:t xml:space="preserve">, C. Using </w:t>
      </w:r>
      <w:proofErr w:type="spellStart"/>
      <w:r>
        <w:t>Saildrones</w:t>
      </w:r>
      <w:proofErr w:type="spellEnd"/>
      <w:r>
        <w:t xml:space="preserve"> to Validate Satellite-Derived Sea Surface Salinity and Sea Surface Temperature along the California/Baja Coast. Remote Sensing 2019, 11, doi:10.3390/rs11171964.</w:t>
      </w:r>
    </w:p>
    <w:p w14:paraId="4CC5480F" w14:textId="19E3DE5D" w:rsidR="006A6B9B" w:rsidRDefault="006A6B9B" w:rsidP="006A6B9B">
      <w:pPr>
        <w:pStyle w:val="MDPI71References"/>
        <w:numPr>
          <w:ilvl w:val="0"/>
          <w:numId w:val="4"/>
        </w:numPr>
        <w:ind w:left="450"/>
      </w:pPr>
      <w:r>
        <w:t xml:space="preserve">Kao, H.-Y.; </w:t>
      </w:r>
      <w:proofErr w:type="spellStart"/>
      <w:r>
        <w:t>Lagerloef</w:t>
      </w:r>
      <w:proofErr w:type="spellEnd"/>
      <w:r>
        <w:t xml:space="preserve">, G.S.; Lee, T.; </w:t>
      </w:r>
      <w:proofErr w:type="spellStart"/>
      <w:r>
        <w:t>Melnichenko</w:t>
      </w:r>
      <w:proofErr w:type="spellEnd"/>
      <w:r>
        <w:t>, O.; Meissner, T.; Hacker, P. Assessment of Aquarius Sea Surface Salinity. Remote Sensing 2018, 10, 1341, doi:10.3390/rs10091341.</w:t>
      </w:r>
    </w:p>
    <w:p w14:paraId="476A47CF" w14:textId="5EE81D7E" w:rsidR="006A6B9B" w:rsidRDefault="006A6B9B" w:rsidP="006A6B9B">
      <w:pPr>
        <w:pStyle w:val="MDPI71References"/>
        <w:numPr>
          <w:ilvl w:val="0"/>
          <w:numId w:val="4"/>
        </w:numPr>
        <w:ind w:left="450"/>
      </w:pPr>
      <w:r>
        <w:t xml:space="preserve">Kao, H.-Y.; </w:t>
      </w:r>
      <w:proofErr w:type="spellStart"/>
      <w:r>
        <w:t>Lagerloef</w:t>
      </w:r>
      <w:proofErr w:type="spellEnd"/>
      <w:r>
        <w:t xml:space="preserve">, G.; Lee, T.; </w:t>
      </w:r>
      <w:proofErr w:type="spellStart"/>
      <w:r>
        <w:t>Melnichenko</w:t>
      </w:r>
      <w:proofErr w:type="spellEnd"/>
      <w:r>
        <w:t>, O.; Hacker, P. Aquarius Salinity Validation Analysis; Data Version 5.0; Aquarius/SAC-D: Seattle, 2018; p 45.</w:t>
      </w:r>
    </w:p>
    <w:p w14:paraId="53519A4D" w14:textId="33D7FED6" w:rsidR="006A6B9B" w:rsidRDefault="006A6B9B" w:rsidP="006A6B9B">
      <w:pPr>
        <w:pStyle w:val="MDPI71References"/>
        <w:numPr>
          <w:ilvl w:val="0"/>
          <w:numId w:val="4"/>
        </w:numPr>
        <w:ind w:left="450"/>
      </w:pPr>
      <w:r>
        <w:t xml:space="preserve">Olmedo, E.; Martínez, J.; </w:t>
      </w:r>
      <w:proofErr w:type="spellStart"/>
      <w:r>
        <w:t>Turiel</w:t>
      </w:r>
      <w:proofErr w:type="spellEnd"/>
      <w:r>
        <w:t xml:space="preserve">, A.; </w:t>
      </w:r>
      <w:proofErr w:type="spellStart"/>
      <w:r>
        <w:t>Ballabrera-Poy</w:t>
      </w:r>
      <w:proofErr w:type="spellEnd"/>
      <w:r>
        <w:t xml:space="preserve">, J.; Portabella, M. Debiased non-Bayesian retrieval: A novel approach to SMOS Sea Surface Salinity. Remote Sensing of Environment 2017, 193, 103-126, </w:t>
      </w:r>
      <w:proofErr w:type="gramStart"/>
      <w:r>
        <w:t>doi:10.1016/j.rse</w:t>
      </w:r>
      <w:proofErr w:type="gramEnd"/>
      <w:r>
        <w:t>.2017.02.023.</w:t>
      </w:r>
    </w:p>
    <w:p w14:paraId="7C996E76" w14:textId="0390605D" w:rsidR="006A6B9B" w:rsidRDefault="006A6B9B" w:rsidP="006A6B9B">
      <w:pPr>
        <w:pStyle w:val="MDPI71References"/>
        <w:numPr>
          <w:ilvl w:val="0"/>
          <w:numId w:val="4"/>
        </w:numPr>
        <w:ind w:left="450"/>
      </w:pPr>
      <w:r>
        <w:t>Olmedo, E.; González-</w:t>
      </w:r>
      <w:proofErr w:type="spellStart"/>
      <w:r>
        <w:t>Haro</w:t>
      </w:r>
      <w:proofErr w:type="spellEnd"/>
      <w:r>
        <w:t xml:space="preserve">, C.; </w:t>
      </w:r>
      <w:proofErr w:type="spellStart"/>
      <w:r>
        <w:t>Hoareau</w:t>
      </w:r>
      <w:proofErr w:type="spellEnd"/>
      <w:r>
        <w:t xml:space="preserve">, N.; </w:t>
      </w:r>
      <w:proofErr w:type="spellStart"/>
      <w:r>
        <w:t>Umbert</w:t>
      </w:r>
      <w:proofErr w:type="spellEnd"/>
      <w:r>
        <w:t>, M.; González-</w:t>
      </w:r>
      <w:proofErr w:type="spellStart"/>
      <w:r>
        <w:t>Gambau</w:t>
      </w:r>
      <w:proofErr w:type="spellEnd"/>
      <w:r>
        <w:t xml:space="preserve">, V.; Martínez, J.; </w:t>
      </w:r>
      <w:proofErr w:type="spellStart"/>
      <w:r>
        <w:t>Gabarró</w:t>
      </w:r>
      <w:proofErr w:type="spellEnd"/>
      <w:r>
        <w:t xml:space="preserve">, C.; </w:t>
      </w:r>
      <w:proofErr w:type="spellStart"/>
      <w:r>
        <w:t>Turiel</w:t>
      </w:r>
      <w:proofErr w:type="spellEnd"/>
      <w:r>
        <w:t>, A. Nine years of SMOS Sea Surface Salinity global maps at the Barcelona Expert Center. Earth Syst. Sci. Data Discuss. 2020, 2020, 1-49, doi:10.5194/essd-2020-232.</w:t>
      </w:r>
    </w:p>
    <w:p w14:paraId="252F93B0" w14:textId="23243306" w:rsidR="006A6B9B" w:rsidRDefault="006A6B9B" w:rsidP="006A6B9B">
      <w:pPr>
        <w:pStyle w:val="MDPI71References"/>
        <w:numPr>
          <w:ilvl w:val="0"/>
          <w:numId w:val="4"/>
        </w:numPr>
        <w:ind w:left="450"/>
      </w:pPr>
      <w:proofErr w:type="spellStart"/>
      <w:r>
        <w:t>Dinnat</w:t>
      </w:r>
      <w:proofErr w:type="spellEnd"/>
      <w:r>
        <w:t xml:space="preserve">, E.P.; Le Vine, D.M.; Boutin, J.; Meissner, T.; </w:t>
      </w:r>
      <w:proofErr w:type="spellStart"/>
      <w:r>
        <w:t>Lagerloef</w:t>
      </w:r>
      <w:proofErr w:type="spellEnd"/>
      <w:r>
        <w:t>, G. Remote Sensing of Sea Surface Salinity: Comparison of Satellite and in situ Observations and Impact of Retrieval Parameters. Remote Sensing 2019, 11, 750, doi:10.3390/rs11070750.</w:t>
      </w:r>
    </w:p>
    <w:p w14:paraId="2D41934A" w14:textId="794E43EB" w:rsidR="006A6B9B" w:rsidRDefault="006A6B9B" w:rsidP="006A6B9B">
      <w:pPr>
        <w:pStyle w:val="MDPI71References"/>
        <w:numPr>
          <w:ilvl w:val="0"/>
          <w:numId w:val="4"/>
        </w:numPr>
        <w:ind w:left="450"/>
      </w:pPr>
      <w:r>
        <w:t xml:space="preserve">Qin, S.; Wang, H.; Zhu, J.; Wan, L.; Zhang Y.; Wang H. Validation and correction of sea surface salinity retrieval from SMAP. Acta </w:t>
      </w:r>
      <w:proofErr w:type="spellStart"/>
      <w:r>
        <w:t>Oceanologica</w:t>
      </w:r>
      <w:proofErr w:type="spellEnd"/>
      <w:r>
        <w:t xml:space="preserve"> </w:t>
      </w:r>
      <w:proofErr w:type="spellStart"/>
      <w:r>
        <w:t>Sinica</w:t>
      </w:r>
      <w:proofErr w:type="spellEnd"/>
      <w:r>
        <w:t xml:space="preserve">, 2020, 39(3): 148–158, </w:t>
      </w:r>
      <w:proofErr w:type="spellStart"/>
      <w:r>
        <w:t>doi</w:t>
      </w:r>
      <w:proofErr w:type="spellEnd"/>
      <w:r>
        <w:t>: 10.1007/s13131-020-1533-0</w:t>
      </w:r>
    </w:p>
    <w:p w14:paraId="47BC5B3E" w14:textId="65F700A1" w:rsidR="006A6B9B" w:rsidRDefault="006A6B9B" w:rsidP="006A6B9B">
      <w:pPr>
        <w:pStyle w:val="MDPI71References"/>
        <w:numPr>
          <w:ilvl w:val="0"/>
          <w:numId w:val="4"/>
        </w:numPr>
        <w:ind w:left="450"/>
      </w:pPr>
      <w:proofErr w:type="spellStart"/>
      <w:r>
        <w:t>Roemmich</w:t>
      </w:r>
      <w:proofErr w:type="spellEnd"/>
      <w:r>
        <w:t xml:space="preserve">, D.; Gilson, J. The 2004–2008 mean and annual cycle of temperature, salinity, and steric height in the global ocean from the Argo Program. Progress in Oceanography 2009, 82, 81, </w:t>
      </w:r>
      <w:proofErr w:type="gramStart"/>
      <w:r>
        <w:t>doi:10.1016/j.pocean</w:t>
      </w:r>
      <w:proofErr w:type="gramEnd"/>
      <w:r>
        <w:t>.2009.1003.1004.</w:t>
      </w:r>
    </w:p>
    <w:p w14:paraId="20053FCE" w14:textId="3CFBFE7A" w:rsidR="006A6B9B" w:rsidRDefault="006A6B9B" w:rsidP="006A6B9B">
      <w:pPr>
        <w:pStyle w:val="MDPI71References"/>
        <w:numPr>
          <w:ilvl w:val="0"/>
          <w:numId w:val="4"/>
        </w:numPr>
        <w:ind w:left="450"/>
      </w:pPr>
      <w:proofErr w:type="spellStart"/>
      <w:r>
        <w:t>Kuusela</w:t>
      </w:r>
      <w:proofErr w:type="spellEnd"/>
      <w:r>
        <w:t xml:space="preserve">, M.; Stein, M.L. Locally stationary </w:t>
      </w:r>
      <w:proofErr w:type="spellStart"/>
      <w:r>
        <w:t>spatio</w:t>
      </w:r>
      <w:proofErr w:type="spellEnd"/>
      <w:r>
        <w:t>-temporal interpolation of Argo profiling float data. Proc. R. Soc. A 2018, 474, doi:10.1098/rspa.2018.0400.</w:t>
      </w:r>
    </w:p>
    <w:p w14:paraId="046D72FE" w14:textId="56444FAF" w:rsidR="006A6B9B" w:rsidRDefault="006A6B9B" w:rsidP="006A6B9B">
      <w:pPr>
        <w:pStyle w:val="MDPI71References"/>
        <w:numPr>
          <w:ilvl w:val="0"/>
          <w:numId w:val="4"/>
        </w:numPr>
        <w:ind w:left="450"/>
      </w:pPr>
      <w:r>
        <w:t xml:space="preserve">Bingham, F.M.; Foltz, G.R.; </w:t>
      </w:r>
      <w:proofErr w:type="spellStart"/>
      <w:r>
        <w:t>McPhaden</w:t>
      </w:r>
      <w:proofErr w:type="spellEnd"/>
      <w:r>
        <w:t>, M.J. Seasonal cycles of surface layer salinity in the Paciﬁc Ocean. Ocean Science 2010, 6, 775-787, doi:10.5194/os-6-775-2010.</w:t>
      </w:r>
    </w:p>
    <w:p w14:paraId="75E133BE" w14:textId="21005414" w:rsidR="006A6B9B" w:rsidRDefault="006A6B9B" w:rsidP="006A6B9B">
      <w:pPr>
        <w:pStyle w:val="MDPI71References"/>
        <w:numPr>
          <w:ilvl w:val="0"/>
          <w:numId w:val="4"/>
        </w:numPr>
        <w:ind w:left="450"/>
      </w:pPr>
      <w:r>
        <w:t xml:space="preserve">Bingham, F.M.; Foltz, G.R.; </w:t>
      </w:r>
      <w:proofErr w:type="spellStart"/>
      <w:r>
        <w:t>McPhaden</w:t>
      </w:r>
      <w:proofErr w:type="spellEnd"/>
      <w:r>
        <w:t>, M.J. Characteristics of the Seasonal Cycle of Surface Layer Salinity in the Global Ocean. Ocean Science 2012, 8, 915-929.</w:t>
      </w:r>
    </w:p>
    <w:p w14:paraId="5B8AE613" w14:textId="7390725D" w:rsidR="006A6B9B" w:rsidRDefault="006A6B9B" w:rsidP="006A6B9B">
      <w:pPr>
        <w:pStyle w:val="MDPI71References"/>
        <w:numPr>
          <w:ilvl w:val="0"/>
          <w:numId w:val="4"/>
        </w:numPr>
        <w:ind w:left="450"/>
      </w:pPr>
      <w:r>
        <w:t xml:space="preserve">Boyer, T.P.; </w:t>
      </w:r>
      <w:proofErr w:type="spellStart"/>
      <w:r>
        <w:t>Levitus</w:t>
      </w:r>
      <w:proofErr w:type="spellEnd"/>
      <w:r>
        <w:t>, S. Harmonic Analysis of Climatological Sea Surface Salinity. Journal of Geophysical Research 2002, 107, 8006, doi:8010.1029/2001JC000829.</w:t>
      </w:r>
    </w:p>
    <w:p w14:paraId="7AA95006" w14:textId="0BDEE80D" w:rsidR="006A6B9B" w:rsidRDefault="006A6B9B" w:rsidP="006A6B9B">
      <w:pPr>
        <w:pStyle w:val="MDPI71References"/>
        <w:numPr>
          <w:ilvl w:val="0"/>
          <w:numId w:val="4"/>
        </w:numPr>
        <w:ind w:left="450"/>
      </w:pPr>
      <w:r>
        <w:t xml:space="preserve">Yu, L.; Bingham, F.M.; </w:t>
      </w:r>
      <w:proofErr w:type="spellStart"/>
      <w:r>
        <w:t>Dinnat</w:t>
      </w:r>
      <w:proofErr w:type="spellEnd"/>
      <w:r>
        <w:t xml:space="preserve">, E.; Fournier, S.; Lee, T.; </w:t>
      </w:r>
      <w:proofErr w:type="spellStart"/>
      <w:r>
        <w:t>Melnichenko</w:t>
      </w:r>
      <w:proofErr w:type="spellEnd"/>
      <w:r>
        <w:t>, O. Seasonality in Sea Surface Salinity Revisited. Journal of Geophysical Research Oceans 2020, in review.</w:t>
      </w:r>
    </w:p>
    <w:p w14:paraId="4C6FF050" w14:textId="0986C8BC" w:rsidR="006A6B9B" w:rsidRDefault="006A6B9B" w:rsidP="006A6B9B">
      <w:pPr>
        <w:pStyle w:val="MDPI71References"/>
        <w:numPr>
          <w:ilvl w:val="0"/>
          <w:numId w:val="4"/>
        </w:numPr>
        <w:ind w:left="450"/>
      </w:pPr>
      <w:r>
        <w:t>Bingham, F.M.; Lee, T. Space and time scales of sea surface salinity and freshwater forcing variability in the global ocean (60° S–60° N). Journal of Geophysical Research: Oceans 2017, 122, 2909-2922, doi:10.1002/2016JC012216.</w:t>
      </w:r>
    </w:p>
    <w:p w14:paraId="7D6309E5" w14:textId="17E8D33F" w:rsidR="006A6B9B" w:rsidRDefault="006A6B9B" w:rsidP="006A6B9B">
      <w:pPr>
        <w:pStyle w:val="MDPI71References"/>
        <w:numPr>
          <w:ilvl w:val="0"/>
          <w:numId w:val="4"/>
        </w:numPr>
        <w:ind w:left="450"/>
      </w:pPr>
      <w:r>
        <w:t>Sena Martins, M.; Serra, N.; Stammer, D. Spatial and temporal scales of sea surface salinity variability in the Atlantic Ocean. Journal of Geophysical Research Oceans 2015, 120, 4306–4323, doi:10.1002/2014JC010649.</w:t>
      </w:r>
    </w:p>
    <w:p w14:paraId="5B7F986A" w14:textId="34AFB4F6" w:rsidR="006A6B9B" w:rsidRDefault="006A6B9B" w:rsidP="006A6B9B">
      <w:pPr>
        <w:pStyle w:val="MDPI71References"/>
        <w:numPr>
          <w:ilvl w:val="0"/>
          <w:numId w:val="4"/>
        </w:numPr>
        <w:ind w:left="450"/>
      </w:pPr>
      <w:proofErr w:type="spellStart"/>
      <w:r>
        <w:lastRenderedPageBreak/>
        <w:t>Melnichenko</w:t>
      </w:r>
      <w:proofErr w:type="spellEnd"/>
      <w:r>
        <w:t xml:space="preserve">, O.; Hacker, P.; Bingham, F.M.; Lee, T. Patterns of SSS Variability in the Eastern Tropical Pacific: </w:t>
      </w:r>
      <w:proofErr w:type="spellStart"/>
      <w:r>
        <w:t>Intraseasonal</w:t>
      </w:r>
      <w:proofErr w:type="spellEnd"/>
      <w:r>
        <w:t xml:space="preserve"> to Interannual Timescales from Seven Years of NASA Satellite Data. Oceanography 2019, 32, doi:10.5670/ oceanog.2019.208.</w:t>
      </w:r>
    </w:p>
    <w:p w14:paraId="49070F05" w14:textId="392FB374" w:rsidR="006A6B9B" w:rsidRDefault="006A6B9B" w:rsidP="006A6B9B">
      <w:pPr>
        <w:pStyle w:val="MDPI71References"/>
        <w:numPr>
          <w:ilvl w:val="0"/>
          <w:numId w:val="4"/>
        </w:numPr>
        <w:ind w:left="450"/>
      </w:pPr>
      <w:r>
        <w:t xml:space="preserve">Kessler, W.S. The circulation of the eastern tropical Pacific: A review. Progress in Oceanography 2006, 69, 181-217, </w:t>
      </w:r>
      <w:proofErr w:type="gramStart"/>
      <w:r>
        <w:t>doi:10.1016/j.pocean</w:t>
      </w:r>
      <w:proofErr w:type="gramEnd"/>
      <w:r>
        <w:t>.2006.03.009.</w:t>
      </w:r>
    </w:p>
    <w:p w14:paraId="2ED81DF7" w14:textId="1C0EE643" w:rsidR="006A6B9B" w:rsidRDefault="006A6B9B" w:rsidP="006A6B9B">
      <w:pPr>
        <w:pStyle w:val="MDPI71References"/>
        <w:numPr>
          <w:ilvl w:val="0"/>
          <w:numId w:val="4"/>
        </w:numPr>
        <w:ind w:left="450"/>
      </w:pPr>
      <w:proofErr w:type="spellStart"/>
      <w:r>
        <w:t>Guimbard</w:t>
      </w:r>
      <w:proofErr w:type="spellEnd"/>
      <w:r>
        <w:t xml:space="preserve">, S.; </w:t>
      </w:r>
      <w:proofErr w:type="spellStart"/>
      <w:r>
        <w:t>Reul</w:t>
      </w:r>
      <w:proofErr w:type="spellEnd"/>
      <w:r>
        <w:t xml:space="preserve">, N.; </w:t>
      </w:r>
      <w:proofErr w:type="spellStart"/>
      <w:r>
        <w:t>Chapron</w:t>
      </w:r>
      <w:proofErr w:type="spellEnd"/>
      <w:r>
        <w:t xml:space="preserve">, B.; </w:t>
      </w:r>
      <w:proofErr w:type="spellStart"/>
      <w:r>
        <w:t>Umbert</w:t>
      </w:r>
      <w:proofErr w:type="spellEnd"/>
      <w:r>
        <w:t xml:space="preserve">, M.; </w:t>
      </w:r>
      <w:proofErr w:type="spellStart"/>
      <w:r>
        <w:t>Maes</w:t>
      </w:r>
      <w:proofErr w:type="spellEnd"/>
      <w:r>
        <w:t>, C. Seasonal and interannual variability of the Eastern Tropical Pacific Fresh Pool. Journal of Geophysical Research: Oceans 2017, 122, 1749-1771, doi:10.1002/2016JC012130.</w:t>
      </w:r>
    </w:p>
    <w:p w14:paraId="34025CD4" w14:textId="2587DAEC" w:rsidR="006A6B9B" w:rsidRDefault="006A6B9B" w:rsidP="006A6B9B">
      <w:pPr>
        <w:pStyle w:val="MDPI71References"/>
        <w:numPr>
          <w:ilvl w:val="0"/>
          <w:numId w:val="4"/>
        </w:numPr>
        <w:ind w:left="450"/>
      </w:pPr>
      <w:r>
        <w:t xml:space="preserve">Fiedler, P.C.; Talley, L.D. Hydrography of the eastern tropical Pacific: A review. Progress in Oceanography 2006, 69, 143-180, </w:t>
      </w:r>
      <w:proofErr w:type="gramStart"/>
      <w:r>
        <w:t>doi:10.1016/j.pocean</w:t>
      </w:r>
      <w:proofErr w:type="gramEnd"/>
      <w:r>
        <w:t>.2006.03.008.</w:t>
      </w:r>
    </w:p>
    <w:p w14:paraId="59B01186" w14:textId="3A511DF3" w:rsidR="006A6B9B" w:rsidRDefault="006A6B9B" w:rsidP="006A6B9B">
      <w:pPr>
        <w:pStyle w:val="MDPI71References"/>
        <w:numPr>
          <w:ilvl w:val="0"/>
          <w:numId w:val="4"/>
        </w:numPr>
        <w:ind w:left="450"/>
      </w:pPr>
      <w:r>
        <w:t xml:space="preserve">Foltz, G.R.; </w:t>
      </w:r>
      <w:proofErr w:type="spellStart"/>
      <w:r>
        <w:t>McPhaden</w:t>
      </w:r>
      <w:proofErr w:type="spellEnd"/>
      <w:r>
        <w:t xml:space="preserve">, M.J. Seasonal Mixed Layer Salinity Balance of the Tropical North Atlantic Ocean. Journal of Geophysical </w:t>
      </w:r>
      <w:proofErr w:type="spellStart"/>
      <w:proofErr w:type="gramStart"/>
      <w:r>
        <w:t>Research.C.Oceans</w:t>
      </w:r>
      <w:proofErr w:type="spellEnd"/>
      <w:proofErr w:type="gramEnd"/>
      <w:r>
        <w:t xml:space="preserve"> 2008, 113, C02013, doi:02010.01029/02007JC004178.</w:t>
      </w:r>
    </w:p>
    <w:p w14:paraId="529D19B8" w14:textId="103D9E72" w:rsidR="006A6B9B" w:rsidRDefault="006A6B9B" w:rsidP="006A6B9B">
      <w:pPr>
        <w:pStyle w:val="MDPI71References"/>
        <w:numPr>
          <w:ilvl w:val="0"/>
          <w:numId w:val="4"/>
        </w:numPr>
        <w:ind w:left="450"/>
      </w:pPr>
      <w:proofErr w:type="spellStart"/>
      <w:r>
        <w:t>Grodsky</w:t>
      </w:r>
      <w:proofErr w:type="spellEnd"/>
      <w:r>
        <w:t>, S.A.; Carton, J.A.; Bryan, F.O. A curious local surface salinity maximum in the northwestern tropical Atlantic. Journal of Geophysical Research: Oceans 2014, 119, 484-495, doi:10.1002/2013JC009450.</w:t>
      </w:r>
    </w:p>
    <w:p w14:paraId="6FF09217" w14:textId="7CE20EDF" w:rsidR="006A6B9B" w:rsidRDefault="006A6B9B" w:rsidP="006A6B9B">
      <w:pPr>
        <w:pStyle w:val="MDPI71References"/>
        <w:numPr>
          <w:ilvl w:val="0"/>
          <w:numId w:val="4"/>
        </w:numPr>
        <w:ind w:left="450"/>
      </w:pPr>
      <w:proofErr w:type="spellStart"/>
      <w:r>
        <w:t>McPhaden</w:t>
      </w:r>
      <w:proofErr w:type="spellEnd"/>
      <w:r>
        <w:t xml:space="preserve">, M.J.; </w:t>
      </w:r>
      <w:proofErr w:type="spellStart"/>
      <w:r>
        <w:t>Busalacchi</w:t>
      </w:r>
      <w:proofErr w:type="spellEnd"/>
      <w:r>
        <w:t>, A.J.; Anderson, D.L.T. A TOGA Retrospective. Oceanography 2010, 23, 86-103, doi:10.5670/oceanog.2010.26.</w:t>
      </w:r>
    </w:p>
    <w:p w14:paraId="7B216BEC" w14:textId="43894C66" w:rsidR="006A6B9B" w:rsidRDefault="006A6B9B" w:rsidP="006A6B9B">
      <w:pPr>
        <w:pStyle w:val="MDPI71References"/>
        <w:numPr>
          <w:ilvl w:val="0"/>
          <w:numId w:val="4"/>
        </w:numPr>
        <w:ind w:left="450"/>
      </w:pPr>
      <w:r>
        <w:t xml:space="preserve">Tang, W.; Yueh, S.H.; Fore, A.G.; Hayashi, A.; Lee, T.; </w:t>
      </w:r>
      <w:proofErr w:type="spellStart"/>
      <w:r>
        <w:t>Lagerloef</w:t>
      </w:r>
      <w:proofErr w:type="spellEnd"/>
      <w:r>
        <w:t>, G. Uncertainty of Aquarius sea surface salinity retrieved under rainy conditions and its implication on the water cycle study. Journal of Geophysical Research: Oceans 2014, 119, 4821-4839, doi:10.1002/2014JC009834.</w:t>
      </w:r>
    </w:p>
    <w:p w14:paraId="4C362868" w14:textId="2B124CA5" w:rsidR="006A6B9B" w:rsidRDefault="006A6B9B" w:rsidP="006A6B9B">
      <w:pPr>
        <w:pStyle w:val="MDPI71References"/>
        <w:numPr>
          <w:ilvl w:val="0"/>
          <w:numId w:val="4"/>
        </w:numPr>
        <w:ind w:left="450"/>
      </w:pPr>
      <w:r>
        <w:t xml:space="preserve">Tang, W.; Fore, A.; Yueh, S.; Lee, T.; Hayashi, A.; Sanchez-Franks, A.; Martinez, J.; King, B.; Baranowski, D. Validating SMAP SSS with in situ measurements. Remote Sensing of Environment 2017, 200, 326-340, </w:t>
      </w:r>
      <w:proofErr w:type="gramStart"/>
      <w:r>
        <w:t>doi:10.1016/j.rse</w:t>
      </w:r>
      <w:proofErr w:type="gramEnd"/>
      <w:r>
        <w:t>.2017.08.021.</w:t>
      </w:r>
    </w:p>
    <w:p w14:paraId="54B8F85E" w14:textId="49F9D24B" w:rsidR="006A6B9B" w:rsidRDefault="006A6B9B" w:rsidP="006A6B9B">
      <w:pPr>
        <w:pStyle w:val="MDPI71References"/>
        <w:numPr>
          <w:ilvl w:val="0"/>
          <w:numId w:val="4"/>
        </w:numPr>
        <w:ind w:left="450"/>
      </w:pPr>
      <w:r>
        <w:t xml:space="preserve">Meissner, T.; Wentz, F.; </w:t>
      </w:r>
      <w:proofErr w:type="spellStart"/>
      <w:r>
        <w:t>Manaseter</w:t>
      </w:r>
      <w:proofErr w:type="spellEnd"/>
      <w:r>
        <w:t>, A. Remote Sensing Systems SMAP Ocean Surface Salinities Level 3 Running 8-day, Version 3.0 validated release. Systems, R.S., Ed. Remote Sensing Systems: Santa Rosa, CA, USA, 2018.</w:t>
      </w:r>
    </w:p>
    <w:p w14:paraId="571D1F24" w14:textId="0EB371FC" w:rsidR="006A6B9B" w:rsidRDefault="006A6B9B" w:rsidP="006A6B9B">
      <w:pPr>
        <w:pStyle w:val="MDPI71References"/>
        <w:numPr>
          <w:ilvl w:val="0"/>
          <w:numId w:val="4"/>
        </w:numPr>
        <w:ind w:left="450"/>
      </w:pPr>
      <w:proofErr w:type="spellStart"/>
      <w:r>
        <w:t>Drushka</w:t>
      </w:r>
      <w:proofErr w:type="spellEnd"/>
      <w:r>
        <w:t xml:space="preserve">, K.; Asher, W.E.; Jessup, A.T.; Thompson, E.J.; </w:t>
      </w:r>
      <w:proofErr w:type="spellStart"/>
      <w:r>
        <w:t>Iyer</w:t>
      </w:r>
      <w:proofErr w:type="spellEnd"/>
      <w:r>
        <w:t>, S.; Clark, D. Capturing Fresh Layers with the Surface Salinity Profiler. Oceanography 2019, 32, doi:10.5670/oceanog.2019.215.</w:t>
      </w:r>
    </w:p>
    <w:p w14:paraId="13407EA0" w14:textId="304E76B7" w:rsidR="006A6B9B" w:rsidRDefault="006A6B9B" w:rsidP="006A6B9B">
      <w:pPr>
        <w:pStyle w:val="MDPI71References"/>
        <w:numPr>
          <w:ilvl w:val="0"/>
          <w:numId w:val="4"/>
        </w:numPr>
        <w:ind w:left="450"/>
      </w:pPr>
      <w:proofErr w:type="spellStart"/>
      <w:r>
        <w:t>D'Addezio</w:t>
      </w:r>
      <w:proofErr w:type="spellEnd"/>
      <w:r>
        <w:t xml:space="preserve">, J.M.; Bingham, F.M.; Jacobs, G.A. Sea surface salinity </w:t>
      </w:r>
      <w:proofErr w:type="spellStart"/>
      <w:r>
        <w:t>subfootprint</w:t>
      </w:r>
      <w:proofErr w:type="spellEnd"/>
      <w:r>
        <w:t xml:space="preserve"> variability estimates from regional high-resolution model simulations. Remote Sensing of Environment 2019, 233, 111365, </w:t>
      </w:r>
      <w:proofErr w:type="gramStart"/>
      <w:r>
        <w:t>doi:10.1016/j.rse</w:t>
      </w:r>
      <w:proofErr w:type="gramEnd"/>
      <w:r>
        <w:t>.2019.111365.</w:t>
      </w:r>
    </w:p>
    <w:p w14:paraId="2C466BBC" w14:textId="4BBF4C5E" w:rsidR="006A6B9B" w:rsidRDefault="006A6B9B" w:rsidP="006A6B9B">
      <w:pPr>
        <w:pStyle w:val="MDPI71References"/>
        <w:numPr>
          <w:ilvl w:val="0"/>
          <w:numId w:val="4"/>
        </w:numPr>
        <w:ind w:left="450"/>
      </w:pPr>
      <w:proofErr w:type="gramStart"/>
      <w:r>
        <w:t>Bingham,</w:t>
      </w:r>
      <w:proofErr w:type="gramEnd"/>
      <w:r>
        <w:t xml:space="preserve"> F.M. </w:t>
      </w:r>
      <w:proofErr w:type="spellStart"/>
      <w:r>
        <w:t>Subfootprint</w:t>
      </w:r>
      <w:proofErr w:type="spellEnd"/>
      <w:r>
        <w:t xml:space="preserve"> Variability of Sea Surface Salinity Observed during the SPURS-1 and SPURS-2 Field Campaigns. Remote Sensing 2019, 11, 2689, doi:10.3390/rs11222689.</w:t>
      </w:r>
    </w:p>
    <w:p w14:paraId="249FDA33" w14:textId="6C6A2529" w:rsidR="006A6B9B" w:rsidRDefault="006A6B9B" w:rsidP="006A6B9B">
      <w:pPr>
        <w:pStyle w:val="MDPI71References"/>
        <w:numPr>
          <w:ilvl w:val="0"/>
          <w:numId w:val="4"/>
        </w:numPr>
        <w:ind w:left="450"/>
      </w:pPr>
      <w:r>
        <w:t>Fore, A.; Yueh, S.; Tang, W.; Hayashi, A. SMAP Salinity and Wind Speed Users Guide, Version 4.3; California Institute of Technology: Pasadena, CA, 2020; p 259.</w:t>
      </w:r>
    </w:p>
    <w:p w14:paraId="23829445" w14:textId="69911FDA" w:rsidR="006A6B9B" w:rsidRDefault="006A6B9B" w:rsidP="006A6B9B">
      <w:pPr>
        <w:pStyle w:val="MDPI71References"/>
        <w:numPr>
          <w:ilvl w:val="0"/>
          <w:numId w:val="4"/>
        </w:numPr>
        <w:ind w:left="450"/>
      </w:pPr>
      <w:proofErr w:type="spellStart"/>
      <w:r>
        <w:t>Thyng</w:t>
      </w:r>
      <w:proofErr w:type="spellEnd"/>
      <w:r>
        <w:t xml:space="preserve">, K.M.; Greene, C.A.; </w:t>
      </w:r>
      <w:proofErr w:type="spellStart"/>
      <w:r>
        <w:t>Hetland</w:t>
      </w:r>
      <w:proofErr w:type="spellEnd"/>
      <w:r>
        <w:t xml:space="preserve">, R.D.; </w:t>
      </w:r>
      <w:proofErr w:type="spellStart"/>
      <w:r>
        <w:t>Zimmerle</w:t>
      </w:r>
      <w:proofErr w:type="spellEnd"/>
      <w:r>
        <w:t>, H.M.; DiMarco, S.F. True Colors of Oceanography: Guidelines for Effective and Accurate Colormap Selection. Oceanography 2016, 29, 9-13, doi:10.5670/oceanog.2016.66.</w:t>
      </w:r>
    </w:p>
    <w:p w14:paraId="637EE851" w14:textId="3B6CF3B8" w:rsidR="006A6B9B" w:rsidRDefault="006A6B9B" w:rsidP="006A6B9B">
      <w:pPr>
        <w:pStyle w:val="MDPI71References"/>
        <w:numPr>
          <w:ilvl w:val="0"/>
          <w:numId w:val="4"/>
        </w:numPr>
        <w:ind w:left="450"/>
      </w:pPr>
      <w:r>
        <w:t xml:space="preserve">Freitag, H.P.; </w:t>
      </w:r>
      <w:proofErr w:type="spellStart"/>
      <w:r>
        <w:t>McPhaden</w:t>
      </w:r>
      <w:proofErr w:type="spellEnd"/>
      <w:r>
        <w:t>, M.J.; Connell, K.J. Comparison of ATLAS and T-FLEX Mooring Data; Pacific Marine Environmental Laboratory: Seattle, WA, 2018.</w:t>
      </w:r>
    </w:p>
    <w:p w14:paraId="16A34FAF" w14:textId="13245102" w:rsidR="006A6B9B" w:rsidRDefault="006A6B9B" w:rsidP="006A6B9B">
      <w:pPr>
        <w:pStyle w:val="MDPI71References"/>
        <w:numPr>
          <w:ilvl w:val="0"/>
          <w:numId w:val="4"/>
        </w:numPr>
        <w:ind w:left="450"/>
      </w:pPr>
      <w:r>
        <w:t>Olmedo, E.; González-</w:t>
      </w:r>
      <w:proofErr w:type="spellStart"/>
      <w:r>
        <w:t>Haro</w:t>
      </w:r>
      <w:proofErr w:type="spellEnd"/>
      <w:r>
        <w:t>, C.; González-</w:t>
      </w:r>
      <w:proofErr w:type="spellStart"/>
      <w:r>
        <w:t>Gambau</w:t>
      </w:r>
      <w:proofErr w:type="spellEnd"/>
      <w:r>
        <w:t xml:space="preserve">, V.; Martínez, J.; </w:t>
      </w:r>
      <w:proofErr w:type="spellStart"/>
      <w:r>
        <w:t>Turiel</w:t>
      </w:r>
      <w:proofErr w:type="spellEnd"/>
      <w:r>
        <w:t>, A. Global SMOS-BEC SSS L3 and L4 Product V2 Description; Barcelona Expert Center: Barcelona, 2020.</w:t>
      </w:r>
    </w:p>
    <w:p w14:paraId="1234A167" w14:textId="53A74ACA" w:rsidR="006A6B9B" w:rsidRDefault="006A6B9B" w:rsidP="006A6B9B">
      <w:pPr>
        <w:pStyle w:val="MDPI71References"/>
        <w:numPr>
          <w:ilvl w:val="0"/>
          <w:numId w:val="4"/>
        </w:numPr>
        <w:ind w:left="450"/>
      </w:pPr>
      <w:r>
        <w:t xml:space="preserve">Boutin, J.; </w:t>
      </w:r>
      <w:proofErr w:type="spellStart"/>
      <w:r>
        <w:t>Vergely</w:t>
      </w:r>
      <w:proofErr w:type="spellEnd"/>
      <w:r>
        <w:t xml:space="preserve">, J.-L.; </w:t>
      </w:r>
      <w:proofErr w:type="spellStart"/>
      <w:r>
        <w:t>Thouvenin</w:t>
      </w:r>
      <w:proofErr w:type="spellEnd"/>
      <w:r>
        <w:t xml:space="preserve">-Masson, C.; Supply, A.; </w:t>
      </w:r>
      <w:proofErr w:type="spellStart"/>
      <w:r>
        <w:t>Khvorostyanov</w:t>
      </w:r>
      <w:proofErr w:type="spellEnd"/>
      <w:r>
        <w:t xml:space="preserve">, D. SMOS SSS L3 maps generated by CATDS CEC LOCEAN. debias V4.0. 4.0 ed.; </w:t>
      </w:r>
      <w:proofErr w:type="spellStart"/>
      <w:r>
        <w:t>Universite</w:t>
      </w:r>
      <w:proofErr w:type="spellEnd"/>
      <w:r>
        <w:t>, S., Ed. 2019.</w:t>
      </w:r>
    </w:p>
    <w:p w14:paraId="0820A212" w14:textId="64FD1BB3" w:rsidR="006A6B9B" w:rsidRDefault="006A6B9B" w:rsidP="006A6B9B">
      <w:pPr>
        <w:pStyle w:val="MDPI71References"/>
        <w:numPr>
          <w:ilvl w:val="0"/>
          <w:numId w:val="4"/>
        </w:numPr>
        <w:ind w:left="450"/>
      </w:pPr>
      <w:r>
        <w:t xml:space="preserve">Boutin, J.; </w:t>
      </w:r>
      <w:proofErr w:type="spellStart"/>
      <w:r>
        <w:t>Vergely</w:t>
      </w:r>
      <w:proofErr w:type="spellEnd"/>
      <w:r>
        <w:t xml:space="preserve">, J.L.; Marchand, S.; D'Amico, F.; Hasson, A.; </w:t>
      </w:r>
      <w:proofErr w:type="spellStart"/>
      <w:r>
        <w:t>Kolodziejczyk</w:t>
      </w:r>
      <w:proofErr w:type="spellEnd"/>
      <w:r>
        <w:t xml:space="preserve">, N.; </w:t>
      </w:r>
      <w:proofErr w:type="spellStart"/>
      <w:r>
        <w:t>Reul</w:t>
      </w:r>
      <w:proofErr w:type="spellEnd"/>
      <w:r>
        <w:t xml:space="preserve">, N.; </w:t>
      </w:r>
      <w:proofErr w:type="spellStart"/>
      <w:r>
        <w:t>Reverdin</w:t>
      </w:r>
      <w:proofErr w:type="spellEnd"/>
      <w:r>
        <w:t xml:space="preserve">, G.; </w:t>
      </w:r>
      <w:proofErr w:type="spellStart"/>
      <w:r>
        <w:t>Vialard</w:t>
      </w:r>
      <w:proofErr w:type="spellEnd"/>
      <w:r>
        <w:t xml:space="preserve">, J. New SMOS Sea Surface Salinity with reduced systematic errors and improved variability. Remote Sensing of Environment 2018, 214, 115-134, </w:t>
      </w:r>
      <w:proofErr w:type="gramStart"/>
      <w:r>
        <w:t>doi:10.1016/j.rse</w:t>
      </w:r>
      <w:proofErr w:type="gramEnd"/>
      <w:r>
        <w:t>.2018.05.022.</w:t>
      </w:r>
    </w:p>
    <w:p w14:paraId="66F6421C" w14:textId="229329CF" w:rsidR="006A6B9B" w:rsidRDefault="006A6B9B" w:rsidP="006A6B9B">
      <w:pPr>
        <w:pStyle w:val="MDPI71References"/>
        <w:numPr>
          <w:ilvl w:val="0"/>
          <w:numId w:val="4"/>
        </w:numPr>
        <w:ind w:left="450"/>
      </w:pPr>
      <w:proofErr w:type="spellStart"/>
      <w:r>
        <w:t>Rouffi</w:t>
      </w:r>
      <w:proofErr w:type="spellEnd"/>
      <w:r>
        <w:t>, F. Climate Change Initiative+ (CCI+) Phase 1: Sea Surface Salinity [D4.3] Product User Guide; ARGANS: 2020.</w:t>
      </w:r>
    </w:p>
    <w:p w14:paraId="10532782" w14:textId="7F477829" w:rsidR="006A6B9B" w:rsidRDefault="006A6B9B" w:rsidP="006A6B9B">
      <w:pPr>
        <w:pStyle w:val="MDPI71References"/>
        <w:numPr>
          <w:ilvl w:val="0"/>
          <w:numId w:val="4"/>
        </w:numPr>
        <w:ind w:left="450"/>
      </w:pPr>
      <w:r>
        <w:t>Fore, A.G.; Yueh, S.H.; Tang, W.; Stiles, B.W.; Hayashi, A.K. Combined Active/Passive Retrievals of Ocean Vector Wind and Sea Surface Salinity With SMAP. IEEE Transactions on Geoscience and Remote Sensing 2016, 54, 7396-7404, doi:10.1109/TGRS.2016.2601486.</w:t>
      </w:r>
    </w:p>
    <w:p w14:paraId="15E9C86B" w14:textId="6A6BC3D0" w:rsidR="00046F7B" w:rsidRDefault="006A6B9B" w:rsidP="006A6B9B">
      <w:pPr>
        <w:pStyle w:val="MDPI71References"/>
        <w:numPr>
          <w:ilvl w:val="0"/>
          <w:numId w:val="4"/>
        </w:numPr>
        <w:ind w:left="450"/>
      </w:pPr>
      <w:r>
        <w:t>Good, S.A.; Martin, M.J.; Rayner, N.A. EN4: Quality controlled ocean temperature and salinity profiles and monthly objective analyses with uncertainty estimates. Journal of Geophysical Research: Oceans 2013, 118, 6704-6716, doi:10.1002/2013JC009067.</w:t>
      </w:r>
    </w:p>
    <w:p w14:paraId="1EAB4B94" w14:textId="77777777" w:rsidR="006A6B9B" w:rsidRDefault="006A6B9B" w:rsidP="006A6B9B">
      <w:pPr>
        <w:pStyle w:val="MDPI71References"/>
        <w:numPr>
          <w:ilvl w:val="0"/>
          <w:numId w:val="0"/>
        </w:numPr>
        <w:ind w:left="450"/>
      </w:pPr>
    </w:p>
    <w:tbl>
      <w:tblPr>
        <w:tblW w:w="0" w:type="auto"/>
        <w:jc w:val="center"/>
        <w:tblLook w:val="04A0" w:firstRow="1" w:lastRow="0" w:firstColumn="1" w:lastColumn="0" w:noHBand="0" w:noVBand="1"/>
      </w:tblPr>
      <w:tblGrid>
        <w:gridCol w:w="1699"/>
        <w:gridCol w:w="7145"/>
      </w:tblGrid>
      <w:tr w:rsidR="00046F7B" w:rsidRPr="003A4C39" w14:paraId="0F8FD891" w14:textId="77777777" w:rsidTr="007C60A5">
        <w:trPr>
          <w:jc w:val="center"/>
        </w:trPr>
        <w:tc>
          <w:tcPr>
            <w:tcW w:w="0" w:type="auto"/>
            <w:shd w:val="clear" w:color="auto" w:fill="auto"/>
            <w:vAlign w:val="center"/>
          </w:tcPr>
          <w:p w14:paraId="44BA610D" w14:textId="77777777" w:rsidR="00046F7B" w:rsidRPr="003A4C39" w:rsidRDefault="009744D1" w:rsidP="00EC2BB7">
            <w:pPr>
              <w:pStyle w:val="MDPI71References"/>
              <w:numPr>
                <w:ilvl w:val="0"/>
                <w:numId w:val="0"/>
              </w:numPr>
              <w:ind w:left="-85"/>
              <w:rPr>
                <w:rFonts w:eastAsia="SimSun"/>
                <w:bCs/>
              </w:rPr>
            </w:pPr>
            <w:r w:rsidRPr="003A4C39">
              <w:rPr>
                <w:rFonts w:eastAsia="SimSun"/>
                <w:bCs/>
                <w:noProof/>
                <w:lang w:eastAsia="zh-CN" w:bidi="ar-SA"/>
              </w:rPr>
              <w:drawing>
                <wp:inline distT="0" distB="0" distL="0" distR="0" wp14:anchorId="65E8794A" wp14:editId="22820738">
                  <wp:extent cx="995680" cy="355600"/>
                  <wp:effectExtent l="0" t="0" r="0" b="0"/>
                  <wp:docPr id="3" name="Picture 3" descr="copyRigh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opyRight"/>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95680" cy="355600"/>
                          </a:xfrm>
                          <a:prstGeom prst="rect">
                            <a:avLst/>
                          </a:prstGeom>
                          <a:noFill/>
                          <a:ln>
                            <a:noFill/>
                          </a:ln>
                        </pic:spPr>
                      </pic:pic>
                    </a:graphicData>
                  </a:graphic>
                </wp:inline>
              </w:drawing>
            </w:r>
          </w:p>
        </w:tc>
        <w:tc>
          <w:tcPr>
            <w:tcW w:w="7145" w:type="dxa"/>
            <w:shd w:val="clear" w:color="auto" w:fill="auto"/>
            <w:vAlign w:val="center"/>
          </w:tcPr>
          <w:p w14:paraId="3D2A01B2" w14:textId="77777777" w:rsidR="00046F7B" w:rsidRPr="003A4C39" w:rsidRDefault="00574F2C" w:rsidP="008F35AE">
            <w:pPr>
              <w:pStyle w:val="MDPI71References"/>
              <w:numPr>
                <w:ilvl w:val="0"/>
                <w:numId w:val="0"/>
              </w:numPr>
              <w:ind w:left="-85"/>
              <w:rPr>
                <w:rFonts w:eastAsia="SimSun"/>
                <w:bCs/>
              </w:rPr>
            </w:pPr>
            <w:r>
              <w:rPr>
                <w:rFonts w:eastAsia="SimSun"/>
                <w:bCs/>
              </w:rPr>
              <w:t>© 20</w:t>
            </w:r>
            <w:r w:rsidR="008F35AE">
              <w:rPr>
                <w:rFonts w:eastAsia="SimSun"/>
                <w:bCs/>
              </w:rPr>
              <w:t>20</w:t>
            </w:r>
            <w:r w:rsidR="00046F7B" w:rsidRPr="003A4C39">
              <w:rPr>
                <w:rFonts w:eastAsia="SimSun"/>
                <w:bCs/>
              </w:rPr>
              <w:t xml:space="preserve"> by the authors. Submitted for possible open access publication under the terms and conditions of the Creative Commons Attribution (CC BY) license (http://creativecommons.org/licenses/by/4.0/).</w:t>
            </w:r>
          </w:p>
        </w:tc>
      </w:tr>
    </w:tbl>
    <w:p w14:paraId="1C73F06B" w14:textId="61289585" w:rsidR="0014356F" w:rsidRPr="00D444C4" w:rsidRDefault="0014356F" w:rsidP="007C60A5">
      <w:pPr>
        <w:pStyle w:val="MDPI71References"/>
        <w:numPr>
          <w:ilvl w:val="0"/>
          <w:numId w:val="0"/>
        </w:numPr>
        <w:spacing w:after="240"/>
        <w:rPr>
          <w:rFonts w:eastAsia="SimSun"/>
        </w:rPr>
      </w:pPr>
    </w:p>
    <w:sectPr w:rsidR="0014356F" w:rsidRPr="00D444C4" w:rsidSect="0014356F">
      <w:headerReference w:type="even" r:id="rId48"/>
      <w:headerReference w:type="default" r:id="rId49"/>
      <w:footerReference w:type="default" r:id="rId50"/>
      <w:headerReference w:type="first" r:id="rId51"/>
      <w:footerReference w:type="first" r:id="rId52"/>
      <w:pgSz w:w="11906" w:h="16838" w:code="9"/>
      <w:pgMar w:top="1417" w:right="1531" w:bottom="1077" w:left="1531" w:header="1020" w:footer="850" w:gutter="0"/>
      <w:lnNumType w:countBy="1" w:restart="continuous"/>
      <w:pgNumType w:start="1"/>
      <w:cols w:space="425"/>
      <w:titlePg/>
      <w:docGrid w:type="lines"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 w:author="Lisan Yu" w:date="2020-10-16T12:52:00Z" w:initials="MOU">
    <w:p w14:paraId="74DC0637" w14:textId="78D7E242" w:rsidR="00FC7093" w:rsidRDefault="00FC7093">
      <w:pPr>
        <w:pStyle w:val="CommentText"/>
      </w:pPr>
      <w:r>
        <w:rPr>
          <w:rStyle w:val="CommentReference"/>
        </w:rPr>
        <w:annotationRef/>
      </w:r>
      <w:r>
        <w:t>These figures are great!</w:t>
      </w:r>
    </w:p>
    <w:p w14:paraId="01653CC4" w14:textId="0A8A7AE8" w:rsidR="00FC7093" w:rsidRDefault="00FC7093">
      <w:pPr>
        <w:pStyle w:val="CommentText"/>
      </w:pPr>
      <w:r>
        <w:t>However, availability of SSS measurements across the tropical mooring sites is irregular and there are frequent data gaps. It seems that the figures might be based on the operation start time at each buoy site. Would the use of actual SSS data records be a better support for Figure 2?</w:t>
      </w:r>
    </w:p>
  </w:comment>
  <w:comment w:id="3" w:author="Bingham, Frederick" w:date="2020-10-21T15:40:00Z" w:initials="BF">
    <w:p w14:paraId="358E92F0" w14:textId="06A27C62" w:rsidR="00FC7093" w:rsidRDefault="00FC7093">
      <w:pPr>
        <w:pStyle w:val="CommentText"/>
      </w:pPr>
      <w:r>
        <w:rPr>
          <w:rStyle w:val="CommentReference"/>
        </w:rPr>
        <w:annotationRef/>
      </w:r>
      <w:r>
        <w:t>The colors indicate the actual amount of data available. We will make this clearer in the text.</w:t>
      </w:r>
    </w:p>
  </w:comment>
  <w:comment w:id="4" w:author="Lisan Yu" w:date="2020-10-16T13:39:00Z" w:initials="MOU">
    <w:p w14:paraId="5635BADA" w14:textId="4F24AA2F" w:rsidR="00FC7093" w:rsidRDefault="00FC7093">
      <w:pPr>
        <w:pStyle w:val="CommentText"/>
      </w:pPr>
      <w:r>
        <w:rPr>
          <w:rStyle w:val="CommentReference"/>
        </w:rPr>
        <w:annotationRef/>
      </w:r>
      <w:r>
        <w:t xml:space="preserve">This is a good plot. It shows your point that seasonal variability is phase-locked to the calendar year in spite of interannual modulation. </w:t>
      </w:r>
    </w:p>
  </w:comment>
  <w:comment w:id="5" w:author="Lisan Yu" w:date="2020-10-16T14:38:00Z" w:initials="MOU">
    <w:p w14:paraId="587393CF" w14:textId="77777777" w:rsidR="00FC7093" w:rsidRDefault="00FC7093">
      <w:pPr>
        <w:pStyle w:val="CommentText"/>
      </w:pPr>
      <w:r>
        <w:rPr>
          <w:rStyle w:val="CommentReference"/>
        </w:rPr>
        <w:annotationRef/>
      </w:r>
      <w:r>
        <w:t xml:space="preserve">Does each circle denote the buoy? If so, there should be 68+32+21 (= 121, minus a few buoys that have records &lt; 1yr) circles in the plot. It would be good to point this out in the caption. </w:t>
      </w:r>
    </w:p>
    <w:p w14:paraId="63A0F7F3" w14:textId="77777777" w:rsidR="00FC7093" w:rsidRDefault="00FC7093">
      <w:pPr>
        <w:pStyle w:val="CommentText"/>
      </w:pPr>
    </w:p>
    <w:p w14:paraId="0B292284" w14:textId="7CA15296" w:rsidR="00FC7093" w:rsidRDefault="00FC7093">
      <w:pPr>
        <w:pStyle w:val="CommentText"/>
      </w:pPr>
      <w:r>
        <w:t xml:space="preserve">It seems that satellite products are all “noisier” than in situ products, showing more outliers (the upper left and bottom right corners). The is consistent with the numbers in Table 2 </w:t>
      </w:r>
    </w:p>
  </w:comment>
  <w:comment w:id="6" w:author="Bingham, Frederick" w:date="2020-11-18T09:41:00Z" w:initials="BF">
    <w:p w14:paraId="0872145E" w14:textId="63B7C5C8" w:rsidR="00FC7093" w:rsidRDefault="00FC7093">
      <w:pPr>
        <w:pStyle w:val="CommentText"/>
      </w:pPr>
      <w:r>
        <w:rPr>
          <w:rStyle w:val="CommentReference"/>
        </w:rPr>
        <w:annotationRef/>
      </w:r>
      <w:r>
        <w:t xml:space="preserve">I added some text to the caption in Fig. 7 addressing the first point. </w:t>
      </w:r>
    </w:p>
  </w:comment>
  <w:comment w:id="7" w:author="Lisan Yu" w:date="2020-11-16T13:49:00Z" w:initials="LY">
    <w:p w14:paraId="21A74F5E" w14:textId="45E11ABE" w:rsidR="00FC7093" w:rsidRDefault="00FC7093">
      <w:pPr>
        <w:pStyle w:val="CommentText"/>
      </w:pPr>
      <w:r>
        <w:rPr>
          <w:rStyle w:val="CommentReference"/>
        </w:rPr>
        <w:annotationRef/>
      </w:r>
      <w:r>
        <w:t xml:space="preserve">This is a nice paragraph. It explains well the impact of spatial scales on R2 value. </w:t>
      </w:r>
    </w:p>
    <w:p w14:paraId="559BC913" w14:textId="5744527A" w:rsidR="00FC7093" w:rsidRDefault="00FC7093">
      <w:pPr>
        <w:pStyle w:val="CommentText"/>
      </w:pPr>
      <w:r>
        <w:t>Is it equivalent to say that one median basis, only about 20% of variances can be explained by annual harmonic across the tropical buoy array?</w:t>
      </w:r>
    </w:p>
    <w:p w14:paraId="41DC5023" w14:textId="05FAB52D" w:rsidR="00FC7093" w:rsidRDefault="00FC7093">
      <w:pPr>
        <w:pStyle w:val="CommentText"/>
      </w:pPr>
      <w:r>
        <w:t>Were the median R2 based on the same period or the maximum time span for each data set as indicated in Table 1?</w:t>
      </w:r>
    </w:p>
  </w:comment>
  <w:comment w:id="8" w:author="Bingham, Frederick" w:date="2020-11-18T09:53:00Z" w:initials="BF">
    <w:p w14:paraId="219A04D9" w14:textId="5495D56E" w:rsidR="00FC7093" w:rsidRDefault="00FC7093">
      <w:pPr>
        <w:pStyle w:val="CommentText"/>
      </w:pPr>
      <w:r>
        <w:rPr>
          <w:rStyle w:val="CommentReference"/>
        </w:rPr>
        <w:annotationRef/>
      </w:r>
      <w:r>
        <w:t>Yes, 20% of the total variance. The R2 values were based on the entire datasets. We’ll make that clearer in the caption to Fig. 10.</w:t>
      </w:r>
    </w:p>
  </w:comment>
  <w:comment w:id="9" w:author="Lisan Yu" w:date="2020-11-16T14:50:00Z" w:initials="LY">
    <w:p w14:paraId="6F60A6C3" w14:textId="77777777" w:rsidR="00FC7093" w:rsidRDefault="00FC7093">
      <w:pPr>
        <w:pStyle w:val="CommentText"/>
      </w:pPr>
      <w:r>
        <w:rPr>
          <w:rStyle w:val="CommentReference"/>
        </w:rPr>
        <w:annotationRef/>
      </w:r>
      <w:r>
        <w:t xml:space="preserve">For each scatter plot, were the data pairs constructed over the same period? </w:t>
      </w:r>
    </w:p>
    <w:p w14:paraId="6F7BA061" w14:textId="49244E32" w:rsidR="00FC7093" w:rsidRDefault="00FC7093">
      <w:pPr>
        <w:pStyle w:val="CommentText"/>
      </w:pPr>
      <w:r>
        <w:t xml:space="preserve">I am curious to know whether the temporal colocation matters for the comparison. Buoy has long data record and may be more accurate in capturing the mean annual </w:t>
      </w:r>
      <w:proofErr w:type="spellStart"/>
      <w:r>
        <w:t>harmoni</w:t>
      </w:r>
      <w:proofErr w:type="spellEnd"/>
      <w:r>
        <w:t xml:space="preserve">, while satellite has a shorter period. I have this question because the recent manuscript (Yu et al. 2020) has the same problem: what is the meaning of comparing the </w:t>
      </w:r>
      <w:proofErr w:type="gramStart"/>
      <w:r>
        <w:t>3-4 year</w:t>
      </w:r>
      <w:proofErr w:type="gramEnd"/>
      <w:r>
        <w:t xml:space="preserve"> annual harmonic to the annual harmonic derived from long-term mean climatology? </w:t>
      </w:r>
    </w:p>
    <w:p w14:paraId="39BADA06" w14:textId="77777777" w:rsidR="00FC7093" w:rsidRDefault="00FC7093">
      <w:pPr>
        <w:pStyle w:val="CommentText"/>
      </w:pPr>
    </w:p>
  </w:comment>
  <w:comment w:id="10" w:author="Lisan Yu" w:date="2020-10-16T22:26:00Z" w:initials="MOU">
    <w:p w14:paraId="1A12434E" w14:textId="3A404877" w:rsidR="00FC7093" w:rsidRDefault="00FC7093">
      <w:pPr>
        <w:pStyle w:val="CommentText"/>
      </w:pPr>
      <w:r>
        <w:rPr>
          <w:rStyle w:val="CommentReference"/>
        </w:rPr>
        <w:annotationRef/>
      </w:r>
      <w:r>
        <w:t>This paragraph is nicely written. You asked important questions.</w:t>
      </w:r>
    </w:p>
  </w:comment>
  <w:comment w:id="11" w:author="Lisan Yu" w:date="2020-10-16T22:21:00Z" w:initials="MOU">
    <w:p w14:paraId="59C4CA84" w14:textId="436506AA" w:rsidR="00FC7093" w:rsidRDefault="00FC7093" w:rsidP="00AB56AB">
      <w:pPr>
        <w:pStyle w:val="MDPI31text"/>
      </w:pPr>
      <w:r>
        <w:rPr>
          <w:rStyle w:val="CommentReference"/>
        </w:rPr>
        <w:annotationRef/>
      </w:r>
      <w:r>
        <w:t>The median R2 in Table 3 and Figure 10 are of interest. Aquarius, EN4, SIO and SMO CCI have a higher R2 (&gt;0.3) than SSS moorings and other SMOS and SMAP products (between 0.1 – 0.2). Could the R2 values shed some light on the range of temporal spectrum of variability? It would be good to elaborate a bit more on the meaning of R2 in Table 3.</w:t>
      </w:r>
    </w:p>
  </w:comment>
  <w:comment w:id="12" w:author="Bingham, Frederick" w:date="2020-11-13T14:56:00Z" w:initials="BF">
    <w:p w14:paraId="5D42E038" w14:textId="673F11AE" w:rsidR="00FC7093" w:rsidRDefault="00FC7093">
      <w:pPr>
        <w:pStyle w:val="CommentText"/>
      </w:pPr>
      <w:r>
        <w:rPr>
          <w:rStyle w:val="CommentReference"/>
        </w:rPr>
        <w:annotationRef/>
      </w:r>
      <w:r>
        <w:t>Some of this stated in the next paragraph.</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1653CC4" w15:done="1"/>
  <w15:commentEx w15:paraId="358E92F0" w15:paraIdParent="01653CC4" w15:done="1"/>
  <w15:commentEx w15:paraId="5635BADA" w15:done="1"/>
  <w15:commentEx w15:paraId="0B292284" w15:done="1"/>
  <w15:commentEx w15:paraId="0872145E" w15:paraIdParent="0B292284" w15:done="1"/>
  <w15:commentEx w15:paraId="41DC5023" w15:done="1"/>
  <w15:commentEx w15:paraId="219A04D9" w15:paraIdParent="41DC5023" w15:done="1"/>
  <w15:commentEx w15:paraId="39BADA06" w15:done="1"/>
  <w15:commentEx w15:paraId="1A12434E" w15:done="1"/>
  <w15:commentEx w15:paraId="59C4CA84" w15:done="1"/>
  <w15:commentEx w15:paraId="5D42E038" w15:paraIdParent="59C4CA84"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3AD4E8" w16cex:dateUtc="2020-10-21T19:40:00Z"/>
  <w16cex:commentExtensible w16cex:durableId="235F6AE3" w16cex:dateUtc="2020-11-18T14:41:00Z"/>
  <w16cex:commentExtensible w16cex:durableId="235F6D8B" w16cex:dateUtc="2020-11-18T14:53:00Z"/>
  <w16cex:commentExtensible w16cex:durableId="23591D0D" w16cex:dateUtc="2020-11-13T19: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1653CC4" w16cid:durableId="2337F73D"/>
  <w16cid:commentId w16cid:paraId="358E92F0" w16cid:durableId="233AD4E8"/>
  <w16cid:commentId w16cid:paraId="5635BADA" w16cid:durableId="2337F744"/>
  <w16cid:commentId w16cid:paraId="0B292284" w16cid:durableId="2337F745"/>
  <w16cid:commentId w16cid:paraId="0872145E" w16cid:durableId="235F6AE3"/>
  <w16cid:commentId w16cid:paraId="41DC5023" w16cid:durableId="235F6829"/>
  <w16cid:commentId w16cid:paraId="219A04D9" w16cid:durableId="235F6D8B"/>
  <w16cid:commentId w16cid:paraId="39BADA06" w16cid:durableId="235F682B"/>
  <w16cid:commentId w16cid:paraId="1A12434E" w16cid:durableId="2337F74B"/>
  <w16cid:commentId w16cid:paraId="59C4CA84" w16cid:durableId="2337F74C"/>
  <w16cid:commentId w16cid:paraId="5D42E038" w16cid:durableId="23591D0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20AA53" w14:textId="77777777" w:rsidR="0040071C" w:rsidRDefault="0040071C">
      <w:pPr>
        <w:spacing w:line="240" w:lineRule="auto"/>
      </w:pPr>
      <w:r>
        <w:separator/>
      </w:r>
    </w:p>
  </w:endnote>
  <w:endnote w:type="continuationSeparator" w:id="0">
    <w:p w14:paraId="703033B6" w14:textId="77777777" w:rsidR="0040071C" w:rsidRDefault="004007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C3E9C" w14:textId="77777777" w:rsidR="00FC7093" w:rsidRPr="009409DB" w:rsidRDefault="00FC7093" w:rsidP="00AF4EF0">
    <w:pPr>
      <w:pStyle w:val="Footer"/>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E89636" w14:textId="77777777" w:rsidR="00FC7093" w:rsidRPr="008B308E" w:rsidRDefault="00FC7093" w:rsidP="008F35AE">
    <w:pPr>
      <w:pStyle w:val="MDPIfooterfirstpage"/>
      <w:spacing w:line="240" w:lineRule="auto"/>
      <w:jc w:val="both"/>
      <w:rPr>
        <w:lang w:val="fr-CH"/>
      </w:rPr>
    </w:pPr>
    <w:proofErr w:type="spellStart"/>
    <w:r w:rsidRPr="001A6ACD">
      <w:rPr>
        <w:i/>
        <w:szCs w:val="16"/>
        <w:lang w:val="fr-CH"/>
      </w:rPr>
      <w:t>Remote</w:t>
    </w:r>
    <w:proofErr w:type="spellEnd"/>
    <w:r w:rsidRPr="001A6ACD">
      <w:rPr>
        <w:i/>
        <w:szCs w:val="16"/>
        <w:lang w:val="fr-CH"/>
      </w:rPr>
      <w:t xml:space="preserve"> Sens.</w:t>
    </w:r>
    <w:r w:rsidRPr="001A6ACD">
      <w:rPr>
        <w:szCs w:val="16"/>
        <w:lang w:val="fr-CH"/>
      </w:rPr>
      <w:t xml:space="preserve"> </w:t>
    </w:r>
    <w:r w:rsidRPr="00046F7B">
      <w:rPr>
        <w:b/>
        <w:szCs w:val="16"/>
        <w:lang w:val="fr-CH"/>
      </w:rPr>
      <w:t>20</w:t>
    </w:r>
    <w:r>
      <w:rPr>
        <w:b/>
        <w:szCs w:val="16"/>
        <w:lang w:val="fr-CH"/>
      </w:rPr>
      <w:t>20</w:t>
    </w:r>
    <w:r w:rsidRPr="00046F7B">
      <w:rPr>
        <w:szCs w:val="16"/>
        <w:lang w:val="fr-CH"/>
      </w:rPr>
      <w:t xml:space="preserve">, </w:t>
    </w:r>
    <w:r w:rsidRPr="00046F7B">
      <w:rPr>
        <w:i/>
        <w:szCs w:val="16"/>
        <w:lang w:val="fr-CH"/>
      </w:rPr>
      <w:t>1</w:t>
    </w:r>
    <w:r>
      <w:rPr>
        <w:i/>
        <w:szCs w:val="16"/>
        <w:lang w:val="fr-CH"/>
      </w:rPr>
      <w:t>2</w:t>
    </w:r>
    <w:r w:rsidRPr="00046F7B">
      <w:rPr>
        <w:szCs w:val="16"/>
        <w:lang w:val="fr-CH"/>
      </w:rPr>
      <w:t xml:space="preserve">, </w:t>
    </w:r>
    <w:proofErr w:type="gramStart"/>
    <w:r>
      <w:rPr>
        <w:szCs w:val="16"/>
        <w:lang w:val="fr-CH"/>
      </w:rPr>
      <w:t>x;</w:t>
    </w:r>
    <w:proofErr w:type="gramEnd"/>
    <w:r>
      <w:rPr>
        <w:szCs w:val="16"/>
        <w:lang w:val="fr-CH"/>
      </w:rPr>
      <w:t xml:space="preserve"> </w:t>
    </w:r>
    <w:proofErr w:type="spellStart"/>
    <w:r>
      <w:rPr>
        <w:szCs w:val="16"/>
        <w:lang w:val="fr-CH"/>
      </w:rPr>
      <w:t>doi</w:t>
    </w:r>
    <w:proofErr w:type="spellEnd"/>
    <w:r>
      <w:rPr>
        <w:szCs w:val="16"/>
        <w:lang w:val="fr-CH"/>
      </w:rPr>
      <w:t>: FOR PEER REVIEW</w:t>
    </w:r>
    <w:r w:rsidRPr="008B308E">
      <w:rPr>
        <w:lang w:val="fr-CH"/>
      </w:rPr>
      <w:tab/>
      <w:t>www.mdpi.com/journal/</w:t>
    </w:r>
    <w:proofErr w:type="spellStart"/>
    <w:r w:rsidRPr="00BC5ABD">
      <w:t>remotesensing</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FEA4461" w14:textId="77777777" w:rsidR="0040071C" w:rsidRDefault="0040071C">
      <w:pPr>
        <w:spacing w:line="240" w:lineRule="auto"/>
      </w:pPr>
      <w:r>
        <w:separator/>
      </w:r>
    </w:p>
  </w:footnote>
  <w:footnote w:type="continuationSeparator" w:id="0">
    <w:p w14:paraId="14CF60E5" w14:textId="77777777" w:rsidR="0040071C" w:rsidRDefault="0040071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6E6085" w14:textId="77777777" w:rsidR="00FC7093" w:rsidRDefault="00FC7093" w:rsidP="00AF4EF0">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74EEE9" w14:textId="77777777" w:rsidR="00FC7093" w:rsidRPr="00BA2DE7" w:rsidRDefault="00FC7093" w:rsidP="008F35AE">
    <w:pPr>
      <w:tabs>
        <w:tab w:val="right" w:pos="8844"/>
      </w:tabs>
      <w:adjustRightInd w:val="0"/>
      <w:snapToGrid w:val="0"/>
      <w:spacing w:after="240" w:line="240" w:lineRule="auto"/>
      <w:rPr>
        <w:rFonts w:ascii="Palatino Linotype" w:hAnsi="Palatino Linotype"/>
        <w:sz w:val="16"/>
      </w:rPr>
    </w:pPr>
    <w:r>
      <w:rPr>
        <w:rFonts w:ascii="Palatino Linotype" w:hAnsi="Palatino Linotype"/>
        <w:i/>
        <w:sz w:val="16"/>
      </w:rPr>
      <w:t xml:space="preserve">Remote Sens. </w:t>
    </w:r>
    <w:r w:rsidRPr="00046F7B">
      <w:rPr>
        <w:rFonts w:ascii="Palatino Linotype" w:hAnsi="Palatino Linotype"/>
        <w:b/>
        <w:sz w:val="16"/>
      </w:rPr>
      <w:t>20</w:t>
    </w:r>
    <w:r>
      <w:rPr>
        <w:rFonts w:ascii="Palatino Linotype" w:hAnsi="Palatino Linotype"/>
        <w:b/>
        <w:sz w:val="16"/>
      </w:rPr>
      <w:t>20</w:t>
    </w:r>
    <w:r w:rsidRPr="00046F7B">
      <w:rPr>
        <w:rFonts w:ascii="Palatino Linotype" w:hAnsi="Palatino Linotype"/>
        <w:sz w:val="16"/>
      </w:rPr>
      <w:t xml:space="preserve">, </w:t>
    </w:r>
    <w:r w:rsidRPr="00046F7B">
      <w:rPr>
        <w:rFonts w:ascii="Palatino Linotype" w:hAnsi="Palatino Linotype"/>
        <w:i/>
        <w:sz w:val="16"/>
      </w:rPr>
      <w:t>1</w:t>
    </w:r>
    <w:r>
      <w:rPr>
        <w:rFonts w:ascii="Palatino Linotype" w:hAnsi="Palatino Linotype"/>
        <w:i/>
        <w:sz w:val="16"/>
      </w:rPr>
      <w:t>2</w:t>
    </w:r>
    <w:r>
      <w:rPr>
        <w:rFonts w:ascii="Palatino Linotype" w:hAnsi="Palatino Linotype"/>
        <w:sz w:val="16"/>
      </w:rPr>
      <w:t>, x FOR PEER REVIEW</w:t>
    </w:r>
    <w:r>
      <w:rPr>
        <w:rFonts w:ascii="Palatino Linotype" w:hAnsi="Palatino Linotype"/>
        <w:sz w:val="16"/>
      </w:rPr>
      <w:tab/>
    </w:r>
    <w:r>
      <w:rPr>
        <w:rFonts w:ascii="Palatino Linotype" w:hAnsi="Palatino Linotype"/>
        <w:sz w:val="16"/>
      </w:rPr>
      <w:fldChar w:fldCharType="begin"/>
    </w:r>
    <w:r>
      <w:rPr>
        <w:rFonts w:ascii="Palatino Linotype" w:hAnsi="Palatino Linotype"/>
        <w:sz w:val="16"/>
      </w:rPr>
      <w:instrText xml:space="preserve"> PAGE   \* MERGEFORMAT </w:instrText>
    </w:r>
    <w:r>
      <w:rPr>
        <w:rFonts w:ascii="Palatino Linotype" w:hAnsi="Palatino Linotype"/>
        <w:sz w:val="16"/>
      </w:rPr>
      <w:fldChar w:fldCharType="separate"/>
    </w:r>
    <w:r>
      <w:rPr>
        <w:rFonts w:ascii="Palatino Linotype" w:hAnsi="Palatino Linotype"/>
        <w:noProof/>
        <w:sz w:val="16"/>
      </w:rPr>
      <w:t>13</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 MERGEFORMAT </w:instrText>
    </w:r>
    <w:r>
      <w:rPr>
        <w:rFonts w:ascii="Palatino Linotype" w:hAnsi="Palatino Linotype"/>
        <w:sz w:val="16"/>
      </w:rPr>
      <w:fldChar w:fldCharType="separate"/>
    </w:r>
    <w:r>
      <w:rPr>
        <w:rFonts w:ascii="Palatino Linotype" w:hAnsi="Palatino Linotype"/>
        <w:noProof/>
        <w:sz w:val="16"/>
      </w:rPr>
      <w:t>15</w:t>
    </w:r>
    <w:r>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B1749D" w14:textId="77777777" w:rsidR="00FC7093" w:rsidRDefault="00FC7093" w:rsidP="00AF4EF0">
    <w:pPr>
      <w:pStyle w:val="MDPIheaderjournallogo"/>
    </w:pPr>
    <w:r w:rsidRPr="00D86D8E">
      <w:rPr>
        <w:i w:val="0"/>
        <w:noProof/>
        <w:szCs w:val="16"/>
        <w:lang w:eastAsia="zh-CN"/>
      </w:rPr>
      <mc:AlternateContent>
        <mc:Choice Requires="wps">
          <w:drawing>
            <wp:anchor distT="45720" distB="45720" distL="114300" distR="114300" simplePos="0" relativeHeight="251657728" behindDoc="1" locked="0" layoutInCell="1" allowOverlap="1" wp14:anchorId="5B0F29A5" wp14:editId="6FBD7C13">
              <wp:simplePos x="0" y="0"/>
              <wp:positionH relativeFrom="page">
                <wp:posOffset>6029960</wp:posOffset>
              </wp:positionH>
              <wp:positionV relativeFrom="page">
                <wp:posOffset>647700</wp:posOffset>
              </wp:positionV>
              <wp:extent cx="548005"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8005" cy="709295"/>
                      </a:xfrm>
                      <a:prstGeom prst="rect">
                        <a:avLst/>
                      </a:prstGeom>
                      <a:solidFill>
                        <a:srgbClr val="FFFFFF"/>
                      </a:solidFill>
                      <a:ln w="9525">
                        <a:noFill/>
                        <a:miter lim="800000"/>
                        <a:headEnd/>
                        <a:tailEnd/>
                      </a:ln>
                    </wps:spPr>
                    <wps:txbx>
                      <w:txbxContent>
                        <w:p w14:paraId="0938602C" w14:textId="77777777" w:rsidR="00FC7093" w:rsidRDefault="00FC7093" w:rsidP="00AF4EF0">
                          <w:pPr>
                            <w:pStyle w:val="MDPIheaderjournallogo"/>
                            <w:jc w:val="center"/>
                            <w:rPr>
                              <w:i w:val="0"/>
                              <w:szCs w:val="16"/>
                            </w:rPr>
                          </w:pPr>
                          <w:r w:rsidRPr="0014356F">
                            <w:rPr>
                              <w:i w:val="0"/>
                              <w:noProof/>
                              <w:szCs w:val="16"/>
                              <w:lang w:eastAsia="zh-CN"/>
                            </w:rPr>
                            <w:drawing>
                              <wp:inline distT="0" distB="0" distL="0" distR="0" wp14:anchorId="38BDDD18" wp14:editId="66D7ACA5">
                                <wp:extent cx="538480" cy="35560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8480" cy="3556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0F29A5" id="_x0000_t202" coordsize="21600,21600" o:spt="202" path="m,l,21600r21600,l21600,xe">
              <v:stroke joinstyle="miter"/>
              <v:path gradientshapeok="t" o:connecttype="rect"/>
            </v:shapetype>
            <v:shape id="Text Box 2" o:spid="_x0000_s1026" type="#_x0000_t202" style="position:absolute;margin-left:474.8pt;margin-top:51pt;width:43.15pt;height:55.85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" stroked="f">
              <v:textbox inset="0,0,0,0">
                <w:txbxContent>
                  <w:p w14:paraId="0938602C" w14:textId="77777777" w:rsidR="00FC7093" w:rsidRDefault="00FC7093" w:rsidP="00AF4EF0">
                    <w:pPr>
                      <w:pStyle w:val="MDPIheaderjournallogo"/>
                      <w:jc w:val="center"/>
                      <w:rPr>
                        <w:i w:val="0"/>
                        <w:szCs w:val="16"/>
                      </w:rPr>
                    </w:pPr>
                    <w:r w:rsidRPr="0014356F">
                      <w:rPr>
                        <w:i w:val="0"/>
                        <w:noProof/>
                        <w:szCs w:val="16"/>
                        <w:lang w:eastAsia="zh-CN"/>
                      </w:rPr>
                      <w:drawing>
                        <wp:inline distT="0" distB="0" distL="0" distR="0" wp14:anchorId="38BDDD18" wp14:editId="66D7ACA5">
                          <wp:extent cx="538480" cy="355600"/>
                          <wp:effectExtent l="0" t="0" r="0" b="0"/>
                          <wp:docPr id="5" name="Picture 3" descr="C:\Users\home\Desktop\logos\ori\png\logo-mdpi.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8480" cy="355600"/>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534DDCA3" wp14:editId="6D163D3E">
          <wp:extent cx="2286000" cy="426720"/>
          <wp:effectExtent l="0" t="0" r="0" b="0"/>
          <wp:docPr id="4" name="Picture 6" descr="C:\Users\home\AppData\Local\Temp\HZ$D.661.3546\remotesensing-logo.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home\AppData\Local\Temp\HZ$D.661.3546\remotesensing-logo.png"/>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86000" cy="42672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Lisan Yu">
    <w15:presenceInfo w15:providerId="Windows Live" w15:userId="7d3266433260a3d8"/>
  </w15:person>
  <w15:person w15:author="Bingham, Frederick">
    <w15:presenceInfo w15:providerId="AD" w15:userId="S::binghamf@uncw.edu::35d40214-d57b-439f-a36a-1c4bd38d17e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bordersDoNotSurroundHeader/>
  <w:bordersDoNotSurroundFooter/>
  <w:proofState w:spelling="clean" w:grammar="clean"/>
  <w:attachedTemplate r:id="rId1"/>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5479"/>
    <w:rsid w:val="0000116C"/>
    <w:rsid w:val="00002633"/>
    <w:rsid w:val="00005F58"/>
    <w:rsid w:val="00007611"/>
    <w:rsid w:val="00011DEF"/>
    <w:rsid w:val="000121AE"/>
    <w:rsid w:val="00022AEA"/>
    <w:rsid w:val="00030723"/>
    <w:rsid w:val="000327C4"/>
    <w:rsid w:val="00042182"/>
    <w:rsid w:val="0004307C"/>
    <w:rsid w:val="00046F7B"/>
    <w:rsid w:val="00047F5E"/>
    <w:rsid w:val="000573B3"/>
    <w:rsid w:val="00057911"/>
    <w:rsid w:val="00057A11"/>
    <w:rsid w:val="00060364"/>
    <w:rsid w:val="00062A3D"/>
    <w:rsid w:val="00074485"/>
    <w:rsid w:val="000748CA"/>
    <w:rsid w:val="00082BAD"/>
    <w:rsid w:val="00086505"/>
    <w:rsid w:val="00090FD0"/>
    <w:rsid w:val="00091C0A"/>
    <w:rsid w:val="0009328C"/>
    <w:rsid w:val="00093CA7"/>
    <w:rsid w:val="00094925"/>
    <w:rsid w:val="000A06E3"/>
    <w:rsid w:val="000A2A82"/>
    <w:rsid w:val="000A455D"/>
    <w:rsid w:val="000A5E71"/>
    <w:rsid w:val="000B2146"/>
    <w:rsid w:val="000B500E"/>
    <w:rsid w:val="000C018B"/>
    <w:rsid w:val="000C0E05"/>
    <w:rsid w:val="000C1B64"/>
    <w:rsid w:val="000C3591"/>
    <w:rsid w:val="000D1F74"/>
    <w:rsid w:val="000E01C1"/>
    <w:rsid w:val="000E1402"/>
    <w:rsid w:val="000E301E"/>
    <w:rsid w:val="000E4232"/>
    <w:rsid w:val="000F2039"/>
    <w:rsid w:val="000F6A97"/>
    <w:rsid w:val="00115438"/>
    <w:rsid w:val="00121858"/>
    <w:rsid w:val="00122027"/>
    <w:rsid w:val="00126029"/>
    <w:rsid w:val="00131C47"/>
    <w:rsid w:val="00134E85"/>
    <w:rsid w:val="00137FC7"/>
    <w:rsid w:val="00142275"/>
    <w:rsid w:val="00142D8E"/>
    <w:rsid w:val="0014356F"/>
    <w:rsid w:val="00143FC1"/>
    <w:rsid w:val="00144A9D"/>
    <w:rsid w:val="0016220D"/>
    <w:rsid w:val="00163FA1"/>
    <w:rsid w:val="0016452A"/>
    <w:rsid w:val="001702BD"/>
    <w:rsid w:val="00171DDA"/>
    <w:rsid w:val="00184CAA"/>
    <w:rsid w:val="00185E1B"/>
    <w:rsid w:val="0019088E"/>
    <w:rsid w:val="001A23A7"/>
    <w:rsid w:val="001A3C1C"/>
    <w:rsid w:val="001A4F82"/>
    <w:rsid w:val="001A4F98"/>
    <w:rsid w:val="001B04A4"/>
    <w:rsid w:val="001B3A7C"/>
    <w:rsid w:val="001B4287"/>
    <w:rsid w:val="001B5EEF"/>
    <w:rsid w:val="001B75F5"/>
    <w:rsid w:val="001C2A07"/>
    <w:rsid w:val="001C2AC5"/>
    <w:rsid w:val="001D12F3"/>
    <w:rsid w:val="001D1F82"/>
    <w:rsid w:val="001D49EA"/>
    <w:rsid w:val="001E2AEB"/>
    <w:rsid w:val="001E3BD5"/>
    <w:rsid w:val="001F0914"/>
    <w:rsid w:val="001F44FC"/>
    <w:rsid w:val="001F4D51"/>
    <w:rsid w:val="00201AFC"/>
    <w:rsid w:val="002032B2"/>
    <w:rsid w:val="00205AEE"/>
    <w:rsid w:val="00206085"/>
    <w:rsid w:val="00206F56"/>
    <w:rsid w:val="0021065E"/>
    <w:rsid w:val="00212A6D"/>
    <w:rsid w:val="00213AE3"/>
    <w:rsid w:val="00215E17"/>
    <w:rsid w:val="00216799"/>
    <w:rsid w:val="00222730"/>
    <w:rsid w:val="00226B97"/>
    <w:rsid w:val="00226F27"/>
    <w:rsid w:val="00231923"/>
    <w:rsid w:val="0024158E"/>
    <w:rsid w:val="0024314E"/>
    <w:rsid w:val="00245FFF"/>
    <w:rsid w:val="00250B18"/>
    <w:rsid w:val="00251442"/>
    <w:rsid w:val="002537D1"/>
    <w:rsid w:val="00255131"/>
    <w:rsid w:val="002637DA"/>
    <w:rsid w:val="00264956"/>
    <w:rsid w:val="0026525E"/>
    <w:rsid w:val="00276940"/>
    <w:rsid w:val="0029033F"/>
    <w:rsid w:val="00291320"/>
    <w:rsid w:val="002A0273"/>
    <w:rsid w:val="002A13A4"/>
    <w:rsid w:val="002A334A"/>
    <w:rsid w:val="002A5BE6"/>
    <w:rsid w:val="002A6886"/>
    <w:rsid w:val="002B1964"/>
    <w:rsid w:val="002B3773"/>
    <w:rsid w:val="002B3D35"/>
    <w:rsid w:val="002C52F7"/>
    <w:rsid w:val="002C5C0F"/>
    <w:rsid w:val="002D310C"/>
    <w:rsid w:val="002D7786"/>
    <w:rsid w:val="002F334E"/>
    <w:rsid w:val="002F526F"/>
    <w:rsid w:val="00303719"/>
    <w:rsid w:val="003112CE"/>
    <w:rsid w:val="0032342D"/>
    <w:rsid w:val="00326141"/>
    <w:rsid w:val="00335465"/>
    <w:rsid w:val="003372B1"/>
    <w:rsid w:val="00341F64"/>
    <w:rsid w:val="0035397E"/>
    <w:rsid w:val="003547FB"/>
    <w:rsid w:val="00355D6A"/>
    <w:rsid w:val="00356044"/>
    <w:rsid w:val="00367CC6"/>
    <w:rsid w:val="0037159F"/>
    <w:rsid w:val="003808C6"/>
    <w:rsid w:val="0038111D"/>
    <w:rsid w:val="00395E0A"/>
    <w:rsid w:val="003A4C39"/>
    <w:rsid w:val="003A53B8"/>
    <w:rsid w:val="003B1493"/>
    <w:rsid w:val="003B4960"/>
    <w:rsid w:val="003C1FCD"/>
    <w:rsid w:val="003D0E1C"/>
    <w:rsid w:val="003D285E"/>
    <w:rsid w:val="003D3628"/>
    <w:rsid w:val="003E23FF"/>
    <w:rsid w:val="003E348F"/>
    <w:rsid w:val="003E55CF"/>
    <w:rsid w:val="004003EE"/>
    <w:rsid w:val="0040071C"/>
    <w:rsid w:val="00401D30"/>
    <w:rsid w:val="00407DB1"/>
    <w:rsid w:val="004141E1"/>
    <w:rsid w:val="00416E69"/>
    <w:rsid w:val="00421D59"/>
    <w:rsid w:val="00422C0A"/>
    <w:rsid w:val="00424463"/>
    <w:rsid w:val="00426267"/>
    <w:rsid w:val="00446DB2"/>
    <w:rsid w:val="0045620B"/>
    <w:rsid w:val="00470B1F"/>
    <w:rsid w:val="0047521D"/>
    <w:rsid w:val="004772DA"/>
    <w:rsid w:val="0048085C"/>
    <w:rsid w:val="00481EF0"/>
    <w:rsid w:val="004820E7"/>
    <w:rsid w:val="00491017"/>
    <w:rsid w:val="0049499F"/>
    <w:rsid w:val="004A0E6B"/>
    <w:rsid w:val="004A1311"/>
    <w:rsid w:val="004A3C5E"/>
    <w:rsid w:val="004A4813"/>
    <w:rsid w:val="004A59D2"/>
    <w:rsid w:val="004A7074"/>
    <w:rsid w:val="004B0F77"/>
    <w:rsid w:val="004B67BF"/>
    <w:rsid w:val="004B69F0"/>
    <w:rsid w:val="004C7278"/>
    <w:rsid w:val="004C7A2C"/>
    <w:rsid w:val="004E71B8"/>
    <w:rsid w:val="00524B85"/>
    <w:rsid w:val="00524EED"/>
    <w:rsid w:val="00527B29"/>
    <w:rsid w:val="00527E97"/>
    <w:rsid w:val="0053017C"/>
    <w:rsid w:val="00540515"/>
    <w:rsid w:val="00546EAA"/>
    <w:rsid w:val="00547E53"/>
    <w:rsid w:val="005511D5"/>
    <w:rsid w:val="00554D52"/>
    <w:rsid w:val="005555CC"/>
    <w:rsid w:val="00562095"/>
    <w:rsid w:val="00564C63"/>
    <w:rsid w:val="005721AB"/>
    <w:rsid w:val="00573356"/>
    <w:rsid w:val="00573CBD"/>
    <w:rsid w:val="00574F2C"/>
    <w:rsid w:val="00576EEE"/>
    <w:rsid w:val="00583BB7"/>
    <w:rsid w:val="00585D2B"/>
    <w:rsid w:val="005946E0"/>
    <w:rsid w:val="0059713D"/>
    <w:rsid w:val="005A4A77"/>
    <w:rsid w:val="005A6658"/>
    <w:rsid w:val="005B0A60"/>
    <w:rsid w:val="005C276A"/>
    <w:rsid w:val="005C5825"/>
    <w:rsid w:val="005C6C29"/>
    <w:rsid w:val="005C7C98"/>
    <w:rsid w:val="005D2774"/>
    <w:rsid w:val="005D61D3"/>
    <w:rsid w:val="005D7BEE"/>
    <w:rsid w:val="005E350A"/>
    <w:rsid w:val="005F25E3"/>
    <w:rsid w:val="005F58D9"/>
    <w:rsid w:val="00607953"/>
    <w:rsid w:val="006118B4"/>
    <w:rsid w:val="00611D0B"/>
    <w:rsid w:val="00615C1F"/>
    <w:rsid w:val="00623E0D"/>
    <w:rsid w:val="00624750"/>
    <w:rsid w:val="00626798"/>
    <w:rsid w:val="00627855"/>
    <w:rsid w:val="006312BC"/>
    <w:rsid w:val="00641625"/>
    <w:rsid w:val="006427B6"/>
    <w:rsid w:val="0064687B"/>
    <w:rsid w:val="00646B81"/>
    <w:rsid w:val="006507CE"/>
    <w:rsid w:val="00660547"/>
    <w:rsid w:val="00663A66"/>
    <w:rsid w:val="0066745C"/>
    <w:rsid w:val="0068459E"/>
    <w:rsid w:val="00685444"/>
    <w:rsid w:val="00685AA7"/>
    <w:rsid w:val="00685F13"/>
    <w:rsid w:val="00692393"/>
    <w:rsid w:val="006A480C"/>
    <w:rsid w:val="006A567D"/>
    <w:rsid w:val="006A6B9B"/>
    <w:rsid w:val="006A7C64"/>
    <w:rsid w:val="006B0C68"/>
    <w:rsid w:val="006B25C9"/>
    <w:rsid w:val="006B3DBC"/>
    <w:rsid w:val="006B420C"/>
    <w:rsid w:val="006C589D"/>
    <w:rsid w:val="006D0500"/>
    <w:rsid w:val="006D7A92"/>
    <w:rsid w:val="006E1E0E"/>
    <w:rsid w:val="006E4087"/>
    <w:rsid w:val="006E56E4"/>
    <w:rsid w:val="006F06E2"/>
    <w:rsid w:val="006F0FBA"/>
    <w:rsid w:val="006F144F"/>
    <w:rsid w:val="006F1A64"/>
    <w:rsid w:val="00701344"/>
    <w:rsid w:val="007028B1"/>
    <w:rsid w:val="00704B5D"/>
    <w:rsid w:val="0070545A"/>
    <w:rsid w:val="00705996"/>
    <w:rsid w:val="00711051"/>
    <w:rsid w:val="00720109"/>
    <w:rsid w:val="007206D4"/>
    <w:rsid w:val="0073658E"/>
    <w:rsid w:val="00742FE3"/>
    <w:rsid w:val="00744395"/>
    <w:rsid w:val="00744DF6"/>
    <w:rsid w:val="007454B9"/>
    <w:rsid w:val="00745548"/>
    <w:rsid w:val="00750BA0"/>
    <w:rsid w:val="00756110"/>
    <w:rsid w:val="00756E62"/>
    <w:rsid w:val="0075720A"/>
    <w:rsid w:val="00757A65"/>
    <w:rsid w:val="007621CD"/>
    <w:rsid w:val="00764428"/>
    <w:rsid w:val="007670AE"/>
    <w:rsid w:val="007729B8"/>
    <w:rsid w:val="00777B91"/>
    <w:rsid w:val="00781074"/>
    <w:rsid w:val="00782E7E"/>
    <w:rsid w:val="007831BB"/>
    <w:rsid w:val="007834B5"/>
    <w:rsid w:val="0079733B"/>
    <w:rsid w:val="007A21F4"/>
    <w:rsid w:val="007A3215"/>
    <w:rsid w:val="007A33C9"/>
    <w:rsid w:val="007A7267"/>
    <w:rsid w:val="007B631D"/>
    <w:rsid w:val="007B703B"/>
    <w:rsid w:val="007B775C"/>
    <w:rsid w:val="007C1EF3"/>
    <w:rsid w:val="007C60A5"/>
    <w:rsid w:val="007D2DB3"/>
    <w:rsid w:val="007D3C68"/>
    <w:rsid w:val="007D60C4"/>
    <w:rsid w:val="007E1771"/>
    <w:rsid w:val="007E3B84"/>
    <w:rsid w:val="007E4391"/>
    <w:rsid w:val="007E56B9"/>
    <w:rsid w:val="007F0FE5"/>
    <w:rsid w:val="007F64FC"/>
    <w:rsid w:val="00801114"/>
    <w:rsid w:val="00804483"/>
    <w:rsid w:val="008077F5"/>
    <w:rsid w:val="008138E5"/>
    <w:rsid w:val="0083551B"/>
    <w:rsid w:val="00843F82"/>
    <w:rsid w:val="00844180"/>
    <w:rsid w:val="0086191E"/>
    <w:rsid w:val="008660E4"/>
    <w:rsid w:val="00866C78"/>
    <w:rsid w:val="008744A3"/>
    <w:rsid w:val="0088053B"/>
    <w:rsid w:val="00880C6A"/>
    <w:rsid w:val="00890D3E"/>
    <w:rsid w:val="00895168"/>
    <w:rsid w:val="00897907"/>
    <w:rsid w:val="00897ED3"/>
    <w:rsid w:val="008A69EF"/>
    <w:rsid w:val="008B0C7D"/>
    <w:rsid w:val="008B1013"/>
    <w:rsid w:val="008C0465"/>
    <w:rsid w:val="008C2B22"/>
    <w:rsid w:val="008C52CC"/>
    <w:rsid w:val="008D56AD"/>
    <w:rsid w:val="008D5B7C"/>
    <w:rsid w:val="008E3C66"/>
    <w:rsid w:val="008E4D48"/>
    <w:rsid w:val="008E6049"/>
    <w:rsid w:val="008F2F50"/>
    <w:rsid w:val="008F35AE"/>
    <w:rsid w:val="008F5619"/>
    <w:rsid w:val="008F5DF6"/>
    <w:rsid w:val="00900AE6"/>
    <w:rsid w:val="00903813"/>
    <w:rsid w:val="0090741A"/>
    <w:rsid w:val="00910D8F"/>
    <w:rsid w:val="009228A8"/>
    <w:rsid w:val="00924EFD"/>
    <w:rsid w:val="009309CE"/>
    <w:rsid w:val="0093387F"/>
    <w:rsid w:val="009363D5"/>
    <w:rsid w:val="00937712"/>
    <w:rsid w:val="009409D7"/>
    <w:rsid w:val="00940A31"/>
    <w:rsid w:val="0094180B"/>
    <w:rsid w:val="00943B63"/>
    <w:rsid w:val="00953C53"/>
    <w:rsid w:val="00963D06"/>
    <w:rsid w:val="00971467"/>
    <w:rsid w:val="009744D1"/>
    <w:rsid w:val="00977D2C"/>
    <w:rsid w:val="0098138E"/>
    <w:rsid w:val="00987B63"/>
    <w:rsid w:val="0099056D"/>
    <w:rsid w:val="0099337D"/>
    <w:rsid w:val="00995B43"/>
    <w:rsid w:val="009A149A"/>
    <w:rsid w:val="009A4EAD"/>
    <w:rsid w:val="009B3E62"/>
    <w:rsid w:val="009B6A30"/>
    <w:rsid w:val="009B7215"/>
    <w:rsid w:val="009B79E9"/>
    <w:rsid w:val="009C3B8E"/>
    <w:rsid w:val="009C4AB5"/>
    <w:rsid w:val="009C67CD"/>
    <w:rsid w:val="009C70C1"/>
    <w:rsid w:val="009C768D"/>
    <w:rsid w:val="009C7A20"/>
    <w:rsid w:val="009D2A83"/>
    <w:rsid w:val="009D4373"/>
    <w:rsid w:val="009E08FD"/>
    <w:rsid w:val="009E11B1"/>
    <w:rsid w:val="009E1EAD"/>
    <w:rsid w:val="009E414A"/>
    <w:rsid w:val="009E682A"/>
    <w:rsid w:val="009F1318"/>
    <w:rsid w:val="009F2B1C"/>
    <w:rsid w:val="009F70E6"/>
    <w:rsid w:val="00A04303"/>
    <w:rsid w:val="00A11908"/>
    <w:rsid w:val="00A16679"/>
    <w:rsid w:val="00A2333E"/>
    <w:rsid w:val="00A24361"/>
    <w:rsid w:val="00A26C67"/>
    <w:rsid w:val="00A271B9"/>
    <w:rsid w:val="00A30881"/>
    <w:rsid w:val="00A316B1"/>
    <w:rsid w:val="00A33042"/>
    <w:rsid w:val="00A3354A"/>
    <w:rsid w:val="00A4584B"/>
    <w:rsid w:val="00A46B42"/>
    <w:rsid w:val="00A46D74"/>
    <w:rsid w:val="00A502FC"/>
    <w:rsid w:val="00A51DAD"/>
    <w:rsid w:val="00A60934"/>
    <w:rsid w:val="00A65716"/>
    <w:rsid w:val="00A65F11"/>
    <w:rsid w:val="00A87BE8"/>
    <w:rsid w:val="00A900CE"/>
    <w:rsid w:val="00A92BC3"/>
    <w:rsid w:val="00A942E7"/>
    <w:rsid w:val="00AA0B13"/>
    <w:rsid w:val="00AA2258"/>
    <w:rsid w:val="00AA55DC"/>
    <w:rsid w:val="00AA6E73"/>
    <w:rsid w:val="00AA7EDE"/>
    <w:rsid w:val="00AB3B86"/>
    <w:rsid w:val="00AB56AB"/>
    <w:rsid w:val="00AB73D5"/>
    <w:rsid w:val="00AC4080"/>
    <w:rsid w:val="00AC73FB"/>
    <w:rsid w:val="00AD28C4"/>
    <w:rsid w:val="00AD586D"/>
    <w:rsid w:val="00AE06A7"/>
    <w:rsid w:val="00AE393E"/>
    <w:rsid w:val="00AF0991"/>
    <w:rsid w:val="00AF4C3D"/>
    <w:rsid w:val="00AF4EF0"/>
    <w:rsid w:val="00AF671C"/>
    <w:rsid w:val="00B06DAA"/>
    <w:rsid w:val="00B22F0C"/>
    <w:rsid w:val="00B236E5"/>
    <w:rsid w:val="00B26B07"/>
    <w:rsid w:val="00B34414"/>
    <w:rsid w:val="00B438D1"/>
    <w:rsid w:val="00B47BE2"/>
    <w:rsid w:val="00B52A34"/>
    <w:rsid w:val="00B60FF2"/>
    <w:rsid w:val="00B61E1A"/>
    <w:rsid w:val="00B654A5"/>
    <w:rsid w:val="00B700FD"/>
    <w:rsid w:val="00B7266E"/>
    <w:rsid w:val="00B77C16"/>
    <w:rsid w:val="00B83869"/>
    <w:rsid w:val="00B958CE"/>
    <w:rsid w:val="00BA29D8"/>
    <w:rsid w:val="00BA3DD3"/>
    <w:rsid w:val="00BA5C20"/>
    <w:rsid w:val="00BA7024"/>
    <w:rsid w:val="00BB00FB"/>
    <w:rsid w:val="00BB391A"/>
    <w:rsid w:val="00BB7097"/>
    <w:rsid w:val="00BC1332"/>
    <w:rsid w:val="00BC3BFE"/>
    <w:rsid w:val="00BC7A14"/>
    <w:rsid w:val="00BD3F0F"/>
    <w:rsid w:val="00BD7E89"/>
    <w:rsid w:val="00BE08DF"/>
    <w:rsid w:val="00BE6077"/>
    <w:rsid w:val="00BE6390"/>
    <w:rsid w:val="00BF4204"/>
    <w:rsid w:val="00C055D7"/>
    <w:rsid w:val="00C10030"/>
    <w:rsid w:val="00C14461"/>
    <w:rsid w:val="00C14835"/>
    <w:rsid w:val="00C166DC"/>
    <w:rsid w:val="00C22C13"/>
    <w:rsid w:val="00C26E4C"/>
    <w:rsid w:val="00C2770C"/>
    <w:rsid w:val="00C319D0"/>
    <w:rsid w:val="00C33E77"/>
    <w:rsid w:val="00C35DB2"/>
    <w:rsid w:val="00C37D4E"/>
    <w:rsid w:val="00C45F42"/>
    <w:rsid w:val="00C52865"/>
    <w:rsid w:val="00C56719"/>
    <w:rsid w:val="00C63933"/>
    <w:rsid w:val="00C65CA7"/>
    <w:rsid w:val="00C7413A"/>
    <w:rsid w:val="00C803C2"/>
    <w:rsid w:val="00C84112"/>
    <w:rsid w:val="00C86DE9"/>
    <w:rsid w:val="00C87E63"/>
    <w:rsid w:val="00C93158"/>
    <w:rsid w:val="00C9394C"/>
    <w:rsid w:val="00C9696A"/>
    <w:rsid w:val="00CA02D8"/>
    <w:rsid w:val="00CB02AC"/>
    <w:rsid w:val="00CB4AD1"/>
    <w:rsid w:val="00CD04BC"/>
    <w:rsid w:val="00CD5479"/>
    <w:rsid w:val="00CE0B45"/>
    <w:rsid w:val="00CE10FD"/>
    <w:rsid w:val="00CF3F1E"/>
    <w:rsid w:val="00D02E5F"/>
    <w:rsid w:val="00D03B35"/>
    <w:rsid w:val="00D074A3"/>
    <w:rsid w:val="00D11450"/>
    <w:rsid w:val="00D1239D"/>
    <w:rsid w:val="00D14F70"/>
    <w:rsid w:val="00D17754"/>
    <w:rsid w:val="00D268C1"/>
    <w:rsid w:val="00D27A92"/>
    <w:rsid w:val="00D357AF"/>
    <w:rsid w:val="00D42143"/>
    <w:rsid w:val="00D438E7"/>
    <w:rsid w:val="00D52F34"/>
    <w:rsid w:val="00D532D0"/>
    <w:rsid w:val="00D543EC"/>
    <w:rsid w:val="00D61FBE"/>
    <w:rsid w:val="00D63153"/>
    <w:rsid w:val="00D65647"/>
    <w:rsid w:val="00D66E50"/>
    <w:rsid w:val="00D910EB"/>
    <w:rsid w:val="00D91E96"/>
    <w:rsid w:val="00D95B60"/>
    <w:rsid w:val="00DA6442"/>
    <w:rsid w:val="00DA6F8B"/>
    <w:rsid w:val="00DB042E"/>
    <w:rsid w:val="00DB07D2"/>
    <w:rsid w:val="00DB40EF"/>
    <w:rsid w:val="00DB5D73"/>
    <w:rsid w:val="00DB769C"/>
    <w:rsid w:val="00DC0DD6"/>
    <w:rsid w:val="00DC22CA"/>
    <w:rsid w:val="00DC28E6"/>
    <w:rsid w:val="00DC6245"/>
    <w:rsid w:val="00DD0CD6"/>
    <w:rsid w:val="00DD138B"/>
    <w:rsid w:val="00DD4603"/>
    <w:rsid w:val="00DD5AC6"/>
    <w:rsid w:val="00DD69B0"/>
    <w:rsid w:val="00DE1194"/>
    <w:rsid w:val="00DE27D6"/>
    <w:rsid w:val="00DF38E3"/>
    <w:rsid w:val="00E00962"/>
    <w:rsid w:val="00E05118"/>
    <w:rsid w:val="00E1491D"/>
    <w:rsid w:val="00E21B8A"/>
    <w:rsid w:val="00E23F56"/>
    <w:rsid w:val="00E24AEA"/>
    <w:rsid w:val="00E33FDA"/>
    <w:rsid w:val="00E3734A"/>
    <w:rsid w:val="00E40DF7"/>
    <w:rsid w:val="00E50A6F"/>
    <w:rsid w:val="00E51205"/>
    <w:rsid w:val="00E51C4D"/>
    <w:rsid w:val="00E62B22"/>
    <w:rsid w:val="00E70F00"/>
    <w:rsid w:val="00E739C2"/>
    <w:rsid w:val="00E809C6"/>
    <w:rsid w:val="00E816E8"/>
    <w:rsid w:val="00E83F88"/>
    <w:rsid w:val="00E8598C"/>
    <w:rsid w:val="00E8676D"/>
    <w:rsid w:val="00E911B2"/>
    <w:rsid w:val="00EA2C1F"/>
    <w:rsid w:val="00EC1EC9"/>
    <w:rsid w:val="00EC2A32"/>
    <w:rsid w:val="00EC2BB7"/>
    <w:rsid w:val="00EC4706"/>
    <w:rsid w:val="00EC7496"/>
    <w:rsid w:val="00EE6143"/>
    <w:rsid w:val="00EE70DB"/>
    <w:rsid w:val="00EF2978"/>
    <w:rsid w:val="00EF45CD"/>
    <w:rsid w:val="00EF6B7C"/>
    <w:rsid w:val="00EF73EA"/>
    <w:rsid w:val="00EF78AB"/>
    <w:rsid w:val="00F01B78"/>
    <w:rsid w:val="00F03547"/>
    <w:rsid w:val="00F05C0B"/>
    <w:rsid w:val="00F0701E"/>
    <w:rsid w:val="00F16D27"/>
    <w:rsid w:val="00F17720"/>
    <w:rsid w:val="00F208CD"/>
    <w:rsid w:val="00F24CC2"/>
    <w:rsid w:val="00F24F5F"/>
    <w:rsid w:val="00F25A6F"/>
    <w:rsid w:val="00F25ABA"/>
    <w:rsid w:val="00F40E40"/>
    <w:rsid w:val="00F42FED"/>
    <w:rsid w:val="00F4709B"/>
    <w:rsid w:val="00F470EB"/>
    <w:rsid w:val="00F47813"/>
    <w:rsid w:val="00F543E5"/>
    <w:rsid w:val="00F57FA1"/>
    <w:rsid w:val="00F64D69"/>
    <w:rsid w:val="00F6607D"/>
    <w:rsid w:val="00F72B92"/>
    <w:rsid w:val="00F734C8"/>
    <w:rsid w:val="00F74861"/>
    <w:rsid w:val="00F7573C"/>
    <w:rsid w:val="00F7739E"/>
    <w:rsid w:val="00F80561"/>
    <w:rsid w:val="00F87E59"/>
    <w:rsid w:val="00F94D43"/>
    <w:rsid w:val="00FA3EDB"/>
    <w:rsid w:val="00FA6ED5"/>
    <w:rsid w:val="00FA796F"/>
    <w:rsid w:val="00FB09D6"/>
    <w:rsid w:val="00FB1652"/>
    <w:rsid w:val="00FC1B19"/>
    <w:rsid w:val="00FC1B9F"/>
    <w:rsid w:val="00FC3769"/>
    <w:rsid w:val="00FC3EA8"/>
    <w:rsid w:val="00FC4D40"/>
    <w:rsid w:val="00FC7093"/>
    <w:rsid w:val="00FE2559"/>
    <w:rsid w:val="00FE28FF"/>
    <w:rsid w:val="00FE42D8"/>
    <w:rsid w:val="00FF2E3F"/>
    <w:rsid w:val="00FF54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A412E8"/>
  <w15:chartTrackingRefBased/>
  <w15:docId w15:val="{60EE9D0E-8FC2-2E4B-B1FC-8C01D5E2D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4356F"/>
    <w:pPr>
      <w:spacing w:line="340" w:lineRule="atLeast"/>
      <w:jc w:val="both"/>
    </w:pPr>
    <w:rPr>
      <w:rFonts w:ascii="Times New Roman" w:eastAsia="Times New Roman" w:hAnsi="Times New Roman"/>
      <w:color w:val="000000"/>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14356F"/>
    <w:pPr>
      <w:spacing w:before="240" w:line="240" w:lineRule="auto"/>
      <w:ind w:firstLine="0"/>
      <w:jc w:val="left"/>
    </w:pPr>
    <w:rPr>
      <w:i/>
    </w:rPr>
  </w:style>
  <w:style w:type="paragraph" w:customStyle="1" w:styleId="MDPI12title">
    <w:name w:val="MDPI_1.2_title"/>
    <w:next w:val="MDPI13authornames"/>
    <w:qFormat/>
    <w:rsid w:val="0014356F"/>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14356F"/>
    <w:pPr>
      <w:spacing w:after="120"/>
      <w:ind w:firstLine="0"/>
      <w:jc w:val="left"/>
    </w:pPr>
    <w:rPr>
      <w:b/>
      <w:snapToGrid/>
    </w:rPr>
  </w:style>
  <w:style w:type="paragraph" w:customStyle="1" w:styleId="MDPI14history">
    <w:name w:val="MDPI_1.4_history"/>
    <w:basedOn w:val="MDPI62Acknowledgments"/>
    <w:next w:val="Normal"/>
    <w:qFormat/>
    <w:rsid w:val="0014356F"/>
    <w:pPr>
      <w:ind w:left="113"/>
      <w:jc w:val="left"/>
    </w:pPr>
    <w:rPr>
      <w:snapToGrid/>
    </w:rPr>
  </w:style>
  <w:style w:type="paragraph" w:customStyle="1" w:styleId="MDPI16affiliation">
    <w:name w:val="MDPI_1.6_affiliation"/>
    <w:basedOn w:val="MDPI62Acknowledgments"/>
    <w:qFormat/>
    <w:rsid w:val="0014356F"/>
    <w:pPr>
      <w:spacing w:before="0"/>
      <w:ind w:left="311" w:hanging="198"/>
      <w:jc w:val="left"/>
    </w:pPr>
    <w:rPr>
      <w:snapToGrid/>
      <w:szCs w:val="18"/>
    </w:rPr>
  </w:style>
  <w:style w:type="paragraph" w:customStyle="1" w:styleId="MDPI17abstract">
    <w:name w:val="MDPI_1.7_abstract"/>
    <w:basedOn w:val="MDPI31text"/>
    <w:next w:val="MDPI18keywords"/>
    <w:qFormat/>
    <w:rsid w:val="0014356F"/>
    <w:pPr>
      <w:spacing w:before="240"/>
      <w:ind w:left="113" w:firstLine="0"/>
    </w:pPr>
    <w:rPr>
      <w:snapToGrid/>
    </w:rPr>
  </w:style>
  <w:style w:type="paragraph" w:customStyle="1" w:styleId="MDPI18keywords">
    <w:name w:val="MDPI_1.8_keywords"/>
    <w:basedOn w:val="MDPI31text"/>
    <w:next w:val="Normal"/>
    <w:qFormat/>
    <w:rsid w:val="0014356F"/>
    <w:pPr>
      <w:spacing w:before="240"/>
      <w:ind w:left="113" w:firstLine="0"/>
    </w:pPr>
  </w:style>
  <w:style w:type="paragraph" w:customStyle="1" w:styleId="MDPI19line">
    <w:name w:val="MDPI_1.9_line"/>
    <w:basedOn w:val="MDPI31text"/>
    <w:qFormat/>
    <w:rsid w:val="0014356F"/>
    <w:pPr>
      <w:pBdr>
        <w:bottom w:val="single" w:sz="6" w:space="1" w:color="auto"/>
      </w:pBdr>
      <w:ind w:firstLine="0"/>
    </w:pPr>
    <w:rPr>
      <w:snapToGrid/>
      <w:szCs w:val="24"/>
    </w:rPr>
  </w:style>
  <w:style w:type="table" w:customStyle="1" w:styleId="Mdeck5tablebodythreelines">
    <w:name w:val="M_deck_5_table_body_three_lines"/>
    <w:basedOn w:val="TableNormal"/>
    <w:uiPriority w:val="99"/>
    <w:rsid w:val="0014356F"/>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TableGrid">
    <w:name w:val="Table Grid"/>
    <w:basedOn w:val="TableNormal"/>
    <w:uiPriority w:val="59"/>
    <w:rsid w:val="001435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14356F"/>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14356F"/>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14356F"/>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14356F"/>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14356F"/>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14356F"/>
    <w:pPr>
      <w:ind w:firstLine="0"/>
    </w:pPr>
  </w:style>
  <w:style w:type="paragraph" w:customStyle="1" w:styleId="MDPI33textspaceafter">
    <w:name w:val="MDPI_3.3_text_space_after"/>
    <w:basedOn w:val="MDPI31text"/>
    <w:qFormat/>
    <w:rsid w:val="0014356F"/>
    <w:pPr>
      <w:spacing w:after="240"/>
    </w:pPr>
  </w:style>
  <w:style w:type="paragraph" w:customStyle="1" w:styleId="MDPI35textbeforelist">
    <w:name w:val="MDPI_3.5_text_before_list"/>
    <w:basedOn w:val="MDPI31text"/>
    <w:qFormat/>
    <w:rsid w:val="0014356F"/>
    <w:pPr>
      <w:spacing w:after="120"/>
    </w:pPr>
  </w:style>
  <w:style w:type="paragraph" w:customStyle="1" w:styleId="MDPI36textafterlist">
    <w:name w:val="MDPI_3.6_text_after_list"/>
    <w:basedOn w:val="MDPI31text"/>
    <w:qFormat/>
    <w:rsid w:val="0014356F"/>
    <w:pPr>
      <w:spacing w:before="120"/>
    </w:pPr>
  </w:style>
  <w:style w:type="paragraph" w:customStyle="1" w:styleId="MDPI37itemize">
    <w:name w:val="MDPI_3.7_itemize"/>
    <w:basedOn w:val="MDPI31text"/>
    <w:qFormat/>
    <w:rsid w:val="0014356F"/>
    <w:pPr>
      <w:numPr>
        <w:numId w:val="1"/>
      </w:numPr>
      <w:ind w:left="425" w:hanging="425"/>
    </w:pPr>
  </w:style>
  <w:style w:type="paragraph" w:customStyle="1" w:styleId="MDPI38bullet">
    <w:name w:val="MDPI_3.8_bullet"/>
    <w:basedOn w:val="MDPI31text"/>
    <w:qFormat/>
    <w:rsid w:val="0014356F"/>
    <w:pPr>
      <w:numPr>
        <w:numId w:val="2"/>
      </w:numPr>
      <w:ind w:left="425" w:hanging="425"/>
    </w:pPr>
  </w:style>
  <w:style w:type="paragraph" w:customStyle="1" w:styleId="MDPI39equation">
    <w:name w:val="MDPI_3.9_equation"/>
    <w:basedOn w:val="MDPI31text"/>
    <w:qFormat/>
    <w:rsid w:val="0014356F"/>
    <w:pPr>
      <w:spacing w:before="120" w:after="120"/>
      <w:ind w:left="709" w:firstLine="0"/>
      <w:jc w:val="center"/>
    </w:pPr>
  </w:style>
  <w:style w:type="paragraph" w:customStyle="1" w:styleId="MDPI3aequationnumber">
    <w:name w:val="MDPI_3.a_equation_number"/>
    <w:basedOn w:val="MDPI31text"/>
    <w:qFormat/>
    <w:rsid w:val="0014356F"/>
    <w:pPr>
      <w:spacing w:before="120" w:after="120" w:line="240" w:lineRule="auto"/>
      <w:ind w:firstLine="0"/>
      <w:jc w:val="right"/>
    </w:pPr>
  </w:style>
  <w:style w:type="paragraph" w:customStyle="1" w:styleId="MDPI62Acknowledgments">
    <w:name w:val="MDPI_6.2_Acknowledgments"/>
    <w:qFormat/>
    <w:rsid w:val="0014356F"/>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14356F"/>
    <w:pPr>
      <w:spacing w:before="240" w:after="120" w:line="260" w:lineRule="atLeast"/>
      <w:ind w:left="425" w:right="425"/>
    </w:pPr>
    <w:rPr>
      <w:snapToGrid/>
      <w:szCs w:val="22"/>
    </w:rPr>
  </w:style>
  <w:style w:type="paragraph" w:customStyle="1" w:styleId="MDPI42tablebody">
    <w:name w:val="MDPI_4.2_table_body"/>
    <w:qFormat/>
    <w:rsid w:val="00AF671C"/>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14356F"/>
    <w:pPr>
      <w:spacing w:before="0"/>
      <w:ind w:left="0" w:right="0"/>
    </w:pPr>
  </w:style>
  <w:style w:type="paragraph" w:customStyle="1" w:styleId="MDPI51figurecaption">
    <w:name w:val="MDPI_5.1_figure_caption"/>
    <w:basedOn w:val="MDPI62Acknowledgments"/>
    <w:qFormat/>
    <w:rsid w:val="0014356F"/>
    <w:pPr>
      <w:spacing w:after="240" w:line="260" w:lineRule="atLeast"/>
      <w:ind w:left="425" w:right="425"/>
    </w:pPr>
    <w:rPr>
      <w:snapToGrid/>
    </w:rPr>
  </w:style>
  <w:style w:type="paragraph" w:customStyle="1" w:styleId="MDPI52figure">
    <w:name w:val="MDPI_5.2_figure"/>
    <w:qFormat/>
    <w:rsid w:val="0014356F"/>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14356F"/>
    <w:pPr>
      <w:spacing w:before="240"/>
    </w:pPr>
    <w:rPr>
      <w:lang w:eastAsia="en-US"/>
    </w:rPr>
  </w:style>
  <w:style w:type="paragraph" w:customStyle="1" w:styleId="MDPI63AuthorContributions">
    <w:name w:val="MDPI_6.3_AuthorContributions"/>
    <w:basedOn w:val="MDPI62Acknowledgments"/>
    <w:qFormat/>
    <w:rsid w:val="0014356F"/>
    <w:rPr>
      <w:rFonts w:eastAsia="SimSun"/>
      <w:color w:val="auto"/>
      <w:lang w:eastAsia="en-US"/>
    </w:rPr>
  </w:style>
  <w:style w:type="paragraph" w:customStyle="1" w:styleId="MDPI64CoI">
    <w:name w:val="MDPI_6.4_CoI"/>
    <w:basedOn w:val="MDPI62Acknowledgments"/>
    <w:qFormat/>
    <w:rsid w:val="0014356F"/>
  </w:style>
  <w:style w:type="paragraph" w:customStyle="1" w:styleId="MDPIfooterfirstpage">
    <w:name w:val="MDPI_footer_firstpage"/>
    <w:basedOn w:val="Normal"/>
    <w:qFormat/>
    <w:rsid w:val="0014356F"/>
    <w:pPr>
      <w:tabs>
        <w:tab w:val="right" w:pos="8845"/>
      </w:tabs>
      <w:adjustRightInd w:val="0"/>
      <w:snapToGrid w:val="0"/>
      <w:spacing w:before="120" w:line="160" w:lineRule="exact"/>
      <w:jc w:val="left"/>
    </w:pPr>
    <w:rPr>
      <w:rFonts w:ascii="Palatino Linotype" w:hAnsi="Palatino Linotype"/>
      <w:color w:val="auto"/>
      <w:sz w:val="16"/>
    </w:rPr>
  </w:style>
  <w:style w:type="paragraph" w:customStyle="1" w:styleId="MDPI31text">
    <w:name w:val="MDPI_3.1_text"/>
    <w:qFormat/>
    <w:rsid w:val="0014356F"/>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14356F"/>
    <w:pPr>
      <w:spacing w:before="240" w:after="120"/>
      <w:ind w:firstLine="0"/>
      <w:jc w:val="left"/>
      <w:outlineLvl w:val="2"/>
    </w:pPr>
  </w:style>
  <w:style w:type="paragraph" w:customStyle="1" w:styleId="MDPI21heading1">
    <w:name w:val="MDPI_2.1_heading1"/>
    <w:basedOn w:val="MDPI23heading3"/>
    <w:qFormat/>
    <w:rsid w:val="0014356F"/>
    <w:pPr>
      <w:outlineLvl w:val="0"/>
    </w:pPr>
    <w:rPr>
      <w:b/>
    </w:rPr>
  </w:style>
  <w:style w:type="paragraph" w:customStyle="1" w:styleId="MDPI22heading2">
    <w:name w:val="MDPI_2.2_heading2"/>
    <w:basedOn w:val="Normal"/>
    <w:qFormat/>
    <w:rsid w:val="0014356F"/>
    <w:pPr>
      <w:kinsoku w:val="0"/>
      <w:overflowPunct w:val="0"/>
      <w:autoSpaceDE w:val="0"/>
      <w:autoSpaceDN w:val="0"/>
      <w:adjustRightInd w:val="0"/>
      <w:snapToGrid w:val="0"/>
      <w:spacing w:before="240" w:after="120" w:line="260" w:lineRule="atLeast"/>
      <w:jc w:val="left"/>
      <w:outlineLvl w:val="1"/>
    </w:pPr>
    <w:rPr>
      <w:rFonts w:ascii="Palatino Linotype" w:hAnsi="Palatino Linotype"/>
      <w:i/>
      <w:noProof/>
      <w:snapToGrid w:val="0"/>
      <w:sz w:val="20"/>
      <w:szCs w:val="22"/>
      <w:lang w:bidi="en-US"/>
    </w:rPr>
  </w:style>
  <w:style w:type="paragraph" w:customStyle="1" w:styleId="MDPI71References">
    <w:name w:val="MDPI_7.1_References"/>
    <w:basedOn w:val="MDPI62Acknowledgments"/>
    <w:qFormat/>
    <w:rsid w:val="0014356F"/>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14356F"/>
    <w:pPr>
      <w:spacing w:line="240" w:lineRule="auto"/>
    </w:pPr>
    <w:rPr>
      <w:sz w:val="18"/>
      <w:szCs w:val="18"/>
    </w:rPr>
  </w:style>
  <w:style w:type="character" w:customStyle="1" w:styleId="BalloonTextChar">
    <w:name w:val="Balloon Text Char"/>
    <w:link w:val="BalloonText"/>
    <w:uiPriority w:val="99"/>
    <w:semiHidden/>
    <w:rsid w:val="0014356F"/>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14356F"/>
  </w:style>
  <w:style w:type="table" w:customStyle="1" w:styleId="MDPI41threelinetable">
    <w:name w:val="MDPI_4.1_three_line_table"/>
    <w:basedOn w:val="TableNormal"/>
    <w:uiPriority w:val="99"/>
    <w:rsid w:val="00AF671C"/>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00116C"/>
    <w:rPr>
      <w:color w:val="0563C1"/>
      <w:u w:val="single"/>
    </w:rPr>
  </w:style>
  <w:style w:type="character" w:customStyle="1" w:styleId="UnresolvedMention1">
    <w:name w:val="Unresolved Mention1"/>
    <w:uiPriority w:val="99"/>
    <w:semiHidden/>
    <w:unhideWhenUsed/>
    <w:rsid w:val="009F2B1C"/>
    <w:rPr>
      <w:color w:val="605E5C"/>
      <w:shd w:val="clear" w:color="auto" w:fill="E1DFDD"/>
    </w:rPr>
  </w:style>
  <w:style w:type="table" w:styleId="PlainTable4">
    <w:name w:val="Plain Table 4"/>
    <w:basedOn w:val="TableNormal"/>
    <w:uiPriority w:val="44"/>
    <w:rsid w:val="00046F7B"/>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FollowedHyperlink">
    <w:name w:val="FollowedHyperlink"/>
    <w:basedOn w:val="DefaultParagraphFont"/>
    <w:uiPriority w:val="99"/>
    <w:semiHidden/>
    <w:unhideWhenUsed/>
    <w:rsid w:val="00611D0B"/>
    <w:rPr>
      <w:color w:val="954F72" w:themeColor="followedHyperlink"/>
      <w:u w:val="single"/>
    </w:rPr>
  </w:style>
  <w:style w:type="character" w:styleId="CommentReference">
    <w:name w:val="annotation reference"/>
    <w:basedOn w:val="DefaultParagraphFont"/>
    <w:uiPriority w:val="99"/>
    <w:semiHidden/>
    <w:unhideWhenUsed/>
    <w:rsid w:val="000B2146"/>
    <w:rPr>
      <w:sz w:val="16"/>
      <w:szCs w:val="16"/>
    </w:rPr>
  </w:style>
  <w:style w:type="paragraph" w:styleId="CommentText">
    <w:name w:val="annotation text"/>
    <w:basedOn w:val="Normal"/>
    <w:link w:val="CommentTextChar"/>
    <w:uiPriority w:val="99"/>
    <w:semiHidden/>
    <w:unhideWhenUsed/>
    <w:rsid w:val="000B2146"/>
    <w:pPr>
      <w:spacing w:line="240" w:lineRule="auto"/>
    </w:pPr>
    <w:rPr>
      <w:sz w:val="20"/>
    </w:rPr>
  </w:style>
  <w:style w:type="character" w:customStyle="1" w:styleId="CommentTextChar">
    <w:name w:val="Comment Text Char"/>
    <w:basedOn w:val="DefaultParagraphFont"/>
    <w:link w:val="CommentText"/>
    <w:uiPriority w:val="99"/>
    <w:semiHidden/>
    <w:rsid w:val="000B2146"/>
    <w:rPr>
      <w:rFonts w:ascii="Times New Roman" w:eastAsia="Times New Roman" w:hAnsi="Times New Roman"/>
      <w:color w:val="000000"/>
      <w:lang w:eastAsia="de-DE"/>
    </w:rPr>
  </w:style>
  <w:style w:type="paragraph" w:styleId="CommentSubject">
    <w:name w:val="annotation subject"/>
    <w:basedOn w:val="CommentText"/>
    <w:next w:val="CommentText"/>
    <w:link w:val="CommentSubjectChar"/>
    <w:uiPriority w:val="99"/>
    <w:semiHidden/>
    <w:unhideWhenUsed/>
    <w:rsid w:val="000B2146"/>
    <w:rPr>
      <w:b/>
      <w:bCs/>
    </w:rPr>
  </w:style>
  <w:style w:type="character" w:customStyle="1" w:styleId="CommentSubjectChar">
    <w:name w:val="Comment Subject Char"/>
    <w:basedOn w:val="CommentTextChar"/>
    <w:link w:val="CommentSubject"/>
    <w:uiPriority w:val="99"/>
    <w:semiHidden/>
    <w:rsid w:val="000B2146"/>
    <w:rPr>
      <w:rFonts w:ascii="Times New Roman" w:eastAsia="Times New Roman" w:hAnsi="Times New Roman"/>
      <w:b/>
      <w:bCs/>
      <w:color w:val="000000"/>
      <w:lang w:eastAsia="de-DE"/>
    </w:rPr>
  </w:style>
  <w:style w:type="character" w:styleId="PlaceholderText">
    <w:name w:val="Placeholder Text"/>
    <w:basedOn w:val="DefaultParagraphFont"/>
    <w:uiPriority w:val="99"/>
    <w:semiHidden/>
    <w:rsid w:val="00C35DB2"/>
    <w:rPr>
      <w:color w:val="808080"/>
    </w:rPr>
  </w:style>
  <w:style w:type="paragraph" w:styleId="Revision">
    <w:name w:val="Revision"/>
    <w:hidden/>
    <w:uiPriority w:val="99"/>
    <w:semiHidden/>
    <w:rsid w:val="00115438"/>
    <w:rPr>
      <w:rFonts w:ascii="Times New Roman" w:eastAsia="Times New Roman" w:hAnsi="Times New Roman"/>
      <w:color w:val="000000"/>
      <w:sz w:val="24"/>
      <w:lang w:eastAsia="de-DE"/>
    </w:rPr>
  </w:style>
  <w:style w:type="character" w:customStyle="1" w:styleId="UnresolvedMention2">
    <w:name w:val="Unresolved Mention2"/>
    <w:basedOn w:val="DefaultParagraphFont"/>
    <w:uiPriority w:val="99"/>
    <w:rsid w:val="00D02E5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300465">
      <w:bodyDiv w:val="1"/>
      <w:marLeft w:val="0"/>
      <w:marRight w:val="0"/>
      <w:marTop w:val="0"/>
      <w:marBottom w:val="0"/>
      <w:divBdr>
        <w:top w:val="none" w:sz="0" w:space="0" w:color="auto"/>
        <w:left w:val="none" w:sz="0" w:space="0" w:color="auto"/>
        <w:bottom w:val="none" w:sz="0" w:space="0" w:color="auto"/>
        <w:right w:val="none" w:sz="0" w:space="0" w:color="auto"/>
      </w:divBdr>
    </w:div>
    <w:div w:id="652878965">
      <w:bodyDiv w:val="1"/>
      <w:marLeft w:val="0"/>
      <w:marRight w:val="0"/>
      <w:marTop w:val="0"/>
      <w:marBottom w:val="0"/>
      <w:divBdr>
        <w:top w:val="none" w:sz="0" w:space="0" w:color="auto"/>
        <w:left w:val="none" w:sz="0" w:space="0" w:color="auto"/>
        <w:bottom w:val="none" w:sz="0" w:space="0" w:color="auto"/>
        <w:right w:val="none" w:sz="0" w:space="0" w:color="auto"/>
      </w:divBdr>
    </w:div>
    <w:div w:id="795175820">
      <w:bodyDiv w:val="1"/>
      <w:marLeft w:val="0"/>
      <w:marRight w:val="0"/>
      <w:marTop w:val="0"/>
      <w:marBottom w:val="0"/>
      <w:divBdr>
        <w:top w:val="none" w:sz="0" w:space="0" w:color="auto"/>
        <w:left w:val="none" w:sz="0" w:space="0" w:color="auto"/>
        <w:bottom w:val="none" w:sz="0" w:space="0" w:color="auto"/>
        <w:right w:val="none" w:sz="0" w:space="0" w:color="auto"/>
      </w:divBdr>
    </w:div>
    <w:div w:id="870454678">
      <w:bodyDiv w:val="1"/>
      <w:marLeft w:val="0"/>
      <w:marRight w:val="0"/>
      <w:marTop w:val="0"/>
      <w:marBottom w:val="0"/>
      <w:divBdr>
        <w:top w:val="none" w:sz="0" w:space="0" w:color="auto"/>
        <w:left w:val="none" w:sz="0" w:space="0" w:color="auto"/>
        <w:bottom w:val="none" w:sz="0" w:space="0" w:color="auto"/>
        <w:right w:val="none" w:sz="0" w:space="0" w:color="auto"/>
      </w:divBdr>
    </w:div>
    <w:div w:id="876625559">
      <w:bodyDiv w:val="1"/>
      <w:marLeft w:val="0"/>
      <w:marRight w:val="0"/>
      <w:marTop w:val="0"/>
      <w:marBottom w:val="0"/>
      <w:divBdr>
        <w:top w:val="none" w:sz="0" w:space="0" w:color="auto"/>
        <w:left w:val="none" w:sz="0" w:space="0" w:color="auto"/>
        <w:bottom w:val="none" w:sz="0" w:space="0" w:color="auto"/>
        <w:right w:val="none" w:sz="0" w:space="0" w:color="auto"/>
      </w:divBdr>
    </w:div>
    <w:div w:id="1157921613">
      <w:bodyDiv w:val="1"/>
      <w:marLeft w:val="0"/>
      <w:marRight w:val="0"/>
      <w:marTop w:val="0"/>
      <w:marBottom w:val="0"/>
      <w:divBdr>
        <w:top w:val="none" w:sz="0" w:space="0" w:color="auto"/>
        <w:left w:val="none" w:sz="0" w:space="0" w:color="auto"/>
        <w:bottom w:val="none" w:sz="0" w:space="0" w:color="auto"/>
        <w:right w:val="none" w:sz="0" w:space="0" w:color="auto"/>
      </w:divBdr>
      <w:divsChild>
        <w:div w:id="1155149752">
          <w:marLeft w:val="0"/>
          <w:marRight w:val="0"/>
          <w:marTop w:val="0"/>
          <w:marBottom w:val="0"/>
          <w:divBdr>
            <w:top w:val="none" w:sz="0" w:space="0" w:color="auto"/>
            <w:left w:val="none" w:sz="0" w:space="0" w:color="auto"/>
            <w:bottom w:val="none" w:sz="0" w:space="0" w:color="auto"/>
            <w:right w:val="none" w:sz="0" w:space="0" w:color="auto"/>
          </w:divBdr>
          <w:divsChild>
            <w:div w:id="1669795542">
              <w:marLeft w:val="0"/>
              <w:marRight w:val="0"/>
              <w:marTop w:val="0"/>
              <w:marBottom w:val="0"/>
              <w:divBdr>
                <w:top w:val="none" w:sz="0" w:space="0" w:color="auto"/>
                <w:left w:val="none" w:sz="0" w:space="0" w:color="auto"/>
                <w:bottom w:val="none" w:sz="0" w:space="0" w:color="auto"/>
                <w:right w:val="none" w:sz="0" w:space="0" w:color="auto"/>
              </w:divBdr>
              <w:divsChild>
                <w:div w:id="749690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70013">
      <w:bodyDiv w:val="1"/>
      <w:marLeft w:val="0"/>
      <w:marRight w:val="0"/>
      <w:marTop w:val="0"/>
      <w:marBottom w:val="0"/>
      <w:divBdr>
        <w:top w:val="none" w:sz="0" w:space="0" w:color="auto"/>
        <w:left w:val="none" w:sz="0" w:space="0" w:color="auto"/>
        <w:bottom w:val="none" w:sz="0" w:space="0" w:color="auto"/>
        <w:right w:val="none" w:sz="0" w:space="0" w:color="auto"/>
      </w:divBdr>
    </w:div>
    <w:div w:id="1734815478">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openxmlformats.org/officeDocument/2006/relationships/image" Target="media/image6.emf"/><Relationship Id="rId26" Type="http://schemas.openxmlformats.org/officeDocument/2006/relationships/image" Target="media/image14.emf"/><Relationship Id="rId39" Type="http://schemas.openxmlformats.org/officeDocument/2006/relationships/image" Target="media/image27.emf"/><Relationship Id="rId21" Type="http://schemas.openxmlformats.org/officeDocument/2006/relationships/image" Target="media/image9.emf"/><Relationship Id="rId34" Type="http://schemas.openxmlformats.org/officeDocument/2006/relationships/image" Target="media/image22.emf"/><Relationship Id="rId42" Type="http://schemas.openxmlformats.org/officeDocument/2006/relationships/image" Target="media/image30.png"/><Relationship Id="rId47" Type="http://schemas.openxmlformats.org/officeDocument/2006/relationships/image" Target="media/image34.png"/><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hyperlink" Target="https://www.pmel.noaa.gov/gtmba/" TargetMode="External"/><Relationship Id="rId2" Type="http://schemas.openxmlformats.org/officeDocument/2006/relationships/styles" Target="styles.xml"/><Relationship Id="rId16" Type="http://schemas.openxmlformats.org/officeDocument/2006/relationships/image" Target="media/image4.emf"/><Relationship Id="rId29" Type="http://schemas.openxmlformats.org/officeDocument/2006/relationships/image" Target="media/image17.emf"/><Relationship Id="rId11" Type="http://schemas.microsoft.com/office/2011/relationships/commentsExtended" Target="commentsExtended.xm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image" Target="media/image33.pn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comments" Target="comments.xml"/><Relationship Id="rId19" Type="http://schemas.openxmlformats.org/officeDocument/2006/relationships/image" Target="media/image7.emf"/><Relationship Id="rId31" Type="http://schemas.openxmlformats.org/officeDocument/2006/relationships/image" Target="media/image19.emf"/><Relationship Id="rId44" Type="http://schemas.openxmlformats.org/officeDocument/2006/relationships/image" Target="media/image32.pn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header" Target="header1.xml"/><Relationship Id="rId8" Type="http://schemas.openxmlformats.org/officeDocument/2006/relationships/hyperlink" Target="http://www.tpos2020.org" TargetMode="External"/><Relationship Id="rId51" Type="http://schemas.openxmlformats.org/officeDocument/2006/relationships/header" Target="header3.xml"/><Relationship Id="rId3" Type="http://schemas.openxmlformats.org/officeDocument/2006/relationships/settings" Target="settings.xml"/><Relationship Id="rId12" Type="http://schemas.microsoft.com/office/2016/09/relationships/commentsIds" Target="commentsIds.xm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hyperlink" Target="http://www.remss.com" TargetMode="External"/><Relationship Id="rId20" Type="http://schemas.openxmlformats.org/officeDocument/2006/relationships/image" Target="media/image8.emf"/><Relationship Id="rId41" Type="http://schemas.openxmlformats.org/officeDocument/2006/relationships/image" Target="media/image29.emf"/><Relationship Id="rId54"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emf"/><Relationship Id="rId49" Type="http://schemas.openxmlformats.org/officeDocument/2006/relationships/header" Target="header2.xml"/></Relationships>
</file>

<file path=word/_rels/header3.xml.rels><?xml version="1.0" encoding="UTF-8" standalone="yes"?>
<Relationships xmlns="http://schemas.openxmlformats.org/package/2006/relationships"><Relationship Id="rId3" Type="http://schemas.openxmlformats.org/officeDocument/2006/relationships/image" Target="media/image36.png"/><Relationship Id="rId2" Type="http://schemas.openxmlformats.org/officeDocument/2006/relationships/image" Target="media/image350.png"/><Relationship Id="rId1" Type="http://schemas.openxmlformats.org/officeDocument/2006/relationships/image" Target="media/image35.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binghamf/Dropbox/Downloads/remotesensing-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remotesensing-template.dot</Template>
  <TotalTime>1490</TotalTime>
  <Pages>17</Pages>
  <Words>5833</Words>
  <Characters>33254</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39009</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Frederick Bingham</dc:creator>
  <cp:keywords/>
  <dc:description/>
  <cp:lastModifiedBy>Brodnitz, Susannah K.</cp:lastModifiedBy>
  <cp:revision>356</cp:revision>
  <cp:lastPrinted>2020-08-24T21:24:00Z</cp:lastPrinted>
  <dcterms:created xsi:type="dcterms:W3CDTF">2020-06-11T19:51:00Z</dcterms:created>
  <dcterms:modified xsi:type="dcterms:W3CDTF">2020-11-30T19:04:00Z</dcterms:modified>
</cp:coreProperties>
</file>