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0F6321" w14:textId="77777777" w:rsidR="000E14A5" w:rsidRPr="00773A6E" w:rsidRDefault="000E14A5" w:rsidP="000E14A5">
      <w:pPr>
        <w:pStyle w:val="Heading-Main"/>
      </w:pPr>
      <w:r w:rsidRPr="00773A6E">
        <w:t>A</w:t>
      </w:r>
      <w:r>
        <w:t>n Integrated and H</w:t>
      </w:r>
      <w:r w:rsidRPr="00773A6E">
        <w:t xml:space="preserve">igh-resolution </w:t>
      </w:r>
      <w:r>
        <w:t>Assessment of Territorial Water Vulnerability: The C</w:t>
      </w:r>
      <w:r w:rsidRPr="00773A6E">
        <w:t xml:space="preserve">ase of the </w:t>
      </w:r>
      <w:r>
        <w:t>Gran Valparaiso Conurbation, C</w:t>
      </w:r>
      <w:r w:rsidRPr="00773A6E">
        <w:t>entral Chile</w:t>
      </w:r>
    </w:p>
    <w:p w14:paraId="715AC200" w14:textId="10949EDE" w:rsidR="000E14A5" w:rsidRPr="00E86A0B" w:rsidRDefault="000E14A5" w:rsidP="00D77890">
      <w:pPr>
        <w:pStyle w:val="Authors"/>
        <w:ind w:left="720" w:hanging="720"/>
        <w:rPr>
          <w:lang w:val="es-CL"/>
        </w:rPr>
      </w:pPr>
      <w:r w:rsidRPr="00E86A0B">
        <w:rPr>
          <w:lang w:val="es-CL"/>
        </w:rPr>
        <w:t>N. Alamos</w:t>
      </w:r>
      <w:r w:rsidRPr="00E86A0B">
        <w:rPr>
          <w:vertAlign w:val="superscript"/>
          <w:lang w:val="es-CL"/>
        </w:rPr>
        <w:t>1</w:t>
      </w:r>
      <w:r>
        <w:rPr>
          <w:vertAlign w:val="superscript"/>
          <w:lang w:val="es-CL"/>
        </w:rPr>
        <w:t>,2</w:t>
      </w:r>
      <w:r w:rsidRPr="00E86A0B">
        <w:rPr>
          <w:lang w:val="es-CL"/>
        </w:rPr>
        <w:t>, I. Lefort</w:t>
      </w:r>
      <w:r w:rsidRPr="00E86A0B">
        <w:rPr>
          <w:vertAlign w:val="superscript"/>
          <w:lang w:val="es-CL"/>
        </w:rPr>
        <w:t>2</w:t>
      </w:r>
      <w:r w:rsidRPr="00E86A0B">
        <w:rPr>
          <w:lang w:val="es-CL"/>
        </w:rPr>
        <w:t>, T. Monsalve</w:t>
      </w:r>
      <w:r>
        <w:rPr>
          <w:vertAlign w:val="superscript"/>
          <w:lang w:val="es-CL"/>
        </w:rPr>
        <w:t>2</w:t>
      </w:r>
      <w:r w:rsidRPr="00E86A0B">
        <w:rPr>
          <w:lang w:val="es-CL"/>
        </w:rPr>
        <w:t xml:space="preserve">, </w:t>
      </w:r>
      <w:r>
        <w:rPr>
          <w:lang w:val="es-CL"/>
        </w:rPr>
        <w:t>A</w:t>
      </w:r>
      <w:r w:rsidRPr="00E86A0B">
        <w:rPr>
          <w:lang w:val="es-CL"/>
        </w:rPr>
        <w:t>.</w:t>
      </w:r>
      <w:r>
        <w:rPr>
          <w:lang w:val="es-CL"/>
        </w:rPr>
        <w:t xml:space="preserve"> Allendes</w:t>
      </w:r>
      <w:r>
        <w:rPr>
          <w:vertAlign w:val="superscript"/>
          <w:lang w:val="es-CL"/>
        </w:rPr>
        <w:t>2</w:t>
      </w:r>
      <w:r w:rsidRPr="00E86A0B">
        <w:rPr>
          <w:lang w:val="es-CL"/>
        </w:rPr>
        <w:t xml:space="preserve">, </w:t>
      </w:r>
      <w:r>
        <w:rPr>
          <w:lang w:val="es-CL"/>
        </w:rPr>
        <w:t>M</w:t>
      </w:r>
      <w:r w:rsidRPr="00E86A0B">
        <w:rPr>
          <w:lang w:val="es-CL"/>
        </w:rPr>
        <w:t>.</w:t>
      </w:r>
      <w:r>
        <w:rPr>
          <w:lang w:val="es-CL"/>
        </w:rPr>
        <w:t xml:space="preserve"> Billi</w:t>
      </w:r>
      <w:r>
        <w:rPr>
          <w:vertAlign w:val="superscript"/>
          <w:lang w:val="es-CL"/>
        </w:rPr>
        <w:t>3</w:t>
      </w:r>
      <w:r w:rsidR="001F5A1C">
        <w:rPr>
          <w:vertAlign w:val="superscript"/>
          <w:lang w:val="es-CL"/>
        </w:rPr>
        <w:t>,1,2</w:t>
      </w:r>
      <w:r w:rsidRPr="00E86A0B">
        <w:rPr>
          <w:lang w:val="es-CL"/>
        </w:rPr>
        <w:t xml:space="preserve">, </w:t>
      </w:r>
      <w:r>
        <w:rPr>
          <w:lang w:val="es-CL"/>
        </w:rPr>
        <w:t>A</w:t>
      </w:r>
      <w:r w:rsidRPr="00E86A0B">
        <w:rPr>
          <w:lang w:val="es-CL"/>
        </w:rPr>
        <w:t xml:space="preserve">. </w:t>
      </w:r>
      <w:r>
        <w:rPr>
          <w:lang w:val="es-CL"/>
        </w:rPr>
        <w:t>Urquiza</w:t>
      </w:r>
      <w:r>
        <w:rPr>
          <w:vertAlign w:val="superscript"/>
          <w:lang w:val="es-CL"/>
        </w:rPr>
        <w:t>1,</w:t>
      </w:r>
      <w:r w:rsidR="008925A7">
        <w:rPr>
          <w:vertAlign w:val="superscript"/>
          <w:lang w:val="es-CL"/>
        </w:rPr>
        <w:t>2,</w:t>
      </w:r>
      <w:r>
        <w:rPr>
          <w:vertAlign w:val="superscript"/>
          <w:lang w:val="es-CL"/>
        </w:rPr>
        <w:t>4</w:t>
      </w:r>
    </w:p>
    <w:p w14:paraId="6640A108" w14:textId="77777777" w:rsidR="00173C65" w:rsidRDefault="00173C65" w:rsidP="00173C65">
      <w:pPr>
        <w:pStyle w:val="Affiliation"/>
        <w:rPr>
          <w:lang w:eastAsia="es-CL"/>
        </w:rPr>
      </w:pPr>
      <w:r w:rsidRPr="00BF0226">
        <w:rPr>
          <w:vertAlign w:val="superscript"/>
        </w:rPr>
        <w:t>1</w:t>
      </w:r>
      <w:r w:rsidRPr="00E86A0B">
        <w:t xml:space="preserve"> Center for Climate and Resilience Research, Santiago, Chile</w:t>
      </w:r>
      <w:r>
        <w:t xml:space="preserve">, </w:t>
      </w:r>
      <w:r>
        <w:rPr>
          <w:vertAlign w:val="superscript"/>
        </w:rPr>
        <w:t>2</w:t>
      </w:r>
      <w:r w:rsidRPr="00BF0226">
        <w:rPr>
          <w:lang w:eastAsia="es-CL"/>
        </w:rPr>
        <w:t xml:space="preserve"> Systemic Transdisciplinary Research HUB (NEST.R3),</w:t>
      </w:r>
      <w:r>
        <w:t xml:space="preserve"> </w:t>
      </w:r>
      <w:r w:rsidRPr="00BF0226">
        <w:rPr>
          <w:vertAlign w:val="superscript"/>
        </w:rPr>
        <w:t>3</w:t>
      </w:r>
      <w:r w:rsidRPr="00BF0226">
        <w:rPr>
          <w:lang w:eastAsia="es-CL"/>
        </w:rPr>
        <w:t> Department of Rural Management and Innovation, University of Chile,</w:t>
      </w:r>
      <w:r w:rsidRPr="009D21F9">
        <w:t xml:space="preserve"> </w:t>
      </w:r>
      <w:r>
        <w:rPr>
          <w:vertAlign w:val="superscript"/>
        </w:rPr>
        <w:t>4</w:t>
      </w:r>
      <w:r w:rsidRPr="009D21F9">
        <w:rPr>
          <w:lang w:eastAsia="es-CL"/>
        </w:rPr>
        <w:t>Social Sciences Faculty, University of Chile, Ñuñoa, Chile</w:t>
      </w:r>
    </w:p>
    <w:p w14:paraId="586E8B78" w14:textId="77777777" w:rsidR="00173C65" w:rsidRDefault="00173C65" w:rsidP="00173C65">
      <w:pPr>
        <w:pStyle w:val="Affiliation"/>
        <w:rPr>
          <w:lang w:eastAsia="es-CL"/>
        </w:rPr>
      </w:pPr>
    </w:p>
    <w:p w14:paraId="23E95316" w14:textId="7A3ADCC8" w:rsidR="00173C65" w:rsidRPr="00FF1381" w:rsidRDefault="00107232" w:rsidP="00173C65">
      <w:pPr>
        <w:pStyle w:val="Affiliation"/>
        <w:rPr>
          <w:lang w:val="es-CL"/>
        </w:rPr>
      </w:pPr>
      <w:r>
        <w:rPr>
          <w:lang w:val="es-CL"/>
        </w:rPr>
        <w:t>Corresponding author: Nicolás Á</w:t>
      </w:r>
      <w:r w:rsidR="00173C65" w:rsidRPr="00FF1381">
        <w:rPr>
          <w:lang w:val="es-CL"/>
        </w:rPr>
        <w:t>lamos (</w:t>
      </w:r>
      <w:hyperlink r:id="rId8" w:history="1">
        <w:r w:rsidR="00173C65" w:rsidRPr="00FF1381">
          <w:rPr>
            <w:rStyle w:val="Hipervnculo"/>
            <w:lang w:val="es-CL"/>
          </w:rPr>
          <w:t>nalamos@fen.uchile.cl)</w:t>
        </w:r>
      </w:hyperlink>
    </w:p>
    <w:p w14:paraId="56B5A49C" w14:textId="77777777" w:rsidR="00173C65" w:rsidRPr="00FF1381" w:rsidRDefault="00173C65" w:rsidP="000E14A5">
      <w:pPr>
        <w:pStyle w:val="Affiliation"/>
        <w:rPr>
          <w:lang w:val="es-CL"/>
        </w:rPr>
      </w:pPr>
    </w:p>
    <w:p w14:paraId="52EAA876" w14:textId="0F4D9CB3" w:rsidR="00C94AA5" w:rsidRDefault="00C94AA5" w:rsidP="005358D5">
      <w:pPr>
        <w:pStyle w:val="Heading-Main"/>
      </w:pPr>
      <w:r>
        <w:t>Key Points:</w:t>
      </w:r>
    </w:p>
    <w:p w14:paraId="6AF2C0F0" w14:textId="00C94AD5" w:rsidR="005A497D" w:rsidRDefault="005A497D" w:rsidP="005A497D">
      <w:pPr>
        <w:pStyle w:val="KeyPoints"/>
        <w:numPr>
          <w:ilvl w:val="0"/>
          <w:numId w:val="9"/>
        </w:numPr>
      </w:pPr>
      <w:r>
        <w:rPr>
          <w:highlight w:val="white"/>
        </w:rPr>
        <w:t>A flexible</w:t>
      </w:r>
      <w:r w:rsidRPr="00773A6E">
        <w:rPr>
          <w:highlight w:val="white"/>
        </w:rPr>
        <w:t xml:space="preserve"> analytical and m</w:t>
      </w:r>
      <w:r>
        <w:rPr>
          <w:highlight w:val="white"/>
        </w:rPr>
        <w:t xml:space="preserve">ethodological framework </w:t>
      </w:r>
      <w:r w:rsidRPr="00773A6E">
        <w:rPr>
          <w:highlight w:val="white"/>
        </w:rPr>
        <w:t xml:space="preserve">based on </w:t>
      </w:r>
      <w:r>
        <w:rPr>
          <w:highlight w:val="white"/>
        </w:rPr>
        <w:t xml:space="preserve">the concept of water security </w:t>
      </w:r>
      <w:r w:rsidRPr="00773A6E">
        <w:rPr>
          <w:highlight w:val="white"/>
        </w:rPr>
        <w:t xml:space="preserve">risk </w:t>
      </w:r>
      <w:r>
        <w:rPr>
          <w:highlight w:val="white"/>
        </w:rPr>
        <w:t>is proposed</w:t>
      </w:r>
    </w:p>
    <w:p w14:paraId="49AD0D16" w14:textId="77777777" w:rsidR="001F5A1C" w:rsidRDefault="001F5A1C" w:rsidP="005A497D">
      <w:pPr>
        <w:pStyle w:val="KeyPoints"/>
        <w:numPr>
          <w:ilvl w:val="0"/>
          <w:numId w:val="9"/>
        </w:numPr>
      </w:pPr>
      <w:r>
        <w:t>F</w:t>
      </w:r>
      <w:r w:rsidRPr="005875A0">
        <w:t xml:space="preserve">uzzy logic </w:t>
      </w:r>
      <w:r>
        <w:t>and cluster analysis were</w:t>
      </w:r>
      <w:r w:rsidRPr="005875A0">
        <w:t xml:space="preserve"> used to develop </w:t>
      </w:r>
      <w:r>
        <w:t xml:space="preserve">and analyze </w:t>
      </w:r>
      <w:r w:rsidRPr="005875A0">
        <w:t xml:space="preserve">a Territorial Water Vulnerability Index </w:t>
      </w:r>
    </w:p>
    <w:p w14:paraId="4699BA80" w14:textId="2A6D99AB" w:rsidR="005A497D" w:rsidRDefault="005A497D" w:rsidP="005A497D">
      <w:pPr>
        <w:pStyle w:val="KeyPoints"/>
        <w:numPr>
          <w:ilvl w:val="0"/>
          <w:numId w:val="9"/>
        </w:numPr>
      </w:pPr>
      <w:r>
        <w:t>S</w:t>
      </w:r>
      <w:r w:rsidRPr="005A497D">
        <w:t>ensitivity and response conditions of the technical and sociocultural study area systems related to drinking water services were evaluated</w:t>
      </w:r>
    </w:p>
    <w:p w14:paraId="5C03B4CB" w14:textId="31AEF097" w:rsidR="00B719C8" w:rsidRPr="005A497D" w:rsidRDefault="00B719C8" w:rsidP="005A497D">
      <w:pPr>
        <w:pStyle w:val="KeyPoints"/>
        <w:numPr>
          <w:ilvl w:val="0"/>
          <w:numId w:val="9"/>
        </w:numPr>
      </w:pPr>
      <w:r>
        <w:br w:type="page"/>
      </w:r>
    </w:p>
    <w:p w14:paraId="2659CCE1" w14:textId="77777777" w:rsidR="002F3B11" w:rsidRDefault="008A6077" w:rsidP="00C81368">
      <w:pPr>
        <w:pStyle w:val="Heading-Main"/>
      </w:pPr>
      <w:r w:rsidRPr="00987EE5">
        <w:lastRenderedPageBreak/>
        <w:t>Abstract</w:t>
      </w:r>
    </w:p>
    <w:p w14:paraId="22994EB0" w14:textId="31863E9F" w:rsidR="006B077A" w:rsidRDefault="006B077A" w:rsidP="006B077A">
      <w:pPr>
        <w:pBdr>
          <w:top w:val="nil"/>
          <w:left w:val="nil"/>
          <w:bottom w:val="nil"/>
          <w:right w:val="nil"/>
          <w:between w:val="nil"/>
        </w:pBdr>
        <w:spacing w:after="160" w:line="259" w:lineRule="auto"/>
        <w:jc w:val="both"/>
        <w:rPr>
          <w:rFonts w:eastAsia="Times New Roman"/>
          <w:highlight w:val="white"/>
        </w:rPr>
      </w:pPr>
      <w:r w:rsidRPr="00773A6E">
        <w:rPr>
          <w:rFonts w:eastAsia="Times New Roman"/>
        </w:rPr>
        <w:t xml:space="preserve">Water security is a key goal to advance towards sustainable development and an increasingly hard challenge in </w:t>
      </w:r>
      <w:r>
        <w:rPr>
          <w:rFonts w:eastAsia="Times New Roman"/>
        </w:rPr>
        <w:t>a climate change context</w:t>
      </w:r>
      <w:r w:rsidRPr="00773A6E">
        <w:rPr>
          <w:rFonts w:eastAsia="Times New Roman"/>
        </w:rPr>
        <w:t xml:space="preserve">. Achieving water security requires advancing towards equitable access to water services in sufficient quantity and quality to satisfy multiple needs and uses and to ensure the sustainability of such services to various natural and anthropogenic threats. We introduce the notion of ‘territorial water vulnerability’ (TWV) as a measure of the propensity of a particular territory to be or become unable to satisfy relevant water needs and uses adequately as a result of its structural </w:t>
      </w:r>
      <w:r w:rsidR="003E0C8B">
        <w:rPr>
          <w:rFonts w:eastAsia="Times New Roman"/>
        </w:rPr>
        <w:t>condition</w:t>
      </w:r>
      <w:r w:rsidRPr="00773A6E">
        <w:rPr>
          <w:rFonts w:eastAsia="Times New Roman"/>
        </w:rPr>
        <w:t xml:space="preserve"> to be negatively affected by soci</w:t>
      </w:r>
      <w:r>
        <w:rPr>
          <w:rFonts w:eastAsia="Times New Roman"/>
        </w:rPr>
        <w:t>o-natural threats and stressors</w:t>
      </w:r>
      <w:r w:rsidRPr="00773A6E">
        <w:rPr>
          <w:rFonts w:eastAsia="Times New Roman"/>
        </w:rPr>
        <w:t>. On this basis, we develop a set of territorial indicators of sensitivity and response capacity for drinking urban water services and apply them to the Gran Valparaiso conurbation on the central coast of Chile</w:t>
      </w:r>
      <w:r w:rsidR="00AF098D">
        <w:rPr>
          <w:rFonts w:eastAsia="Times New Roman"/>
        </w:rPr>
        <w:t>.</w:t>
      </w:r>
      <w:r w:rsidRPr="00773A6E">
        <w:rPr>
          <w:rFonts w:eastAsia="Times New Roman"/>
        </w:rPr>
        <w:t xml:space="preserve"> </w:t>
      </w:r>
      <w:r w:rsidR="00AF098D">
        <w:rPr>
          <w:rFonts w:eastAsia="Times New Roman"/>
        </w:rPr>
        <w:t>A</w:t>
      </w:r>
      <w:r w:rsidRPr="00773A6E">
        <w:rPr>
          <w:rFonts w:eastAsia="Times New Roman"/>
        </w:rPr>
        <w:t xml:space="preserve"> particularly </w:t>
      </w:r>
      <w:r w:rsidR="00AF098D">
        <w:rPr>
          <w:rFonts w:eastAsia="Times New Roman"/>
        </w:rPr>
        <w:t>relevant</w:t>
      </w:r>
      <w:r w:rsidRPr="00773A6E">
        <w:rPr>
          <w:rFonts w:eastAsia="Times New Roman"/>
        </w:rPr>
        <w:t xml:space="preserve"> territory </w:t>
      </w:r>
      <w:r w:rsidR="007B0245">
        <w:rPr>
          <w:rFonts w:eastAsia="Times New Roman"/>
        </w:rPr>
        <w:t>considering</w:t>
      </w:r>
      <w:r w:rsidRPr="00773A6E">
        <w:rPr>
          <w:rFonts w:eastAsia="Times New Roman"/>
        </w:rPr>
        <w:t xml:space="preserve"> the extreme water scarc</w:t>
      </w:r>
      <w:r>
        <w:rPr>
          <w:rFonts w:eastAsia="Times New Roman"/>
        </w:rPr>
        <w:t xml:space="preserve">ity </w:t>
      </w:r>
      <w:r w:rsidR="0097571B">
        <w:rPr>
          <w:rFonts w:eastAsia="Times New Roman"/>
        </w:rPr>
        <w:t>of the contributing</w:t>
      </w:r>
      <w:r w:rsidR="008925A7">
        <w:rPr>
          <w:rFonts w:eastAsia="Times New Roman"/>
        </w:rPr>
        <w:t xml:space="preserve"> </w:t>
      </w:r>
      <w:r w:rsidR="0097571B">
        <w:rPr>
          <w:rFonts w:eastAsia="Times New Roman"/>
        </w:rPr>
        <w:t>catchment</w:t>
      </w:r>
      <w:r w:rsidRPr="00773A6E">
        <w:rPr>
          <w:rFonts w:eastAsia="Times New Roman"/>
        </w:rPr>
        <w:t>.</w:t>
      </w:r>
      <w:r>
        <w:rPr>
          <w:rFonts w:eastAsia="Times New Roman"/>
        </w:rPr>
        <w:t xml:space="preserve"> </w:t>
      </w:r>
      <w:r w:rsidRPr="00773A6E">
        <w:rPr>
          <w:rFonts w:eastAsia="Times New Roman"/>
        </w:rPr>
        <w:t xml:space="preserve">A fuzzy logic approach was used to develop a single TWV </w:t>
      </w:r>
      <w:r w:rsidR="003E0C8B">
        <w:rPr>
          <w:rFonts w:eastAsia="Times New Roman"/>
        </w:rPr>
        <w:t xml:space="preserve">index at the census block level; through </w:t>
      </w:r>
      <w:r w:rsidRPr="00773A6E">
        <w:rPr>
          <w:rFonts w:eastAsia="Times New Roman"/>
        </w:rPr>
        <w:t>cluster analysis, census blocks</w:t>
      </w:r>
      <w:r>
        <w:rPr>
          <w:rFonts w:eastAsia="Times New Roman"/>
        </w:rPr>
        <w:t xml:space="preserve"> profiles</w:t>
      </w:r>
      <w:r w:rsidRPr="00773A6E">
        <w:rPr>
          <w:rFonts w:eastAsia="Times New Roman"/>
        </w:rPr>
        <w:t xml:space="preserve"> are identified whose common characteristics explain their high vulnerability levels. </w:t>
      </w:r>
      <w:r w:rsidRPr="00773A6E">
        <w:rPr>
          <w:rFonts w:eastAsia="Times New Roman"/>
          <w:highlight w:val="white"/>
        </w:rPr>
        <w:t xml:space="preserve">This paper provides at least three relevant contributions to fill gaps identified in the existing literature): (1) an analytical framework to assess </w:t>
      </w:r>
      <w:r>
        <w:rPr>
          <w:rFonts w:eastAsia="Times New Roman"/>
          <w:highlight w:val="white"/>
        </w:rPr>
        <w:t xml:space="preserve">urban </w:t>
      </w:r>
      <w:r w:rsidRPr="00773A6E">
        <w:rPr>
          <w:rFonts w:eastAsia="Times New Roman"/>
          <w:highlight w:val="white"/>
        </w:rPr>
        <w:t>water security observed from households</w:t>
      </w:r>
      <w:r w:rsidR="007B0245">
        <w:rPr>
          <w:rFonts w:eastAsia="Times New Roman"/>
          <w:highlight w:val="white"/>
        </w:rPr>
        <w:t>,</w:t>
      </w:r>
      <w:r w:rsidRPr="00773A6E">
        <w:rPr>
          <w:rFonts w:eastAsia="Times New Roman"/>
          <w:highlight w:val="white"/>
        </w:rPr>
        <w:t xml:space="preserve"> </w:t>
      </w:r>
      <w:r w:rsidR="00AC24B4" w:rsidRPr="00773A6E">
        <w:rPr>
          <w:rFonts w:eastAsia="Times New Roman"/>
          <w:highlight w:val="white"/>
        </w:rPr>
        <w:t>considering social</w:t>
      </w:r>
      <w:r w:rsidRPr="00773A6E">
        <w:rPr>
          <w:rFonts w:eastAsia="Times New Roman"/>
          <w:highlight w:val="white"/>
        </w:rPr>
        <w:t xml:space="preserve"> dimensions, (2) a methodological approach to carry out high-resolution analysis that considers the ecological, technical and social systems and (3) evidence to guide public policies in the scarcely studied</w:t>
      </w:r>
      <w:r w:rsidR="007F139C">
        <w:rPr>
          <w:rFonts w:eastAsia="Times New Roman"/>
          <w:highlight w:val="white"/>
        </w:rPr>
        <w:t xml:space="preserve"> Chilean Case.</w:t>
      </w:r>
    </w:p>
    <w:p w14:paraId="6E6C6BF5" w14:textId="77777777" w:rsidR="006B077A" w:rsidRPr="00FC3EAC" w:rsidRDefault="006B077A" w:rsidP="006B077A">
      <w:pPr>
        <w:pStyle w:val="Abstract"/>
        <w:rPr>
          <w:b/>
        </w:rPr>
      </w:pPr>
      <w:r w:rsidRPr="00FC3EAC">
        <w:rPr>
          <w:b/>
        </w:rPr>
        <w:t>Plain Language Summary</w:t>
      </w:r>
    </w:p>
    <w:p w14:paraId="507694C8" w14:textId="74A6224E" w:rsidR="006B077A" w:rsidRPr="00773A6E" w:rsidRDefault="006B077A" w:rsidP="006B077A">
      <w:pPr>
        <w:jc w:val="both"/>
        <w:rPr>
          <w:rFonts w:eastAsia="Times New Roman"/>
          <w:highlight w:val="white"/>
        </w:rPr>
      </w:pPr>
      <w:r w:rsidRPr="0072324D">
        <w:rPr>
          <w:rFonts w:eastAsia="Times New Roman"/>
          <w:highlight w:val="white"/>
        </w:rPr>
        <w:t xml:space="preserve">This paper offers an analytical framework and methodology to evaluate and describe the characteristics </w:t>
      </w:r>
      <w:r w:rsidR="003E0C8B">
        <w:rPr>
          <w:rFonts w:eastAsia="Times New Roman"/>
          <w:highlight w:val="white"/>
        </w:rPr>
        <w:t xml:space="preserve">that influence </w:t>
      </w:r>
      <w:r w:rsidR="00DC3A97">
        <w:rPr>
          <w:rFonts w:eastAsia="Times New Roman"/>
          <w:highlight w:val="white"/>
        </w:rPr>
        <w:t>the</w:t>
      </w:r>
      <w:r w:rsidR="003E0C8B">
        <w:rPr>
          <w:rFonts w:eastAsia="Times New Roman"/>
          <w:highlight w:val="white"/>
        </w:rPr>
        <w:t xml:space="preserve"> capacity</w:t>
      </w:r>
      <w:r w:rsidR="00DC3A97">
        <w:rPr>
          <w:rFonts w:eastAsia="Times New Roman"/>
          <w:highlight w:val="white"/>
        </w:rPr>
        <w:t xml:space="preserve"> of a territory</w:t>
      </w:r>
      <w:r w:rsidRPr="0072324D">
        <w:rPr>
          <w:rFonts w:eastAsia="Times New Roman"/>
          <w:highlight w:val="white"/>
        </w:rPr>
        <w:t xml:space="preserve"> to ensure the water security of its population. Formally, we called this </w:t>
      </w:r>
      <w:r w:rsidR="00C90420">
        <w:rPr>
          <w:rFonts w:eastAsia="Times New Roman"/>
          <w:highlight w:val="white"/>
        </w:rPr>
        <w:t>“</w:t>
      </w:r>
      <w:r>
        <w:rPr>
          <w:rFonts w:eastAsia="Times New Roman"/>
          <w:highlight w:val="white"/>
        </w:rPr>
        <w:t>t</w:t>
      </w:r>
      <w:r w:rsidRPr="0072324D">
        <w:rPr>
          <w:rFonts w:eastAsia="Times New Roman"/>
          <w:highlight w:val="white"/>
        </w:rPr>
        <w:t xml:space="preserve">erritorial water </w:t>
      </w:r>
      <w:r w:rsidR="00AC24B4">
        <w:rPr>
          <w:rFonts w:eastAsia="Times New Roman"/>
          <w:highlight w:val="white"/>
        </w:rPr>
        <w:t>vulnerability (</w:t>
      </w:r>
      <w:r w:rsidR="00C90420">
        <w:rPr>
          <w:rFonts w:eastAsia="Times New Roman"/>
          <w:highlight w:val="white"/>
        </w:rPr>
        <w:t>TWV)”.</w:t>
      </w:r>
      <w:r w:rsidRPr="0072324D">
        <w:rPr>
          <w:rFonts w:eastAsia="Times New Roman"/>
          <w:highlight w:val="white"/>
        </w:rPr>
        <w:t xml:space="preserve"> </w:t>
      </w:r>
      <w:r w:rsidRPr="00773A6E">
        <w:rPr>
          <w:rFonts w:eastAsia="Times New Roman"/>
          <w:highlight w:val="white"/>
        </w:rPr>
        <w:t>Th</w:t>
      </w:r>
      <w:r w:rsidR="00C90420">
        <w:rPr>
          <w:rFonts w:eastAsia="Times New Roman"/>
          <w:highlight w:val="white"/>
        </w:rPr>
        <w:t>is</w:t>
      </w:r>
      <w:r w:rsidRPr="00773A6E">
        <w:rPr>
          <w:rFonts w:eastAsia="Times New Roman"/>
          <w:highlight w:val="white"/>
        </w:rPr>
        <w:t xml:space="preserve"> framework was applied to evaluate the </w:t>
      </w:r>
      <w:r w:rsidR="00AF05FE">
        <w:rPr>
          <w:rFonts w:eastAsia="Times New Roman"/>
          <w:highlight w:val="white"/>
        </w:rPr>
        <w:t>TWV</w:t>
      </w:r>
      <w:r>
        <w:rPr>
          <w:rFonts w:eastAsia="Times New Roman"/>
          <w:highlight w:val="white"/>
        </w:rPr>
        <w:t xml:space="preserve"> </w:t>
      </w:r>
      <w:r w:rsidRPr="00773A6E">
        <w:rPr>
          <w:rFonts w:eastAsia="Times New Roman"/>
          <w:highlight w:val="white"/>
        </w:rPr>
        <w:t>associated with the provision of drinking water s</w:t>
      </w:r>
      <w:r w:rsidR="005767DA">
        <w:rPr>
          <w:rFonts w:eastAsia="Times New Roman"/>
          <w:highlight w:val="white"/>
        </w:rPr>
        <w:t xml:space="preserve">ervices </w:t>
      </w:r>
      <w:r w:rsidRPr="00773A6E">
        <w:rPr>
          <w:rFonts w:eastAsia="Times New Roman"/>
          <w:highlight w:val="white"/>
        </w:rPr>
        <w:t>for urban domestic use</w:t>
      </w:r>
      <w:r w:rsidR="00AF05FE">
        <w:rPr>
          <w:rFonts w:eastAsia="Times New Roman"/>
          <w:highlight w:val="white"/>
        </w:rPr>
        <w:t>,</w:t>
      </w:r>
      <w:r w:rsidRPr="00773A6E">
        <w:rPr>
          <w:rFonts w:eastAsia="Times New Roman"/>
          <w:highlight w:val="white"/>
        </w:rPr>
        <w:t xml:space="preserve"> in the Gran Valparaíso conurbation of central Chile.</w:t>
      </w:r>
      <w:r w:rsidR="005767DA">
        <w:rPr>
          <w:rFonts w:eastAsia="Times New Roman"/>
          <w:highlight w:val="white"/>
        </w:rPr>
        <w:t xml:space="preserve"> A fine-grained </w:t>
      </w:r>
      <w:r>
        <w:rPr>
          <w:rFonts w:eastAsia="Times New Roman"/>
          <w:highlight w:val="white"/>
        </w:rPr>
        <w:t xml:space="preserve">analysis was made considering </w:t>
      </w:r>
      <w:r>
        <w:rPr>
          <w:rFonts w:eastAsia="Times New Roman"/>
        </w:rPr>
        <w:t xml:space="preserve">the sensitivity </w:t>
      </w:r>
      <w:r w:rsidRPr="005A497D">
        <w:t xml:space="preserve">and response conditions of the technical and sociocultural </w:t>
      </w:r>
      <w:r>
        <w:t xml:space="preserve">systems of the study area. </w:t>
      </w:r>
      <w:r w:rsidRPr="00773A6E">
        <w:rPr>
          <w:rFonts w:eastAsia="Times New Roman"/>
          <w:highlight w:val="white"/>
        </w:rPr>
        <w:t>Th</w:t>
      </w:r>
      <w:r w:rsidR="00AF05FE">
        <w:rPr>
          <w:rFonts w:eastAsia="Times New Roman"/>
          <w:highlight w:val="white"/>
        </w:rPr>
        <w:t>is</w:t>
      </w:r>
      <w:r w:rsidRPr="00773A6E">
        <w:rPr>
          <w:rFonts w:eastAsia="Times New Roman"/>
          <w:highlight w:val="white"/>
        </w:rPr>
        <w:t xml:space="preserve"> high-resolution analysis </w:t>
      </w:r>
      <w:r>
        <w:rPr>
          <w:rFonts w:eastAsia="Times New Roman"/>
          <w:highlight w:val="white"/>
        </w:rPr>
        <w:t xml:space="preserve">favors </w:t>
      </w:r>
      <w:r w:rsidRPr="00773A6E">
        <w:rPr>
          <w:rFonts w:eastAsia="Times New Roman"/>
          <w:highlight w:val="white"/>
        </w:rPr>
        <w:t xml:space="preserve">the design and implementation of adaptation measures taking into account the most significant </w:t>
      </w:r>
      <w:r>
        <w:rPr>
          <w:rFonts w:eastAsia="Times New Roman"/>
          <w:highlight w:val="white"/>
        </w:rPr>
        <w:t xml:space="preserve">vulnerability variables </w:t>
      </w:r>
      <w:r w:rsidR="005767DA">
        <w:rPr>
          <w:rFonts w:eastAsia="Times New Roman"/>
          <w:highlight w:val="white"/>
        </w:rPr>
        <w:t xml:space="preserve">in </w:t>
      </w:r>
      <w:r w:rsidRPr="00773A6E">
        <w:rPr>
          <w:rFonts w:eastAsia="Times New Roman"/>
          <w:highlight w:val="white"/>
        </w:rPr>
        <w:t xml:space="preserve">spatial units within the cities, </w:t>
      </w:r>
      <w:r>
        <w:rPr>
          <w:rFonts w:eastAsia="Times New Roman"/>
          <w:highlight w:val="white"/>
        </w:rPr>
        <w:t>reducing</w:t>
      </w:r>
      <w:r w:rsidRPr="00773A6E">
        <w:rPr>
          <w:rFonts w:eastAsia="Times New Roman"/>
          <w:highlight w:val="white"/>
        </w:rPr>
        <w:t xml:space="preserve"> water insecurity in an efficient and </w:t>
      </w:r>
      <w:r w:rsidR="00107232">
        <w:rPr>
          <w:rFonts w:eastAsia="Times New Roman"/>
          <w:highlight w:val="white"/>
        </w:rPr>
        <w:t>place-specific</w:t>
      </w:r>
      <w:r w:rsidR="001D2374">
        <w:rPr>
          <w:rFonts w:eastAsia="Times New Roman"/>
          <w:highlight w:val="white"/>
        </w:rPr>
        <w:t xml:space="preserve"> way</w:t>
      </w:r>
      <w:r>
        <w:rPr>
          <w:rFonts w:eastAsia="Times New Roman"/>
          <w:highlight w:val="white"/>
        </w:rPr>
        <w:t>,</w:t>
      </w:r>
      <w:r w:rsidR="00541424">
        <w:rPr>
          <w:rFonts w:eastAsia="Times New Roman"/>
          <w:highlight w:val="white"/>
        </w:rPr>
        <w:t xml:space="preserve"> </w:t>
      </w:r>
      <w:r>
        <w:rPr>
          <w:rFonts w:eastAsia="Times New Roman"/>
          <w:highlight w:val="white"/>
        </w:rPr>
        <w:t xml:space="preserve">focusing on </w:t>
      </w:r>
      <w:r w:rsidRPr="00773A6E">
        <w:rPr>
          <w:rFonts w:eastAsia="Times New Roman"/>
          <w:highlight w:val="white"/>
        </w:rPr>
        <w:t xml:space="preserve">water security at a household </w:t>
      </w:r>
      <w:r w:rsidR="00541424">
        <w:rPr>
          <w:rFonts w:eastAsia="Times New Roman"/>
          <w:highlight w:val="white"/>
        </w:rPr>
        <w:t>level,</w:t>
      </w:r>
      <w:r w:rsidRPr="00773A6E">
        <w:rPr>
          <w:rFonts w:eastAsia="Times New Roman"/>
          <w:highlight w:val="white"/>
        </w:rPr>
        <w:t xml:space="preserve"> instead of </w:t>
      </w:r>
      <w:r>
        <w:rPr>
          <w:rFonts w:eastAsia="Times New Roman"/>
          <w:highlight w:val="white"/>
        </w:rPr>
        <w:t>considering</w:t>
      </w:r>
      <w:r w:rsidRPr="00773A6E">
        <w:rPr>
          <w:rFonts w:eastAsia="Times New Roman"/>
          <w:highlight w:val="white"/>
        </w:rPr>
        <w:t xml:space="preserve"> the city as a relatively homogeneous unit</w:t>
      </w:r>
      <w:r>
        <w:rPr>
          <w:rFonts w:eastAsia="Times New Roman"/>
          <w:highlight w:val="white"/>
        </w:rPr>
        <w:t>. Finally, a</w:t>
      </w:r>
      <w:r w:rsidRPr="00773A6E">
        <w:rPr>
          <w:rFonts w:eastAsia="Times New Roman"/>
          <w:highlight w:val="white"/>
        </w:rPr>
        <w:t>ccording to our results and considering the mo</w:t>
      </w:r>
      <w:r w:rsidR="00541424">
        <w:rPr>
          <w:rFonts w:eastAsia="Times New Roman"/>
          <w:highlight w:val="white"/>
        </w:rPr>
        <w:t>st</w:t>
      </w:r>
      <w:r w:rsidRPr="00773A6E">
        <w:rPr>
          <w:rFonts w:eastAsia="Times New Roman"/>
          <w:highlight w:val="white"/>
        </w:rPr>
        <w:t xml:space="preserve"> vulnerable census block profiles from the analysis, some relevant </w:t>
      </w:r>
      <w:r w:rsidR="009F67B6">
        <w:rPr>
          <w:rFonts w:eastAsia="Times New Roman"/>
          <w:highlight w:val="white"/>
        </w:rPr>
        <w:t>policies and actions</w:t>
      </w:r>
      <w:r w:rsidRPr="00773A6E">
        <w:rPr>
          <w:rFonts w:eastAsia="Times New Roman"/>
          <w:highlight w:val="white"/>
        </w:rPr>
        <w:t xml:space="preserve"> t</w:t>
      </w:r>
      <w:r w:rsidR="009F67B6">
        <w:rPr>
          <w:rFonts w:eastAsia="Times New Roman"/>
          <w:highlight w:val="white"/>
        </w:rPr>
        <w:t>o reduce TWV</w:t>
      </w:r>
      <w:r w:rsidRPr="00773A6E">
        <w:rPr>
          <w:rFonts w:eastAsia="Times New Roman"/>
          <w:highlight w:val="white"/>
        </w:rPr>
        <w:t xml:space="preserve"> for the urban drinking water system of Gran Valparaíso</w:t>
      </w:r>
      <w:r>
        <w:rPr>
          <w:rFonts w:eastAsia="Times New Roman"/>
          <w:highlight w:val="white"/>
        </w:rPr>
        <w:t xml:space="preserve"> are recommended.</w:t>
      </w:r>
    </w:p>
    <w:p w14:paraId="7036A361" w14:textId="443C6FFD" w:rsidR="006B077A" w:rsidRPr="009F5B4E" w:rsidRDefault="006B077A" w:rsidP="006B077A">
      <w:pPr>
        <w:pStyle w:val="Abstract"/>
      </w:pPr>
      <w:r>
        <w:rPr>
          <w:b/>
        </w:rPr>
        <w:t xml:space="preserve">Keywords: </w:t>
      </w:r>
      <w:r w:rsidR="00097CF3">
        <w:t>Water S</w:t>
      </w:r>
      <w:r>
        <w:t xml:space="preserve">ecurity, Climate Change, Territorial Vulnerability, Risk assessment, Chile  </w:t>
      </w:r>
    </w:p>
    <w:p w14:paraId="7B26C190" w14:textId="77777777" w:rsidR="006B077A" w:rsidRDefault="006B077A" w:rsidP="006B077A">
      <w:pPr>
        <w:pStyle w:val="Abstract"/>
      </w:pPr>
      <w:r w:rsidRPr="00E86A0B">
        <w:rPr>
          <w:b/>
        </w:rPr>
        <w:t>Key Index:</w:t>
      </w:r>
      <w:r>
        <w:t xml:space="preserve"> </w:t>
      </w:r>
      <w:r>
        <w:rPr>
          <w:rStyle w:val="normaltextrun"/>
          <w:rFonts w:ascii="Roboto" w:hAnsi="Roboto"/>
          <w:color w:val="424C5F"/>
          <w:sz w:val="21"/>
          <w:szCs w:val="21"/>
          <w:shd w:val="clear" w:color="auto" w:fill="FFFFFF"/>
        </w:rPr>
        <w:t>4330 Vulnerability</w:t>
      </w:r>
      <w:r>
        <w:rPr>
          <w:rFonts w:ascii="Roboto" w:hAnsi="Roboto"/>
          <w:color w:val="424C5F"/>
          <w:sz w:val="21"/>
          <w:szCs w:val="21"/>
          <w:shd w:val="clear" w:color="auto" w:fill="FFFFFF"/>
        </w:rPr>
        <w:t xml:space="preserve">; </w:t>
      </w:r>
      <w:r>
        <w:rPr>
          <w:rStyle w:val="normaltextrun"/>
          <w:rFonts w:ascii="Roboto" w:hAnsi="Roboto"/>
          <w:color w:val="424C5F"/>
          <w:sz w:val="21"/>
          <w:szCs w:val="21"/>
          <w:shd w:val="clear" w:color="auto" w:fill="FFFFFF"/>
        </w:rPr>
        <w:t xml:space="preserve">4333 Disaster risk analysis and assessment; </w:t>
      </w:r>
      <w:r>
        <w:rPr>
          <w:rFonts w:ascii="Roboto" w:hAnsi="Roboto"/>
          <w:color w:val="424C5F"/>
          <w:sz w:val="21"/>
          <w:szCs w:val="21"/>
          <w:shd w:val="clear" w:color="auto" w:fill="FFFFFF"/>
        </w:rPr>
        <w:t>1817 Extreme events (4313); 1807 Climate impacts (4321), 1894 Instruments and techniques: modeling</w:t>
      </w:r>
    </w:p>
    <w:p w14:paraId="16752E20" w14:textId="77777777" w:rsidR="002F3B11" w:rsidRDefault="002F3B11" w:rsidP="00C81368">
      <w:pPr>
        <w:pStyle w:val="Heading-Main"/>
      </w:pPr>
      <w:r>
        <w:t>1 Introduction</w:t>
      </w:r>
    </w:p>
    <w:p w14:paraId="2717297A" w14:textId="18F932E9" w:rsidR="00E86A0B" w:rsidRPr="00773A6E" w:rsidRDefault="00E86A0B" w:rsidP="00E86A0B">
      <w:pPr>
        <w:spacing w:before="240" w:after="240"/>
        <w:jc w:val="both"/>
        <w:rPr>
          <w:rFonts w:eastAsia="Times New Roman"/>
        </w:rPr>
      </w:pPr>
      <w:r w:rsidRPr="00773A6E">
        <w:rPr>
          <w:rFonts w:eastAsia="Times New Roman"/>
        </w:rPr>
        <w:t xml:space="preserve">Water security is a key condition to </w:t>
      </w:r>
      <w:r w:rsidR="00225D64">
        <w:rPr>
          <w:rFonts w:eastAsia="Times New Roman"/>
        </w:rPr>
        <w:t>achieving</w:t>
      </w:r>
      <w:r w:rsidRPr="00773A6E">
        <w:rPr>
          <w:rFonts w:eastAsia="Times New Roman"/>
        </w:rPr>
        <w:t xml:space="preserve"> sustainable development </w:t>
      </w:r>
      <w:r w:rsidR="005105BA">
        <w:rPr>
          <w:rFonts w:eastAsia="Times New Roman"/>
        </w:rPr>
        <w:fldChar w:fldCharType="begin" w:fldLock="1"/>
      </w:r>
      <w:r w:rsidR="00A82EA7">
        <w:rPr>
          <w:rFonts w:eastAsia="Times New Roman"/>
        </w:rPr>
        <w:instrText>ADDIN CSL_CITATION {"citationItems":[{"id":"ITEM-1","itemData":{"ISBN":"978-92-808-6038-2","author":[{"dropping-particle":"","family":"UN-Water","given":"","non-dropping-particle":"","parse-names":false,"suffix":""}],"container-title":"United Nations University","id":"ITEM-1","issued":{"date-parts":[["2013"]]},"number-of-pages":"47","title":"Water Security &amp; the Global Water Agenda","type":"book"},"uris":["http://www.mendeley.com/documents/?uuid=ebecbd7e-6cd6-4aca-8b8d-a72c3ef061f9","http://www.mendeley.com/documents/?uuid=c14cd1e5-cddc-4c89-9ace-76610fdcebf4"]}],"mendeley":{"formattedCitation":"(UN-Water, 2013)","plainTextFormattedCitation":"(UN-Water, 2013)","previouslyFormattedCitation":"(UN-Water, 2013)"},"properties":{"noteIndex":0},"schema":"https://github.com/citation-style-language/schema/raw/master/csl-citation.json"}</w:instrText>
      </w:r>
      <w:r w:rsidR="005105BA">
        <w:rPr>
          <w:rFonts w:eastAsia="Times New Roman"/>
        </w:rPr>
        <w:fldChar w:fldCharType="separate"/>
      </w:r>
      <w:r w:rsidR="005105BA" w:rsidRPr="005105BA">
        <w:rPr>
          <w:rFonts w:eastAsia="Times New Roman"/>
          <w:noProof/>
        </w:rPr>
        <w:t>(UN-Water, 2013)</w:t>
      </w:r>
      <w:r w:rsidR="005105BA">
        <w:rPr>
          <w:rFonts w:eastAsia="Times New Roman"/>
        </w:rPr>
        <w:fldChar w:fldCharType="end"/>
      </w:r>
      <w:r w:rsidR="005105BA">
        <w:rPr>
          <w:rFonts w:eastAsia="Times New Roman"/>
        </w:rPr>
        <w:t xml:space="preserve"> </w:t>
      </w:r>
      <w:r w:rsidRPr="00773A6E">
        <w:rPr>
          <w:rFonts w:eastAsia="Times New Roman"/>
        </w:rPr>
        <w:t>and necessary f</w:t>
      </w:r>
      <w:r w:rsidR="005105BA">
        <w:rPr>
          <w:rFonts w:eastAsia="Times New Roman"/>
        </w:rPr>
        <w:t xml:space="preserve">or human health and well-being </w:t>
      </w:r>
      <w:r w:rsidR="005105BA">
        <w:rPr>
          <w:rFonts w:eastAsia="Times New Roman"/>
        </w:rPr>
        <w:fldChar w:fldCharType="begin" w:fldLock="1"/>
      </w:r>
      <w:r w:rsidR="00E700C0">
        <w:rPr>
          <w:rFonts w:eastAsia="Times New Roman"/>
        </w:rPr>
        <w:instrText>ADDIN CSL_CITATION {"citationItems":[{"id":"ITEM-1","itemData":{"DOI":"10.1016/j.envsci.2018.02.003","ISSN":"18736416","abstract":"Water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Policy","id":"ITEM-1","issue":"September 2017","issued":{"date-parts":[["2018"]]},"page":"33-45","publisher":"Elsevier","title":"Urban water security indicators: Development and pilot","type":"article-journal","volume":"83"},"uris":["http://www.mendeley.com/documents/?uuid=e7afa2e0-9e23-40fc-9cf3-be2b7d571e34"]},{"id":"ITEM-2","itemData":{"DOI":"10.1002/ajhb.23368","ISSN":"15206300","PMID":"31769124","abstract":"Objectives: Over half of the world's population (4 billion people) experience severe water scarcity at least one month per year, while half a billion people experience severe water scarcity throughout the year. Despite progress from national and global interventions, a staggering proportion of the Global South remains water insecure. Rapid urban growth and associated demographic changes, climate change, and governance failure have also fostered the growth and expansion of urban informal settlements and slums where widespread poverty and environmental hazards exacerbate the impact of water insecurity on health. This article reflects on the interactions between water insecurity and urban poverty in the Global South across four categories of health outcomes: gastrointestinal diseases, mosquito-borne diseases, injuries, and mental illness. These examples highlight the mechanisms through which urban poverty exacerbates the adverse health effects of water insecurity. Methods: The four selected health outcomes were chosen a priori to represent two communicable conditions with well-developed literatures, and two noncommunicable conditions with newer literatures that have emerged over the last decade. We conducted a narrative literature review of scholarly and gray literature appearing between January 2000 and April 2019 using several online scholarly databases. Results: Gastrointestinal diseases, mosquito-borne diseases, injuries, and mental illness all exemplified the relationship between water insecurity and urban poverty through human biological pathways. For each of the four health categories, we identified frontiers for human biology research contributions to the water-poverty-health nexus. Conclusions: We discuss our findings in the context of three crosscutting themes that merit innovative research approaches: stressor interactions and trade-offs, exposure thresholds, and intervention efficacy. We reiterate that the global burden of disease associated with water insecurity cannot be addressed in isolation from efforts to alleviate extreme poverty.","author":[{"dropping-particle":"","family":"Adams","given":"Ellis A.","non-dropping-particle":"","parse-names":false,"suffix":""},{"dropping-particle":"","family":"Stoler","given":"Justin","non-dropping-particle":"","parse-names":false,"suffix":""},{"dropping-particle":"","family":"Adams","given":"Yenupini","non-dropping-particle":"","parse-names":false,"suffix":""}],"container-title":"American Journal of Human Biology","id":"ITEM-2","issue":"1","issued":{"date-parts":[["2020"]]},"page":"1-12","title":"Water insecurity and urban poverty in the Global South: Implications for health and human biology","type":"article-journal","volume":"32"},"uris":["http://www.mendeley.com/documents/?uuid=b9b4ae86-3510-4271-be8c-4e7d929a7cb8","http://www.mendeley.com/documents/?uuid=0d55f94b-e47e-47b4-b43d-5634241b26f2"]},{"id":"ITEM-3","itemData":{"DOI":"10.1371/journal.pone.0214789","ISBN":"1111111111","ISSN":"19326203","PMID":"31017940","abstract":"Safe drinking water access has continued to be a growing issue in Haiti. Water accessibility, availability, and quality can have severe implications on health and safety, with those in urban areas often having more access. Key differences relating to water accessibility can be seen between the urban and peri-urban areas of Haiti. One major objective of this research is to examine the disparities between the two areas and determine limiting and enabling factors that are contributing to the perceived access to clean water. A cross-cultural household water insecurity experiences (HWISE) survey (n = 499) was distributed to determine barriers and accessibility to sufficient water quality and quantity at the household level. This paper explores the relationship between water insecurity between two urban and peri-urban communes in Haiti using this data. Fisher’s Exact and Kruskal-Wallis tests were used to identify significant differences between strata, and logistic regression was used to determine significant associations with water security outcomes. Results indicated there were differences in both the costs and the sources of drinking and non-drinking water between urban and peri-urban Haiti. Certain demographic and behavioral characteristics were associated with increased water insecurity, including a household size greater than five and experiencing injury during collection.","author":[{"dropping-particle":"","family":"Wood","given":"Elizabeth A.","non-dropping-particle":"","parse-names":false,"suffix":""},{"dropping-particle":"","family":"Douglas","given":"Hannah","non-dropping-particle":"","parse-names":false,"suffix":""},{"dropping-particle":"","family":"Fiore","given":"Andrew J.","non-dropping-particle":"","parse-names":false,"suffix":""},{"dropping-particle":"","family":"Bernier","given":"Robinson","non-dropping-particle":"","parse-names":false,"suffix":""},{"dropping-particle":"","family":"Chapman","given":"Kelly S.","non-dropping-particle":"","parse-names":false,"suffix":""}],"container-title":"PLoS ONE","id":"ITEM-3","issue":"4","issued":{"date-parts":[["2019"]]},"page":"1-12","title":"Perceptions of water insecurity from urban and peri-urban Haiti: A quantitative analysis","type":"article-journal","volume":"14"},"uris":["http://www.mendeley.com/documents/?uuid=631d3158-777b-4d23-a637-694f87f50b93","http://www.mendeley.com/documents/?uuid=3c2116e6-5a5e-4f55-ae5e-01eaceae1d58"]}],"mendeley":{"formattedCitation":"(Adams et al., 2020; Jensen &amp; Wu, 2018; Wood et al., 2019)","plainTextFormattedCitation":"(Adams et al., 2020; Jensen &amp; Wu, 2018; Wood et al., 2019)","previouslyFormattedCitation":"(Adams et al., 2020; Jensen &amp; Wu, 2018; Wood et al., 2019)"},"properties":{"noteIndex":0},"schema":"https://github.com/citation-style-language/schema/raw/master/csl-citation.json"}</w:instrText>
      </w:r>
      <w:r w:rsidR="005105BA">
        <w:rPr>
          <w:rFonts w:eastAsia="Times New Roman"/>
        </w:rPr>
        <w:fldChar w:fldCharType="separate"/>
      </w:r>
      <w:r w:rsidR="00EC2386" w:rsidRPr="00EC2386">
        <w:rPr>
          <w:rFonts w:eastAsia="Times New Roman"/>
          <w:noProof/>
        </w:rPr>
        <w:t>(Adams et al., 2020; Jensen &amp; Wu, 2018; Wood et al., 2019)</w:t>
      </w:r>
      <w:r w:rsidR="005105BA">
        <w:rPr>
          <w:rFonts w:eastAsia="Times New Roman"/>
        </w:rPr>
        <w:fldChar w:fldCharType="end"/>
      </w:r>
      <w:r w:rsidRPr="00773A6E">
        <w:rPr>
          <w:rFonts w:eastAsia="Times New Roman"/>
        </w:rPr>
        <w:t>.</w:t>
      </w:r>
      <w:r w:rsidR="00225D64">
        <w:rPr>
          <w:rFonts w:eastAsia="Times New Roman"/>
        </w:rPr>
        <w:t xml:space="preserve"> </w:t>
      </w:r>
      <w:r w:rsidRPr="00773A6E">
        <w:rPr>
          <w:rFonts w:eastAsia="Times New Roman"/>
        </w:rPr>
        <w:t>While multiple definitions of water security exist, depending on the type of system analyzed and its scale (Hoekstra, 2018), in broad terms, it can be understood as “the capacity of a population to safeguard sustainable access to adequate quantities of acceptable quality water for sustaining livelihoods, human well-being, and socio-economic development, for ensuring protection against water-borne pollution and water-related disasters, and for preserving ecosystems in a climate of peace and political stability” (</w:t>
      </w:r>
      <w:r w:rsidR="005105BA">
        <w:rPr>
          <w:rFonts w:eastAsia="Times New Roman"/>
        </w:rPr>
        <w:fldChar w:fldCharType="begin" w:fldLock="1"/>
      </w:r>
      <w:r w:rsidR="00A82EA7">
        <w:rPr>
          <w:rFonts w:eastAsia="Times New Roman"/>
        </w:rPr>
        <w:instrText>ADDIN CSL_CITATION {"citationItems":[{"id":"ITEM-1","itemData":{"ISBN":"978-92-808-6038-2","author":[{"dropping-particle":"","family":"UN-Water","given":"","non-dropping-particle":"","parse-names":false,"suffix":""}],"container-title":"United Nations University","id":"ITEM-1","issued":{"date-parts":[["2013"]]},"number-of-pages":"47","title":"Water Security &amp; the Global Water Agenda","type":"book"},"uris":["http://www.mendeley.com/documents/?uuid=c14cd1e5-cddc-4c89-9ace-76610fdcebf4","http://www.mendeley.com/documents/?uuid=ebecbd7e-6cd6-4aca-8b8d-a72c3ef061f9"]}],"mendeley":{"formattedCitation":"(UN-Water, 2013)","manualFormatting":"(UN-Water, 2013, p1)","plainTextFormattedCitation":"(UN-Water, 2013)","previouslyFormattedCitation":"(UN-Water, 2013)"},"properties":{"noteIndex":0},"schema":"https://github.com/citation-style-language/schema/raw/master/csl-citation.json"}</w:instrText>
      </w:r>
      <w:r w:rsidR="005105BA">
        <w:rPr>
          <w:rFonts w:eastAsia="Times New Roman"/>
        </w:rPr>
        <w:fldChar w:fldCharType="separate"/>
      </w:r>
      <w:r w:rsidR="005105BA" w:rsidRPr="005105BA">
        <w:rPr>
          <w:rFonts w:eastAsia="Times New Roman"/>
          <w:noProof/>
        </w:rPr>
        <w:t>(UN-Water, 2013</w:t>
      </w:r>
      <w:r w:rsidR="005105BA">
        <w:rPr>
          <w:rFonts w:eastAsia="Times New Roman"/>
          <w:noProof/>
        </w:rPr>
        <w:t>, p1</w:t>
      </w:r>
      <w:r w:rsidR="005105BA" w:rsidRPr="005105BA">
        <w:rPr>
          <w:rFonts w:eastAsia="Times New Roman"/>
          <w:noProof/>
        </w:rPr>
        <w:t>)</w:t>
      </w:r>
      <w:r w:rsidR="005105BA">
        <w:rPr>
          <w:rFonts w:eastAsia="Times New Roman"/>
        </w:rPr>
        <w:fldChar w:fldCharType="end"/>
      </w:r>
    </w:p>
    <w:p w14:paraId="3E9F02BD" w14:textId="75DB7A9A" w:rsidR="00E86A0B" w:rsidRPr="00482D05" w:rsidRDefault="00E86A0B" w:rsidP="00E86A0B">
      <w:pPr>
        <w:spacing w:before="240" w:after="240"/>
        <w:jc w:val="both"/>
        <w:rPr>
          <w:rFonts w:eastAsia="Times New Roman"/>
          <w:lang w:val="es-CL"/>
        </w:rPr>
      </w:pPr>
      <w:r w:rsidRPr="00773A6E">
        <w:rPr>
          <w:rFonts w:eastAsia="Times New Roman"/>
        </w:rPr>
        <w:t xml:space="preserve">Accordingly, achieving water security requires at once to advance </w:t>
      </w:r>
      <w:r w:rsidR="00225D64">
        <w:rPr>
          <w:rFonts w:eastAsia="Times New Roman"/>
        </w:rPr>
        <w:t>toward</w:t>
      </w:r>
      <w:r w:rsidRPr="00773A6E">
        <w:rPr>
          <w:rFonts w:eastAsia="Times New Roman"/>
        </w:rPr>
        <w:t xml:space="preserve"> equitable access to water services in sufficient quantity and quality to satisfy multiple needs and uses and to ensure the sustainability and resilience of said services to </w:t>
      </w:r>
      <w:r w:rsidR="00225D64">
        <w:rPr>
          <w:rFonts w:eastAsia="Times New Roman"/>
        </w:rPr>
        <w:t>various</w:t>
      </w:r>
      <w:r w:rsidRPr="00773A6E">
        <w:rPr>
          <w:rFonts w:eastAsia="Times New Roman"/>
        </w:rPr>
        <w:t xml:space="preserve"> nat</w:t>
      </w:r>
      <w:r w:rsidR="005105BA">
        <w:rPr>
          <w:rFonts w:eastAsia="Times New Roman"/>
        </w:rPr>
        <w:t xml:space="preserve">ural and anthropogenic threats </w:t>
      </w:r>
      <w:r w:rsidR="005105BA">
        <w:rPr>
          <w:rFonts w:eastAsia="Times New Roman"/>
        </w:rPr>
        <w:fldChar w:fldCharType="begin" w:fldLock="1"/>
      </w:r>
      <w:r w:rsidR="00A82EA7">
        <w:rPr>
          <w:rFonts w:eastAsia="Times New Roman"/>
        </w:rPr>
        <w:instrText>ADDIN CSL_CITATION {"citationItems":[{"id":"ITEM-1","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(CEPAL)","id":"ITEM-1","issued":{"date-parts":[["2020"]]},"number-of-pages":"133","title":"Seguridad hídrica y energética en América Latina y el Caribe Definición y aproximación territorial para el análisis Gracias por su interés en esta publicación de la CEPAL","type":"report"},"uris":["http://www.mendeley.com/documents/?uuid=2d2877e3-dabf-4923-9c1c-f2dd59c5e2f6","http://www.mendeley.com/documents/?uuid=6f1a197d-b9f3-4537-88d6-7224d575d724"]}],"mendeley":{"formattedCitation":"(Urquiza &amp; Billi, 2020)","plainTextFormattedCitation":"(Urquiza &amp; Billi, 2020)","previouslyFormattedCitation":"(Urquiza &amp; Billi, 2020)"},"properties":{"noteIndex":0},"schema":"https://github.com/citation-style-language/schema/raw/master/csl-citation.json"}</w:instrText>
      </w:r>
      <w:r w:rsidR="005105BA">
        <w:rPr>
          <w:rFonts w:eastAsia="Times New Roman"/>
        </w:rPr>
        <w:fldChar w:fldCharType="separate"/>
      </w:r>
      <w:r w:rsidR="00C060B1" w:rsidRPr="00C060B1">
        <w:rPr>
          <w:rFonts w:eastAsia="Times New Roman"/>
          <w:noProof/>
        </w:rPr>
        <w:t>(Urquiza &amp; Billi, 2020)</w:t>
      </w:r>
      <w:r w:rsidR="005105BA">
        <w:rPr>
          <w:rFonts w:eastAsia="Times New Roman"/>
        </w:rPr>
        <w:fldChar w:fldCharType="end"/>
      </w:r>
      <w:r w:rsidRPr="00773A6E">
        <w:rPr>
          <w:rFonts w:eastAsia="Times New Roman"/>
        </w:rPr>
        <w:t xml:space="preserve">. The latter, in particular, is becoming an increasingly hard challenge in the context of climate change </w:t>
      </w:r>
      <w:r w:rsidR="005105BA">
        <w:rPr>
          <w:rFonts w:eastAsia="Times New Roman"/>
        </w:rPr>
        <w:fldChar w:fldCharType="begin" w:fldLock="1"/>
      </w:r>
      <w:r w:rsidR="00E700C0">
        <w:rPr>
          <w:rFonts w:eastAsia="Times New Roman"/>
        </w:rPr>
        <w:instrText>ADDIN CSL_CITATION {"citationItems":[{"id":"ITEM-1","itemData":{"DOI":"10.2166/wcc.2018.096","ISSN":"20402244","abstract":"Climate change is likely to cause higher temperatures and alterations in precipitation patterns, with potential impacts on water resources. One important issue in this respect is inflow to drinking water reservoirs. Moreover, deteriorating infrastructures cause leakage in water distribution systems and urbanization augments water demand in cities. In this paper, a framework for assessing the combined impacts of multiple trends on water availability is proposed. The approach is focused on treating uncertainty in local climate projections in order to be of practical use to water suppliers and decision makers. An index for water availability (WAI) is introduced to quantify impacts of climate change, population growth, and ageing infrastructure, as well as the effects of implementing counteractive measures, and has been applied to the city of Bergen, Norway. Results of the study emphasize the importance of considering a range of climate scenarios due to the wide spread in global projections. For the specific case of Bergen, substantial alterations in the hydrological cycle were projected, leading to stronger seasonal variations and a more unpredictable water availability. By sensitivity analysis of the WAI, it was demonstrated how two adaptive measures, increased storage capacity and leakage reduction, can help counteract the impacts of climate change.","author":[{"dropping-particle":"","family":"Kristvik","given":"Erle","non-dropping-particle":"","parse-names":false,"suffix":""},{"dropping-particle":"","family":"Muthanna","given":"Tone M.","non-dropping-particle":"","parse-names":false,"suffix":""},{"dropping-particle":"","family":"Alfredsen","given":"Knut","non-dropping-particle":"","parse-names":false,"suffix":""}],"container-title":"Journal of Water and Climate Change","id":"ITEM-1","issue":"1","issued":{"date-parts":[["2019"]]},"page":"1-12","title":"Assessment of future water availability under climate change, considering scenarios for population growth and ageing infrastructure","type":"article-journal","volume":"10"},"uris":["http://www.mendeley.com/documents/?uuid=1726e676-89f3-4377-908f-5f5997937478","http://www.mendeley.com/documents/?uuid=8fda5cac-b068-41c9-8589-e5bb7e82e4e7"]},{"id":"ITEM-2","itemData":{"DOI":"10.1016/j.gloenvcha.2018.07.001","ISBN":"0959-3780","ISSN":"09593780","abstract":"Competition over limited water resources is one of the main concerns for the coming decades. Although water issues alone have not been the sole trigger for warfare in the past, tensions over freshwater management and use represent one of the main concerns in political relations between riparian states and may exacerbate existing tensions, increase regional instability and social unrest. Previous studies made great efforts to understand how international water management problems were addressed by actors in a more cooperative or confrontational way. In this study, we analyze what are the pre-conditions favoring the insurgence of water management issues in shared water bodies, rather than focusing on the way water issues are then managed among actors. We do so by proposing an innovative analysis of past episodes of conflict and cooperation over transboundary water resources (jointly defined as “hydro-political interactions”). On the one hand, we aim at highlighting the factors that are more relevant in determining water interactions across political boundaries. On the other hand, our objective is to map and monitor the evolution of the likelihood of experiencing hydro-political interactions over space and time, under changing socioeconomic and biophysical scenarios, through a spatially explicit data driven index. Historical cross-border water interactions were used as indicators of the magnitude of corresponding water joint-management issues. These were correlated with information about river basin freshwater availability, climate stress, human pressure on water resources, socioeconomic conditions (including institutional development and power imbalances), and topographic characteristics. This analysis allows for identification of the main factors that determine water interactions, such as water availability, population density, power imbalances, and climatic stressors. The proposed model was used to map at high spatial resolution the probability of experiencing hydro-political interactions worldwide. This baseline outline is then compared to four distinct climate and population density projections aimed to estimate trends for hydro-political interactions under future conditions (2050 and 2100), while considering two greenhouse gases emission scenarios (moderate and extreme climate change). The combination of climate and population growth dynamics is expected to impact negatively on the overall hydro-political risk by increasing the likelihood of water in…","author":[{"dropping-particle":"","family":"Farinosi","given":"F.","non-dropping-particle":"","parse-names":false,"suffix":""},{"dropping-particle":"","family":"Giupponi","given":"C.","non-dropping-particle":"","parse-names":false,"suffix":""},{"dropping-particle":"","family":"Reynaud","given":"A.","non-dropping-particle":"","parse-names":false,"suffix":""},{"dropping-particle":"","family":"Ceccherini","given":"G.","non-dropping-particle":"","parse-names":false,"suffix":""},{"dropping-particle":"","family":"Carmona-Moreno","given":"C.","non-dropping-particle":"","parse-names":false,"suffix":""},{"dropping-particle":"","family":"Roo","given":"A.","non-dropping-particle":"De","parse-names":false,"suffix":""},{"dropping-particle":"","family":"Gonzalez-Sanchez","given":"D.","non-dropping-particle":"","parse-names":false,"suffix":""},{"dropping-particle":"","family":"Bidoglio","given":"G.","non-dropping-particle":"","parse-names":false,"suffix":""}],"container-title":"Global Environmental Change","id":"ITEM-2","issued":{"date-parts":[["2018"]]},"language":"English","note":"ISI Document Delivery No.: GZ5FP\nTimes Cited: 1\nCited Reference Count: 100\nCited References: \nAltmann A, 2010, BIOINFORMATICS, V26, P1340, DOI 10.1093/bioinformatics/btq134\nBeck HE, 2017, HYDROL EARTH SYST SC, V21, P589, DOI 10.5194/hess-21-589-2017\nBeck L, 2014, POLIT GEOGR, V42, P23, DOI 10.1016/j.polgeo.2014.05.004\nBegueria S., 2014, CALCULATION STANDARD\nBernauer T, 2014, GLOBAL ENVIRON POLIT, V14, P116, DOI 10.1162/GLEP_a_00260\nBernauer T, 2012, INT INTERACT, V38, P529, DOI 10.1080/03050629.2012.697428\nBernauer T, 2012, ENVIRON RES LETT, V7, DOI 10.1088/1748-9326/7/1/015601\nBohmelt T, 2014, GLOBAL ENVIRON CHANG, V29, P337, DOI 10.1016/j.gloenvcha.2013.11.018\nBreiman L, 2001, MACH LEARN, V45, P5, DOI 10.1023/A:1010933404324\nBreiman L, 1994, BAGGING PREDDICTORS\nBrochmann M, 2012, POLIT GEOGR, V31, P519, DOI 10.1016/j.polgeo.2012.11.001\nBuhaug H, 2010, P NATL ACAD SCI USA, V107, P16477, DOI 10.1073/pnas.1005739107\nBurke MB, 2009, P NATL ACAD SCI USA, V106, P20670, DOI 10.1073/pnas.0907998106\nChen X, 2012, GENOMICS, V99, P323, DOI 10.1016/j.ygeno.2012.04.003\nCouttenier M, 2014, ECON J, V124, P201, DOI 10.1111/ecoj.12042\nDe Stefano L, 2017, GLOBAL ENVIRON CHANG, V45, P35, DOI 10.1016/j.gloenvcha.2017.04.008\nDe Stefano L., 2010, MAPPING RESILIENCE I\nDe Stefano L, 2012, J PEACE RES, V49, P193, DOI 10.1177/0022343311427416\nDe Stefano L, 2010, WATER POLICY, V12, P871, DOI 10.2166/wp.2010.137\nDiaz-Uriarte R., 2014, VARSELRF VARIABLE SE\nDinar A, 2004, WATER RESOUR RES, V40, DOI 10.1029/2003WR002598\nDinar A, 2010, ECOL ECON, V69, P2568, DOI 10.1016/j.ecolecon.2010.07.036\nDinar S, 2015, POLIT GEOGR, V45, P55, DOI 10.1016/j.polgeo.2014.08.003\nDinar S, 2011, INT STUD QUART, V55, P809, DOI 10.1111/j.1468-2478.2011.00671.x\nDonner LJ, 2011, J CLIMATE, V24, P3484, DOI 10.1175/2011JCLI3955.1\nDufresne JL, 2013, CLIM DYNAM, V40, P2123, DOI 10.1007/s00382-012-1636-1\nEspey M, 2004, WATER RESOUR RES, V40, DOI 10.1029/2003WR002534\nFalkenmark M, 2005, HYDROL EARTH SYST SC, V9, P15, DOI 10.5194/hess-9-15-2005\nFreire S, 2015, GHS POPULATION GRID\nGain AK, 2016, ENVIRON RES LETT, V11, DOI 10.1088/1748-9326/11/12/124015\nGassert F., 2014, AQUEDUCT GLOBAL MAPS\nGassert F., 2013, AQUEDUCT GLOBAL MAPS\nGiordano MA, 2003, NAT RESOUR FORUM, V27, P163, DOI 10.1111/1477-8947.00051\nGleditsch KS, 2002, J CONFLICT RESOLUT, V46, P712, DOI 10.1177/002200202236171\nGleditsch NP, 2006, POLIT GEOGR, V25, P361, DOI 10.1016/j.polgeo.2006.02.004\nGleick P.H., 1998, WORLDS WATER 1998 19, P105\nGLEICK PH, 1994, ENVIRONMENT, V36, P6, DOI 10.1080/00139157.1994.9929154\nGrey D, 2003, WATER SCI TECHNOL, V47, P91\nHastie T., 2009, ELEMENTS STAT LEARNI, DOI [10.1007/978-0-387-84858-7, DOI 10.1007/978-0-387-84858-7]\nHensel PR, 2008, J CONFLICT RESOLUT, V52, P117, DOI 10.1177/0022002707310425\nHensel PR, 2006, POLIT GEOGR, V25, P383, DOI 10.1016/j.polgeo.2005.11.001\nHo TK, 1998, IEEE T PATTERN ANAL, V20, P832, DOI 10.1109/34.709601\nHsiang SM, 2011, NATURE, V476, P438, DOI 10.1038/nature10311\nJeong JH, 2016, PLOS ONE, V11, DOI 10.1371/journal.pone.0156571\nJing WL, 2016, REMOTE SENS-BASEL, V8, DOI 10.3390/rs8100835\nKalbhenn A., 2012, SSRN ELECT J, DOI [10.2139/ssrn.2176609, DOI 10.2139/SSRN.2176609]\nKallis G, 2014, CLIMATIC CHANGE, V123, P69, DOI 10.1007/s10584-013-0893-2\nKatz D, 2011, GLOBAL ENVIRON POLIT, V11, P12, DOI 10.1162/GLEP_a_00041\nKaufmann D., 2010, WORLDWIDE GOVERNANCE\nKnutti R, 2013, GEOPHYS RES LETT, V40, P1194, DOI 10.1002/grl.50256\nKuhn M, 2008, J STAT SOFTW, V28, P1\nKVALSETH TO, 1985, AM STAT, V39, P279, DOI 10.2307/2683704\nLi B, 2016, HYDROL RES, V47, P69, DOI 10.2166/nh.2016.264\nLiaw A, 2002, R NEWS\nLoidl V, 2016, INT J ENV RES PUB HE, V13, DOI 10.3390/ijerph13040416\nMalekipirbazari M, 2015, EXPERT SYST APPL, V42, P4621, DOI 10.1016/j.eswa.2015.02.001\nMALTHUS T. R., 1798, ESSAY PRINCIPLE POPU\nMcDonald RI, 2014, GLOBAL ENVIRON CHANG, V27, P96, DOI 10.1016/j.gloenvcha.2014.04.022\nMcKee T., 1993, C APPL CLIMATOLOGY, P179\nMeinshausen M, 2011, CLIMATIC CHANGE, V109, P213, DOI 10.1007/s10584-011-0156-z\nMeinshausen M, 2009, NATURE, V458, P1158, DOI 10.1038/nature08017\nMohr CH, 2017, EARTH PLANET SC LETT, V458, P418, DOI 10.1016/j.epsl.2016.11.013\nMunia H, 2016, ENVIRON RES LETT, V11, DOI 10.1088/1748-9326/11/1/014002\nNunez J, 2016, J HYDROL, V538, P515, DOI 10.1016/j.jhydrol.2016.04.025\nPetersen-Perlman JD, 2016, WATER RESOUR MANAG, V30, P1987, DOI 10.1007/s11269-016-1264-3\nPourtaghi ZS, 2016, ECOL INDIC, V64, P72, DOI 10.1016/j.ecolind.2015.12.030\nRasquinha DN, 2016, CURR SCI INDIA, V111, P147, DOI 10.18520/cs/v111/i1/147-156\nReig P., 2013, AQUEDUCT WATER RISK\nSeber G. A. F., 2003, LINEAR REGRESSION AN, DOI 10.1002/9780471722199\nSegal MR, 2004, MACHINE LEARNING BEN\nSinger J David, 1972, PEACE WAR NUMBERS, P19\nSirin CV, 2011, CIV WARS, V13, P122, DOI 10.1080/13698249.2011.576141\nStrobl C, 2007, BMC BIOINFORMATICS, V8, DOI 10.1186/1471-2105-8-25\nStrobl C, 2009, PSYCHOL METHODS, V14, P323, DOI 10.1037/a0016973\nSvoboda M., 2012, 1090 WMO\nTaylor KE, 2012, B AM METEOROL SOC, V93, P485, DOI 10.1175/BAMS-D-11-00094.1\nThrasher B, 2012, HYDROL EARTH SYST SC, V16, P3309, DOI 10.5194/hess-16-3309-2012\nUN/DESA, 2017, ESAPWP248 UNDESA\nUNEP DHI, 2016, TRANSB RIV BAS STAT\nVogels MFA, 2017, INT J APPL EARTH OBS, V54, P114, DOI 10.1016/j.jag.2016.09.003\nVolodin EM, 2013, IZV ATMOS OCEAN PHY+, V49, P347, DOI 10.1134/S0001433813040105\nVolodin EM, 2010, IZV ATMOS OCEAN PHY+, V46, P414, DOI 10.1134/S000143381004002X\nWatanabe M, 2010, J CLIMATE, V23, P6312, DOI 10.1175/2010JCLI3679.1\nWatson J D, 2015, THESIS\nWeedon GP, 2014, WATER RESOUR RES, V50, P7505, DOI 10.1002/2014WR015638\nWEF, 2017, WORLD EC FOR GLOB RI\nWEF, 2016, WORLD EC FOR GLOB RI\nWelling S.H., 2016, ARXIV E PRINTS\nWolf A. T., 2003, Water Policy, V5, P29\nWolf AT, 2009, J CONTEMP WAT RES ED, V142, P67, DOI 10.1111/j.1936-704X.2009.00056.x\nWolf AT, 2007, ANNU REV ENV RESOUR, V32, P241, DOI 10.1146/annurev.energy.32.041006.101434\nWOLF AT, 1998, WATER POLICY, V0001\nWorld Bank, 2018, WDI WORLD DEV IND DA\nYoffe S, 2004, WATER RESOUR RES, V40, DOI 10.1029/2003WR002530\nYoffe S, 2003, J AM WATER RESOUR AS, V39, P1109, DOI 10.1111/j.1752-1688.2003.tb03696.x\nYoffe S.B., 2002, THESIS\nZawahri NA, 2011, INT STUD QUART, V55, P835, DOI 10.1111/j.1468-2478.2011.00673.x\nZawahri NA, 2009, INT NEGOT, V14, P211, DOI 10.1163/157180609X432806\nZeitoun M, 2008, INT ENVIRON AGREEM-P, V8, P297, DOI 10.1007/s10784-008-9083-5\nZeitoun M, 2011, INT ENVIRON AGREEM-P, V11, P159, DOI 10.1007/s10784-010-9134-6\nFarinosi, F. Giupponi, C. Reynaud, A. Ceccherini, G. Carmona-Moreno, C. De Roo, A. Gonzalez-Sanchez, D. Bidoglio, G.\nceccherini, guido/G-9406-2018\nceccherini, guido/0000-0003-1772-9554\nResearch Chair &amp;quot;Finance Durable et Investissement Responsable&amp;quot;; Amundi\nArnaud Reynaud gratefully acknowledges the financial support of the Research Chair &amp;quot;Finance Durable et Investissement Responsable&amp;quot; and the Research Chair Amundi.\n1\n10\n11\nElsevier sci ltd\nOxford\n1872-9495","page":"286-313","title":"An innovative approach to the assessment of hydro-political risk: A spatially explicit, data driven indicator of hydro-political issues","type":"article-journal","volume":"52"},"uris":["http://www.mendeley.com/documents/?uuid=1515d8c3-5676-47f1-8446-d8bf2b4fe86c","http://www.mendeley.com/documents/?uuid=02e94571-55f4-40b2-ab1e-6f9ca6b1775d"]}],"mendeley":{"formattedCitation":"(Farinosi et al., 2018; Kristvik et al., 2019)","plainTextFormattedCitation":"(Farinosi et al., 2018; Kristvik et al., 2019)","previouslyFormattedCitation":"(Farinosi et al., 2018; Kristvik et al., 2019)"},"properties":{"noteIndex":0},"schema":"https://github.com/citation-style-language/schema/raw/master/csl-citation.json"}</w:instrText>
      </w:r>
      <w:r w:rsidR="005105BA">
        <w:rPr>
          <w:rFonts w:eastAsia="Times New Roman"/>
        </w:rPr>
        <w:fldChar w:fldCharType="separate"/>
      </w:r>
      <w:r w:rsidR="005105BA" w:rsidRPr="005105BA">
        <w:rPr>
          <w:rFonts w:eastAsia="Times New Roman"/>
          <w:noProof/>
        </w:rPr>
        <w:t>(Farinosi et al., 2018; Kristvik et al., 2019)</w:t>
      </w:r>
      <w:r w:rsidR="005105BA">
        <w:rPr>
          <w:rFonts w:eastAsia="Times New Roman"/>
        </w:rPr>
        <w:fldChar w:fldCharType="end"/>
      </w:r>
      <w:r w:rsidR="005105BA">
        <w:rPr>
          <w:rFonts w:eastAsia="Times New Roman"/>
        </w:rPr>
        <w:t xml:space="preserve"> </w:t>
      </w:r>
      <w:r w:rsidRPr="00773A6E">
        <w:rPr>
          <w:rFonts w:eastAsia="Times New Roman"/>
        </w:rPr>
        <w:t xml:space="preserve">and increasing urbanization </w:t>
      </w:r>
      <w:r w:rsidR="005105BA">
        <w:rPr>
          <w:rFonts w:eastAsia="Times New Roman"/>
        </w:rPr>
        <w:fldChar w:fldCharType="begin" w:fldLock="1"/>
      </w:r>
      <w:r w:rsidR="00A82EA7">
        <w:rPr>
          <w:rFonts w:eastAsia="Times New Roman"/>
        </w:rPr>
        <w:instrText>ADDIN CSL_CITATION {"citationItems":[{"id":"ITEM-1","itemData":{"DOI":"10.1016/j.gloenvcha.2012.10.002","ISSN":"09593780","abstract":"While there is consensus that urbanization is one of the major trends of the 21st century in developing countries, there is debate as to whether urbanization will increase or decrease vulnerability to droughts. Here we examine the relationship between urbanization and water vulnerability for a fast-growing city, Chennai, India, using a coupled human-environment systems (CHES) modeling approach. Although the link between urbanization and water vulnerability is highly site-specific, our results show some generalizable factors exist. First, the urban transformation of the water system is decentralized as irrigation wells are converted to domestic wells by private individuals, and not by the municipal authority. Second, urban vulnerability to water shortages depends on a combination of several factors: the formal water infrastructure, the rate and spatial pattern of land use change, adaptation by households and the characteristics of the ground and surface water system. Third, vulnerability is dynamic, spatially variable and scale dependent. Even as household investments in private wells make individual households less vulnerable, over time and cumulatively, they make the entire region more vulnerable. Taken together, the results suggest that in order to reduce vulnerability to water short</w:instrText>
      </w:r>
      <w:r w:rsidR="00A82EA7" w:rsidRPr="00482D05">
        <w:rPr>
          <w:rFonts w:eastAsia="Times New Roman"/>
          <w:lang w:val="es-CL"/>
        </w:rPr>
        <w:instrText>ages, there is a need for new forms of urban governance and planning institutions that are capable of managing both centralized actions by utilities and decentralized actions by millions of households. © 2012 Elsevier Ltd.","author":[{"dropping-particle":"","family":"Srinivasan","given":"Veena","non-dropping-particle":"","parse-names":false,"suffix":""},{"dropping-particle":"","family":"Seto","given":"Karen C.","non-dropping-particle":"","parse-names":false,"suffix":""},{"dropping-particle":"","family":"Emerson","given":"Ruth","non-dropping-particle":"","parse-names":false,"suffix":""},{"dropping-particle":"","family":"Gorelick","given":"Steven M.","non-dropping-particle":"","parse-names":false,"suffix":""}],"container-title":"Global Environmental Change","id":"ITEM-1","issue":"1","issued":{"date-parts":[["2013"]]},"page":"229-239","publisher":"Elsevier Ltd","title":"The impact of urbanization on water vulnerability: A coupled human-environment system approach for Chennai, India","type":"article-journal","volume":"23"},"uris":["http://www.mendeley.com/documents/?uuid=647c2deb-8bb1-467f-83a6-eb0ac633c360","http://www.mendeley.com/documents/?uuid=d8c03f2c-556f-4709-a3cf-defd38270459"]}],"mendeley":{"formattedCitation":"(Srinivasan et al., 2013)","plainTextFormattedCitation":"(Srinivasan et al., 2013)","previouslyFormattedCitation":"(Srinivasan et al., 2013)"},"properties":{"noteIndex":0},"schema":"https://github.com/citation-style-language/schema/raw/master/csl-citation.json"}</w:instrText>
      </w:r>
      <w:r w:rsidR="005105BA">
        <w:rPr>
          <w:rFonts w:eastAsia="Times New Roman"/>
        </w:rPr>
        <w:fldChar w:fldCharType="separate"/>
      </w:r>
      <w:r w:rsidR="005105BA" w:rsidRPr="00482D05">
        <w:rPr>
          <w:rFonts w:eastAsia="Times New Roman"/>
          <w:noProof/>
          <w:lang w:val="es-CL"/>
        </w:rPr>
        <w:t>(Srinivasan et al., 2013)</w:t>
      </w:r>
      <w:r w:rsidR="005105BA">
        <w:rPr>
          <w:rFonts w:eastAsia="Times New Roman"/>
        </w:rPr>
        <w:fldChar w:fldCharType="end"/>
      </w:r>
    </w:p>
    <w:p w14:paraId="7538E932" w14:textId="62857294" w:rsidR="00E86A0B" w:rsidRPr="00773A6E" w:rsidRDefault="005105BA" w:rsidP="00E86A0B">
      <w:pPr>
        <w:spacing w:before="240" w:after="240"/>
        <w:jc w:val="both"/>
        <w:rPr>
          <w:rFonts w:eastAsia="Times New Roman"/>
        </w:rPr>
      </w:pPr>
      <w:r>
        <w:rPr>
          <w:rFonts w:eastAsia="Times New Roman"/>
        </w:rPr>
        <w:fldChar w:fldCharType="begin" w:fldLock="1"/>
      </w:r>
      <w:r w:rsidR="00E700C0">
        <w:rPr>
          <w:rFonts w:eastAsia="Times New Roman"/>
          <w:lang w:val="es-CL"/>
        </w:rPr>
        <w:instrText>ADDIN CSL_CITATION {"citationItems":[{"id":"ITEM-1","itemData":{"DOI":"10.1126/sciadv.1500323","ISSN":"23752548","PMID":"26933676","abstract":"Freshwater scarcity is increasingly perceived as a global systemic risk. Previous global water scarcity assessments, measuring water scarcity annually, have underestimated experienced water scarcity by failing to capture the seasonal fluctuations in water consumption and availability. We assess blue water scarcity globally at a high spatial resolution on a monthly basis. We find that tw</w:instrText>
      </w:r>
      <w:r w:rsidR="00E700C0" w:rsidRPr="003E0E91">
        <w:rPr>
          <w:rFonts w:eastAsia="Times New Roman"/>
          <w:lang w:val="es-CL"/>
        </w:rPr>
        <w:instrText>o-thirds of the global population (4.0 billion people) live under conditions of severe water scarcity at least 1 month of the year. Nearly half of those people live in India and China. Half a billion people in the world face severe water scarcity all year round. Putting caps to water consumption by river basin, increasing water-use efficiencies, and better sharing of the limited freshwater resources will be key in reducing the threat posed by water scarcity on biodiversity and human welfare.","author":[{"dropping-particle":"","family":"Mekonnen","given":"Mesfin M.","non-dropping-particle":"","parse-names":false,"suffix":""},{"dropping-particle":"","family":"Hoekstra","given":"Arjen Y.","non-dropping-particle":"","parse-names":false,"suffix":""}],"container-title":"Science Advances","id":"ITEM-1","issue":"2","issued":{"date-parts":[["2016"]]},"page":"1-7","title":"Sustainability: Four billion people facing severe water scarcity","type":"article-journal","volume":"2"},"uris":["http://www.mendeley.com/documents/?uuid=0f16f28d-c29c-41bb-a3bd-625d5950e328","http://www.mendeley.com/documents/?uuid=b611d6c5-b6a5-46bd-9e1f-d348edc315f9"]}],"mendeley":{"formattedCitation":"(Mekonnen &amp; Hoekstra, 2016)","manualFormatting":"Mekonnen &amp; Hoekstra (2016)","plainTextFormattedCitation":"(Mekonnen &amp; Hoekstra, 2016)","previouslyFormattedCitation":"(Mekonnen &amp; Hoekstra, 2016)"},"properties":{"noteIndex":0},"schema":"https://github.com/citation-style-language/schema/raw/master/csl-citation.json"}</w:instrText>
      </w:r>
      <w:r>
        <w:rPr>
          <w:rFonts w:eastAsia="Times New Roman"/>
        </w:rPr>
        <w:fldChar w:fldCharType="separate"/>
      </w:r>
      <w:r w:rsidRPr="003E0E91">
        <w:rPr>
          <w:rFonts w:eastAsia="Times New Roman"/>
          <w:noProof/>
          <w:lang w:val="es-CL"/>
        </w:rPr>
        <w:t>Mekonnen &amp; Hoekstra (2016)</w:t>
      </w:r>
      <w:r>
        <w:rPr>
          <w:rFonts w:eastAsia="Times New Roman"/>
        </w:rPr>
        <w:fldChar w:fldCharType="end"/>
      </w:r>
      <w:r w:rsidRPr="003E0E91">
        <w:rPr>
          <w:rFonts w:eastAsia="Times New Roman"/>
          <w:lang w:val="es-CL"/>
        </w:rPr>
        <w:t xml:space="preserve"> </w:t>
      </w:r>
      <w:r w:rsidR="00E86A0B" w:rsidRPr="003E0E91">
        <w:rPr>
          <w:rFonts w:eastAsia="Times New Roman"/>
          <w:lang w:val="es-CL"/>
        </w:rPr>
        <w:t xml:space="preserve">estimate that four billion people already face water scarcity considering seasonal and inter-annual climate variations in water availability. </w:t>
      </w:r>
      <w:r w:rsidR="00E86A0B" w:rsidRPr="00773A6E">
        <w:rPr>
          <w:rFonts w:eastAsia="Times New Roman"/>
        </w:rPr>
        <w:t xml:space="preserve">Unfortunately, water security issues are expected to increase, as </w:t>
      </w:r>
      <w:r w:rsidR="00FF1381">
        <w:rPr>
          <w:rFonts w:eastAsia="Times New Roman"/>
        </w:rPr>
        <w:fldChar w:fldCharType="begin" w:fldLock="1"/>
      </w:r>
      <w:r w:rsidR="00A82EA7">
        <w:rPr>
          <w:rFonts w:eastAsia="Times New Roman"/>
        </w:rPr>
        <w:instrText>ADDIN CSL_CITATION {"citationItems":[{"id":"ITEM-1","itemData":{"ISBN":"9781009157896","author":[{"dropping-particle":"","family":"IPCC","given":"","non-dropping-particle":"","parse-names":false,"suffix":""}],"id":"ITEM-1","issued":{"date-parts":[["2021"]]},"number-of-pages":"3-32","title":"Summary for Policymakers. In: Climate Change 2021: The Physical Science Basis. Contribution of Working Group I to the Sixth Assessment Report of the Intergovernmental Panel on Climate Change","type":"book"},"uris":["http://www.mendeley.com/documents/?uuid=7da5a157-cd84-4aca-b754-ae165a465e45","http://www.mendeley.com/documents/?uuid=5e9ea3bb-2ce7-4b28-bf46-98a88e9d9e8f"]}],"mendeley":{"formattedCitation":"(IPCC, 2021)","manualFormatting":"IPCC (2021)","plainTextFormattedCitation":"(IPCC, 2021)","previouslyFormattedCitation":"(IPCC, 2021)"},"properties":{"noteIndex":0},"schema":"https://github.com/citation-style-language/schema/raw/master/csl-citation.json"}</w:instrText>
      </w:r>
      <w:r w:rsidR="00FF1381">
        <w:rPr>
          <w:rFonts w:eastAsia="Times New Roman"/>
        </w:rPr>
        <w:fldChar w:fldCharType="separate"/>
      </w:r>
      <w:r w:rsidR="00FF1381">
        <w:rPr>
          <w:rFonts w:eastAsia="Times New Roman"/>
          <w:noProof/>
        </w:rPr>
        <w:t>IPCC</w:t>
      </w:r>
      <w:r w:rsidR="00FF1381" w:rsidRPr="00FF1381">
        <w:rPr>
          <w:rFonts w:eastAsia="Times New Roman"/>
          <w:noProof/>
        </w:rPr>
        <w:t xml:space="preserve"> </w:t>
      </w:r>
      <w:r w:rsidR="00FF1381">
        <w:rPr>
          <w:rFonts w:eastAsia="Times New Roman"/>
          <w:noProof/>
        </w:rPr>
        <w:t>(</w:t>
      </w:r>
      <w:r w:rsidR="00FF1381" w:rsidRPr="00FF1381">
        <w:rPr>
          <w:rFonts w:eastAsia="Times New Roman"/>
          <w:noProof/>
        </w:rPr>
        <w:t>2021)</w:t>
      </w:r>
      <w:r w:rsidR="00FF1381">
        <w:rPr>
          <w:rFonts w:eastAsia="Times New Roman"/>
        </w:rPr>
        <w:fldChar w:fldCharType="end"/>
      </w:r>
      <w:r w:rsidR="00FF1381">
        <w:rPr>
          <w:rFonts w:eastAsia="Times New Roman"/>
        </w:rPr>
        <w:t xml:space="preserve"> </w:t>
      </w:r>
      <w:r w:rsidR="00E86A0B" w:rsidRPr="00773A6E">
        <w:rPr>
          <w:rFonts w:eastAsia="Times New Roman"/>
        </w:rPr>
        <w:t xml:space="preserve">projects a reduction in renewable superficial and underground water resources, as well as an increase in </w:t>
      </w:r>
      <w:r w:rsidR="00E86A0B" w:rsidRPr="00773A6E">
        <w:rPr>
          <w:rFonts w:eastAsia="Times New Roman"/>
        </w:rPr>
        <w:lastRenderedPageBreak/>
        <w:t xml:space="preserve">frequency and intensity of droughts and a deterioration of water quality, the latter due to both higher concentration of contaminants and a higher frequency of heavy precipitation events. Thus, climate change must be assessed as a major </w:t>
      </w:r>
      <w:r w:rsidR="00AC24B4" w:rsidRPr="00F51653">
        <w:rPr>
          <w:rFonts w:eastAsia="Times New Roman"/>
        </w:rPr>
        <w:t>threat</w:t>
      </w:r>
      <w:r w:rsidR="00AC24B4" w:rsidRPr="00F51653" w:rsidDel="00F51653">
        <w:rPr>
          <w:rFonts w:eastAsia="Times New Roman"/>
        </w:rPr>
        <w:t xml:space="preserve"> </w:t>
      </w:r>
      <w:r w:rsidR="00AC24B4" w:rsidRPr="00773A6E">
        <w:rPr>
          <w:rFonts w:eastAsia="Times New Roman"/>
        </w:rPr>
        <w:t>to</w:t>
      </w:r>
      <w:r w:rsidR="00E86A0B" w:rsidRPr="00773A6E">
        <w:rPr>
          <w:rFonts w:eastAsia="Times New Roman"/>
        </w:rPr>
        <w:t xml:space="preserve"> reach and sustain water security.</w:t>
      </w:r>
    </w:p>
    <w:p w14:paraId="23570985" w14:textId="3B693B34" w:rsidR="00E86A0B" w:rsidRPr="00773A6E" w:rsidRDefault="00E86A0B" w:rsidP="00E86A0B">
      <w:pPr>
        <w:spacing w:before="240"/>
        <w:jc w:val="both"/>
        <w:rPr>
          <w:rFonts w:eastAsia="Times New Roman"/>
        </w:rPr>
      </w:pPr>
      <w:r w:rsidRPr="00773A6E">
        <w:rPr>
          <w:rFonts w:eastAsia="Times New Roman"/>
        </w:rPr>
        <w:t>Climate change does not impact all the territories</w:t>
      </w:r>
      <w:r w:rsidR="005767DA">
        <w:rPr>
          <w:rFonts w:eastAsia="Times New Roman"/>
        </w:rPr>
        <w:t xml:space="preserve"> </w:t>
      </w:r>
      <w:r w:rsidR="005767DA" w:rsidRPr="00773A6E">
        <w:rPr>
          <w:rFonts w:eastAsia="Times New Roman"/>
        </w:rPr>
        <w:t>homogenously</w:t>
      </w:r>
      <w:r w:rsidRPr="00773A6E">
        <w:rPr>
          <w:rFonts w:eastAsia="Times New Roman"/>
        </w:rPr>
        <w:t xml:space="preserve"> but yields differential impacts depending on multiple social, economic and environmental parameters </w:t>
      </w:r>
      <w:r w:rsidR="00FF1381">
        <w:rPr>
          <w:rFonts w:eastAsia="Times New Roman"/>
        </w:rPr>
        <w:fldChar w:fldCharType="begin" w:fldLock="1"/>
      </w:r>
      <w:r w:rsidR="00A82EA7">
        <w:rPr>
          <w:rFonts w:eastAsia="Times New Roman"/>
        </w:rPr>
        <w:instrText>ADDIN CSL_CITATION {"citationItems":[{"id":"ITEM-1","itemData":{"author":[{"dropping-particle":"","family":"IPCC","given":"","non-dropping-particle":"","parse-names":false,"suffix":""}],"id":"ITEM-1","issued":{"date-parts":[["2022"]]},"title":"Climate Change 2022: Impacts, Adaptation and Vulnerability:water Summary for Policymakers","type":"article-journal"},"uris":["http://www.mendeley.com/documents/?uuid=98f81292-9d3d-44a8-a6dd-0ac0be804266","http://www.mendeley.com/documents/?uuid=b22577f2-0970-4cf9-acd3-79f958ca860c"]}],"mendeley":{"formattedCitation":"(IPCC, 2022)","plainTextFormattedCitation":"(IPCC, 2022)","previouslyFormattedCitation":"(IPCC, 2022)"},"properties":{"noteIndex":0},"schema":"https://github.com/citation-style-language/schema/raw/master/csl-citation.json"}</w:instrText>
      </w:r>
      <w:r w:rsidR="00FF1381">
        <w:rPr>
          <w:rFonts w:eastAsia="Times New Roman"/>
        </w:rPr>
        <w:fldChar w:fldCharType="separate"/>
      </w:r>
      <w:r w:rsidR="00FF1381" w:rsidRPr="00FF1381">
        <w:rPr>
          <w:rFonts w:eastAsia="Times New Roman"/>
          <w:noProof/>
        </w:rPr>
        <w:t>(IPCC, 2022)</w:t>
      </w:r>
      <w:r w:rsidR="00FF1381">
        <w:rPr>
          <w:rFonts w:eastAsia="Times New Roman"/>
        </w:rPr>
        <w:fldChar w:fldCharType="end"/>
      </w:r>
      <w:r w:rsidR="00FF1381">
        <w:rPr>
          <w:rFonts w:eastAsia="Times New Roman"/>
        </w:rPr>
        <w:t xml:space="preserve"> </w:t>
      </w:r>
      <w:r w:rsidRPr="00773A6E">
        <w:rPr>
          <w:rFonts w:eastAsia="Times New Roman"/>
        </w:rPr>
        <w:t xml:space="preserve">Therefore, evaluating the water risk due to climate change requires developing integrated frameworks able to capture the determinants and spatial distribution of water insecurity, which must be sensitive to the particular ecological, technical and socio-cultural conditions of each territorial context. </w:t>
      </w:r>
    </w:p>
    <w:p w14:paraId="6D5D5093" w14:textId="24C64515" w:rsidR="00FF1381" w:rsidRPr="004E7094" w:rsidRDefault="00E86A0B" w:rsidP="00E86A0B">
      <w:pPr>
        <w:spacing w:before="240"/>
        <w:jc w:val="both"/>
        <w:rPr>
          <w:rFonts w:eastAsia="Times New Roman"/>
          <w:lang w:val="es-CL"/>
        </w:rPr>
      </w:pPr>
      <w:r w:rsidRPr="00773A6E">
        <w:rPr>
          <w:rFonts w:eastAsia="Times New Roman"/>
        </w:rPr>
        <w:t xml:space="preserve">Usually, water security analyses are performed at a basin or city level </w:t>
      </w:r>
      <w:r w:rsidR="00FF1381">
        <w:rPr>
          <w:rFonts w:eastAsia="Times New Roman"/>
        </w:rPr>
        <w:fldChar w:fldCharType="begin" w:fldLock="1"/>
      </w:r>
      <w:r w:rsidR="00497278">
        <w:rPr>
          <w:rFonts w:eastAsia="Times New Roman"/>
        </w:rPr>
        <w:instrText>ADDIN CSL_CITATION {"citationItems":[{"id":"ITEM-1","itemData":{"DOI":"10.1016/j.jclepro.2021.129004","ISSN":"09596526","abstract":"Water plays a quintessential role in the lives of individuals and communities. In recent decades, population growth, migration from rural to urban areas, industrialization, and climate change have increasingly jeopardized the sustainability of cities, especially in developing countries, including Iran. The purpose of this study is to assess recent and future perspectives for urban water security in Iran. To do so, the paper extends previous water security studies within the region by collecting data on urban water security from a cohort of cities rather than a single location. To assess the state of water security in the recent past, from 2013 to 2019, we introduce a dedicated framework comprised of five dimensions and twelve indicators. In estimating future water resources for Iran in the period up to 2100, ensemble-based hydro-climatic regional climate model projections for RCPs 4.5 and 8.5 were analyzed in time and space. The results show that four of the five dimensions of present-day urban water security, including accessibility, availability, water health and sanitation, and the economic value of water, all demonstrate general improvements in water-related urban infrastructure, whereas the environmental indicator depicts a decreasing trend. Future projected trends for Iran's hydro-climate show a general decline in its net availability from already scarce conditions and also increased variability due to climate change. In general, the study indicates both advances in Iran's urban water security recently and severe implications for future water availability in certain regions and periods in the decades to come. The study also advises policymakers to seek to mitigate the water crisis in so far, as also enforced by climate change, by increasing the appropriate infrastructure and using new technologies in the water and wastewater industry.","author":[{"dropping-particle":"","family":"Karimi Alavijeh","given":"Nooshin","non-dropping-particle":"","parse-names":false,"suffix":""},{"dropping-particle":"","family":"Falahi","given":"Mohammad Ali","non-dropping-particle":"","parse-names":false,"suffix":""},{"dropping-particle":"","family":"Ahmadi Shadmehri","given":"Mohammad Taher","non-dropping-particle":"","parse-names":false,"suffix":""},{"dropping-particle":"","family":"Salehnia","given":"Narges","non-dropping-particle":"","parse-names":false,"suffix":""},{"dropping-particle":"","family":"Larsen","given":"Morten Andreas Dahl","non-dropping-particle":"","parse-names":false,"suffix":""},{"dropping-particle":"","family":"Drews","given":"Martin","non-dropping-particle":"","parse-names":false,"suffix":""}],"container-title":"Journal of Cleaner Production","id":"ITEM-1","issue":"December 2020","issued":{"date-parts":[["2021"]]},"page":"129004","publisher":"Elsevier Ltd","title":"Perspectives of current and future urban water security in Iran","type":"article-journal","volume":"321"},"uris":["http://www.mendeley.com/documents/?uuid=030a7e3c-fb62-4aa6-a283-d339dc7aa447"]}],"mendeley":{"formattedCitation":"(Karimi Alavijeh et al., 2021)","plainTextFormattedCitation":"(Karimi Alavijeh et al., 2021)","previouslyFormattedCitation":"(Karimi Alavijeh et al., 2021)"},"properties":{"noteIndex":0},"schema":"https://github.com/citation-style-language/schema/raw/master/csl-citation.json"}</w:instrText>
      </w:r>
      <w:r w:rsidR="00FF1381">
        <w:rPr>
          <w:rFonts w:eastAsia="Times New Roman"/>
        </w:rPr>
        <w:fldChar w:fldCharType="separate"/>
      </w:r>
      <w:r w:rsidR="00E700C0" w:rsidRPr="00E700C0">
        <w:rPr>
          <w:rFonts w:eastAsia="Times New Roman"/>
          <w:noProof/>
        </w:rPr>
        <w:t>(Karimi Alavijeh et al., 2021)</w:t>
      </w:r>
      <w:r w:rsidR="00FF1381">
        <w:rPr>
          <w:rFonts w:eastAsia="Times New Roman"/>
        </w:rPr>
        <w:fldChar w:fldCharType="end"/>
      </w:r>
      <w:r w:rsidR="00FF1381">
        <w:rPr>
          <w:rFonts w:eastAsia="Times New Roman"/>
        </w:rPr>
        <w:t xml:space="preserve"> </w:t>
      </w:r>
      <w:r w:rsidRPr="00773A6E">
        <w:rPr>
          <w:rFonts w:eastAsia="Times New Roman"/>
        </w:rPr>
        <w:t>but many of the drivers of water security, including infrastructural, sociodemographic, and cultural variables, vary at smaller scales. Also, actions aimed at fostering water security are most effective when performed at the local level, with a keener understanding of how different sources of risk interact with the specific conditions of particular areas and populations within human settlements. We then need a more detailed resolution in the evaluation of water security risks allowing to consider the characteristics of smaller territorial</w:t>
      </w:r>
      <w:r w:rsidR="004E7094">
        <w:rPr>
          <w:rFonts w:eastAsia="Times New Roman"/>
        </w:rPr>
        <w:fldChar w:fldCharType="begin" w:fldLock="1"/>
      </w:r>
      <w:r w:rsidR="004E7094">
        <w:rPr>
          <w:rFonts w:eastAsia="Times New Roman"/>
        </w:rPr>
        <w:instrText>ADDIN CSL_CITATION {"citationItems":[{"id":"ITEM-1","itemData":{"DOI":"10.3390/w11010037","ISSN":"20734441","abstract":"Water security is a global concern because of the growing impact of human activities and climate change on water resources. Studies had been performed at global, country, and city level to assess the water security issues. However, assessment of water security at a domestic scale is lacking. This paper develops a new domestic water security assessment framework accounting for water supply, sanitation, and hygiene through twelve indicators. Water supply, sanitation, and hygiene are central to key water-related sustainable development goals. The framework is subsequently applied to the city of Addis Ababa, Ethiopia. From the domestic water security assessment of Addis Ababa, the water supply dimension was found to be of good level, whereas the sanitation and hygiene dimensions were of poor and fair level, respectively, indicating both a challenge and an opportunity for development. Because the analysis is spatially explicit at the city-branch level (in Addis), variation in domestic water security performance across Addis Ababa can be assessed, allowing efficient targeting of scant resources (financial, technical, personnel). Analysis further shows that a lack of institutional capacity within the utility, existing infrastructure leading to 'lock-in' and hindering maintenance and upgrade initiatives, and an unreliable power supply are the main issues leading to poor domestic water security in the study city. These areas should be tackled to improve the current situation and mitigate future problems. The developed framework is generic enough to be applied to other urban and peri-urban areas, yet provides planners and policy makers with specific information on domestic water security considering water supply, sanitation and hygiene, and accounting for within-city variability. This work could therefore have practical applicability for water service providers.","author":[{"dropping-particle":"","family":"Assefa","given":"Yonas T.","non-dropping-particle":"","parse-names":false,"suffix":""},{"dropping-particle":"","family":"Babel","given":"Mukand S.","non-dropping-particle":"","parse-names":false,"suffix":""},{"dropping-particle":"","family":"Sušnik","given":"Janez","non-dropping-particle":"","parse-names":false,"suffix":""},{"dropping-particle":"","family":"Shinde","given":"Victor R.","non-dropping-particle":"","parse-names":false,"suffix":""}],"container-title":"Water (Switzerland)","id":"ITEM-1","issue":"1","issued":{"date-parts":[["2018"]]},"title":"Development of a generic domesticwater security index, and its application in Addis Ababa, Ethiopia","type":"article-journal","volume":"11"},"uris":["http://www.mendeley.com/documents/?uuid=da1b53a1-f6d0-40bb-8750-eef1b9653eca"]},{"id":"ITEM-2","itemData":{"DOI":"10.1111/1745-5871.12159","ISSN":"17455871","abstract":"This commentary concentrates on an area to which legal geography may be especially able to contribute, the research-policy nexus. The pursuit of relevance that characterised geography in the 1970s has re-emerged as a concern with growing demands for evidence-based policy. Geographers have long engaged with the policy arena and legal geography offers another opportunity to enhance this contribution. There are, however, barriers and tensions between researchers and policy makers which need to be acknowledged and addressed.","author":[{"dropping-particle":"","family":"Bartel","given":"Robyn","non-dropping-particle":"","parse-names":false,"suffix":""}],"container-title":"Geographical Research","id":"ITEM-2","issue":"3","issued":{"date-parts":[["2015"]]},"page":"233-244","title":"Legal geography, geography, and the research-policy nexus","type":"article-journal","volume":"54"},"uris":["http://www.mendeley.com/documents/?uuid=4fb0b4b8-4a9e-4b71-92e7-66a8d4b96d6e"]},{"id":"ITEM-3","itemData":{"DOI":"10.1111/1745-5871.12404","ISSN":"17455871","author":[{"dropping-particle":"","family":"Datu","given":"Kerwin","non-dropping-particle":"","parse-names":false,"suffix":""}],"container-title":"Geographical Research","id":"ITEM-3","issue":"3","issued":{"date-parts":[["2020"]]},"page":"304-309","title":"Geographies of local government","type":"article-journal","volume":"58"},"uris":["http://www.mendeley.com/documents/?uuid=ed01e5fb-c3ec-4c3f-b99e-8f2a3fbab835"]},{"id":"ITEM-4","itemData":{"DOI":"10.1016/j.ssmph.2018.10.007","ISSN":"23528273","abstract":"A composite metric assessing water security's physical dimension at the micro/ community level is lacking but is essential for setting priorities for program and policy implementations. We prepared an objective index (OI) of water security to measure the physical dimension using a model centered on household water-use behavior in developing countries’ urban areas. A cross-sectional household survey (n = 1500) with multi-stage cluster design was conducted from December 2015 to February 2016 in the Kathmandu Valley, which has faced long-term, severe water shortage. A structured questionnaire probed socio-demographic characteristics, water sources, frequency and quantity of water use, cost related to water, etc. A 15-item water insecurity scale was used to measure subjective and experiential dimension of water insecurity. The World Health Organization Quality of Life – BREF was used to measure quality of life (QoL). The QoL has been considered as proxy of well-being in this study. The OI measured differential water security within small cities, the utility's service areas for instance, and identified area-specific key dimensions that need improvement. Overall, the OI and its key dimensions can be useful measures to design water-scarcity averting programs and policies, specific to a particular community's needs. The increased OI values were significantly and positively associated with better physical and psychological health and better social relationship domains of QoL suggesting health implications of water security.","author":[{"dropping-particle":"","family":"Shrestha","given":"Sadhana","non-dropping-particle":"","parse-names":false,"suffix":""},{"dropping-particle":"","family":"Aihara","given":"Yoko","non-dropping-particle":"","parse-names":false,"suffix":""},{"dropping-particle":"","family":"Bhattarai","given":"Arun P.","non-dropping-particle":"","parse-names":false,"suffix":""},{"dropping-particle":"","family":"Bista","given":"Niranjan","non-dropping-particle":"","parse-names":false,"suffix":""},{"dropping-particle":"","family":"Kondo","given":"Naoki","non-dropping-particle":"","parse-names":false,"suffix":""},{"dropping-particle":"","family":"Futaba","given":"Kazama","non-dropping-particle":"","parse-names":false,"suffix":""},{"dropping-particle":"","family":"Nishida","given":"Kei","non-dropping-particle":"","parse-names":false,"suffix":""},{"dropping-particle":"","family":"Shindo","given":"Junko","non-dropping-particle":"","parse-names":false,"suffix":""}],"container-title":"SSM - Population Health","id":"ITEM-4","issue":"July","issued":{"date-parts":[["2018"]]},"page":"276-285","publisher":"Elsevier","title":"Development of an objective water security index and assessment of its association with quality of life in urban areas of developing countries","type":"article-journal","volume":"6"},"uris":["http://www.mendeley.com/documents/?uuid=137b1be3-8407-4107-8795-cabed4e66329"]},{"id":"ITEM-5","itemData":{"DOI":"10.1371/journal.pwat.0000022","ISBN":"1111111111","abstract":"Rapid urbanization, resulting in population growth within informal settlements, has worsened exclusion and inequality in access to water and sanitation (WASH) services in the poorest and most marginalized communities. In this study, we describe the heterogeneity in water service satisfaction and WASH access in low-income, peri-urban neighborhoods of Beira, Mozambique, and examine whether this heterogeneity can be explained by distance to water distribution mains. Using spatial statistics and regression analyses, we identify spatial heterogeneity in household WASH access, as well as consumer-reported satisfaction with water services (services, pressure, quality, and sufficient quantity). We find that as distance from the water main increased, both access to an improved water source at the household and satisfaction with water pressure decreases, and water supply intermittency increases, controlling for household density and socioeconomic status. The odds of a household having access to a water source at the household or on the compound decreases with every 100-meter increase in distance from a water main pipe (odds ratio [OR] 0.87, 95% confidence interval [CI]: 0.82, 0.92). Satisfaction with water services also decreases with every 100-meter increase in distance from a water main pipe (OR: 0.80; 95% CI: 0.69, 0.94). Days of availability in the past week decreases by a factor of 0.22 for every 100-meter increase in distance from the water main (95% CI: -0.29, -0.15). Findings from this study highlight the unequal household access to water and sanitation in urban informal settlements, even within low-income neighborhoods. Describing this heterogeneity of access to water services, sanitation, and satisfaction—and the factors influencing them—can inform stakeholders and guide the development of infrastructural solutions to reduce water access inequities within urban settings.","author":[{"dropping-particle":"","family":"Victor","given":"Courtney","non-dropping-particle":"","parse-names":false,"suffix":""},{"dropping-particle":"","family":"Vega Ocasio","given":"Denisse","non-dropping-particle":"","parse-names":false,"suffix":""},{"dropping-particle":"","family":"Cumbe","given":"Zaida A.","non-dropping-particle":"","parse-names":false,"suffix":""},{"dropping-particle":"V.","family":"Garn","given":"Joshua","non-dropping-particle":"","parse-names":false,"suffix":""},{"dropping-particle":"","family":"Hubbard","given":"Sydney","non-dropping-particle":"","parse-names":false,"suffix":""},{</w:instrText>
      </w:r>
      <w:r w:rsidR="004E7094" w:rsidRPr="004E7094">
        <w:rPr>
          <w:rFonts w:eastAsia="Times New Roman"/>
          <w:lang w:val="es-CL"/>
        </w:rPr>
        <w:instrText>"dropping-particle":"","family":"Mangamela","given":"Magalhaes","non-dropping-particle":"","parse-names":false,"suffix":""},{"dropping-particle":"","family":"McGunegill","given":"Sandy","non-dropping-particle":"","parse-names":false,"suffix":""},{"dropping-particle":"","family":"Nalá","given":"Rassul","non-dropping-particle":"","parse-names":false,"suffix":""},{"dropping-particle":"","family":"Snyder","given":"Jedidiah S.","non-dropping-particle":"","parse-names":false,"suffix":""},{"dropping-particle":"","family":"Levy","given":"Karen","non-dropping-particle":"","parse-names":false,"suffix":""},{"dropping-particle":"","family":"Freeman","given":"Matthew C.","non-dropping-particle":"","parse-names":false,"suffix":""}],"container-title":"PLOS Water","id":"ITEM-5","issue":"6","issued":{"date-parts":[["2022"]]},"page":"e0000022","title":"Spatial heterogeneity of neighborhood-level water and sanitation access in informal urban settlements: A cross-sectional case study in Beira, Mozambique","type":"article-journal","volume":"1"},"uris":["http://www.mendeley.com/documents/?uuid=f9ba7a5b-5b9e-4cae-ad51-6ea5c804d00c"]}],"mendeley":{"formattedCitation":"(Assefa et al., 2018; Bartel, 2015; Datu, 2020; Shrestha et al., 2018; Victor et al., 2022)","plainTextFormattedCitation":"(Assefa et al., 2018; Bartel, 2015; Datu, 2020; Shrestha et al., 2018; Victor et al., 2022)"},"properties":{"noteIndex":0},"schema":"https://github.com/citation-style-language/schema/raw/master/csl-citation.json"}</w:instrText>
      </w:r>
      <w:r w:rsidR="004E7094">
        <w:rPr>
          <w:rFonts w:eastAsia="Times New Roman"/>
        </w:rPr>
        <w:fldChar w:fldCharType="separate"/>
      </w:r>
      <w:r w:rsidR="004E7094" w:rsidRPr="004E7094">
        <w:rPr>
          <w:rFonts w:eastAsia="Times New Roman"/>
          <w:noProof/>
          <w:lang w:val="es-CL"/>
        </w:rPr>
        <w:t>(Assefa et al., 2018; Bartel, 2015; Datu, 2020; Shrestha et al., 2018; Victor et al., 2022)</w:t>
      </w:r>
      <w:r w:rsidR="004E7094">
        <w:rPr>
          <w:rFonts w:eastAsia="Times New Roman"/>
        </w:rPr>
        <w:fldChar w:fldCharType="end"/>
      </w:r>
      <w:r w:rsidR="004E7094" w:rsidRPr="004E7094">
        <w:rPr>
          <w:rFonts w:eastAsia="Times New Roman"/>
          <w:lang w:val="es-CL"/>
        </w:rPr>
        <w:t xml:space="preserve">. </w:t>
      </w:r>
    </w:p>
    <w:p w14:paraId="13B11A44" w14:textId="5AE74644" w:rsidR="00E86A0B" w:rsidRPr="00773A6E" w:rsidRDefault="00E86A0B" w:rsidP="00E86A0B">
      <w:pPr>
        <w:spacing w:before="240"/>
        <w:jc w:val="both"/>
        <w:rPr>
          <w:rFonts w:eastAsia="Times New Roman"/>
          <w:sz w:val="24"/>
          <w:szCs w:val="24"/>
        </w:rPr>
      </w:pPr>
      <w:r w:rsidRPr="00773A6E">
        <w:rPr>
          <w:rFonts w:eastAsia="Times New Roman"/>
        </w:rPr>
        <w:t>In Latin America, there is a lack of robust empirical studies on water security risks. Recently, international organisms such as the Economic Commission for Latin America and the Caribbean (UN-ECLAC) and the Inter-American Development Bank (IADB) have published documents that</w:t>
      </w:r>
      <w:r w:rsidR="00225D64">
        <w:rPr>
          <w:rFonts w:eastAsia="Times New Roman"/>
        </w:rPr>
        <w:t xml:space="preserve"> </w:t>
      </w:r>
      <w:r w:rsidRPr="00773A6E">
        <w:rPr>
          <w:rFonts w:eastAsia="Times New Roman"/>
        </w:rPr>
        <w:t>advance a conceptual framework for water security and water vulnerability</w:t>
      </w:r>
      <w:r w:rsidR="00A82EA7">
        <w:rPr>
          <w:rFonts w:eastAsia="Times New Roman"/>
        </w:rPr>
        <w:t>. Some</w:t>
      </w:r>
      <w:r w:rsidRPr="00773A6E">
        <w:rPr>
          <w:rFonts w:eastAsia="Times New Roman"/>
        </w:rPr>
        <w:t xml:space="preserve"> studies from a Latino-American perspective, </w:t>
      </w:r>
      <w:r w:rsidR="00E334FC">
        <w:rPr>
          <w:rFonts w:eastAsia="Times New Roman"/>
        </w:rPr>
        <w:fldChar w:fldCharType="begin" w:fldLock="1"/>
      </w:r>
      <w:r w:rsidR="00A82EA7">
        <w:rPr>
          <w:rFonts w:eastAsia="Times New Roman"/>
        </w:rPr>
        <w:instrText>ADDIN CSL_CITATION {"citationItems":[{"id":"ITEM-1","itemData":{"ISBN":"9213225636","abstract":"Este trabajo tiene por objeto analizar el estado de los servicios de agua potable y saneamiento en los países de América Latina y el Caribe al inicio del siglo XXI. A tal fin, y por razones metodológicas, el estudio se divide en dos partes. Una primera sección está dedicada al análisis del acceso a los servicios y la calidad de los mismos. Los niveles de cobertura alcanzados en la región pueden considerarse razonables, con la posible excepción del tratamiento de aguas servidas. Sin embargo, persisten todavía serias deficiencias en el acceso a los servicios, las cuales afectan desproporcionadamente a los grupos de bajos ingresos y las áreas rurales. La insuficiente cobertura y la mala calidad de los servicios no sólo causan efectos negativos en la salud de la población sino que, además, afectan el medio ambiente, la economía, el comercio exterior y la disponibilidad de agua para varios usos. En la segunda parte del estudio se analizan las reformas efectuadas por los países de la región en los años recientes. A pesar de las diferencias que cabe esperar en una región que alberga países muy distintos, las reformas tienen muchas características comunes, como la separación institucional entre las funciones de definición de políticas sectoriales, de regulación económica y de administración de los sistemas; la profundización y consolidación de los procesos de descentralización en la prestación de los servicios; el interés generalizado en promover la participación privada; la formulación de nuevos marcos regulatorios; y la exigencia, nacida de la crisis de los años ochenta, de que los servicios deben tender a autofinanciarse, y cuando así sucede, deben crearse sistemas de subsidio para grupos de bajos ingresos. Por último, se esbozan algunas conclusiones.","author":[{"dropping-particle":"","family":"Peña","given":"Humberto","non-dropping-particle":"","parse-names":false,"suffix":""}],"container-title":"dwwq","id":"ITEM-1","issued":{"date-parts":[["2016"]]},"number-of-pages":"57","title":"Desafíos de la seguridad hídrica en América Latina y el Caribe","type":"report"},"uris":["http://www.mendeley.com/documents/?uuid=7eda6772-b9e6-446a-9f53-d30a8deda0ed","http://www.mendeley.com/documents/?uuid=60ce2f86-d7c5-49ac-a44f-4caa3f1cdeb8"]},{"id":"ITEM-2","itemData":{"author":[{"dropping-particle":"","family":"Bretas","given":"Fernando","non-dropping-particle":"","parse-names":false,"suffix":""},{"dropping-particle":"","family":"Casanova","given":"Guillermo","non-dropping-particle":"","parse-names":false,"suffix":""},{"dropping-particle":"","family":"Crisman","given":"Thomas","non-dropping-particle":"","parse-names":false,"suffix":""},{"dropping-particle":"","family":"Embid","given":"Antonio","non-dropping-particle":"","parse-names":false,"suffix":""},{"dropping-particle":"","family":"Martin","given":"Liber","non-dropping-particle":"","parse-names":false,"suffix":""},{"dropping-particle":"","family":"Miralles","given":"Fernando","non-dropping-particle":"","parse-names":false,"suffix":""},{"dropping-particle":"","family":"Muñoz","given":"Raúl","non-dropping-particle":"","parse-names":false,"suffix":""}],"container-title":"IADB","id":"ITEM-2","issued":{"date-parts":[["2020"]]},"number-of-pages":"216","title":"Agua para el futuro: estrategia de seguridad hídrica para América Latina y el Caribe","type":"report"},"uris":["http://www.mendeley.com/documents/?uuid=becb0e19-e3dc-4bb2-956e-4a7a97b489f6","http://www.mendeley.com/documents/?uuid=cacce01e-f995-4bfd-94ac-c79ff42cd44b"]},{"id":"ITEM-3","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(CEPAL)","id":"ITEM-3","issued":{"date-parts":[["2020"]]},"number-of-pages":"133","title":"Seguridad hídrica y energética en América Latina y el Caribe Definición y aproximación territorial para el análisis Gracias por su interés en esta publicación de la CEPAL","type":"report"},"uris":["http://www.mendeley.com/documents/?uuid=6f1a197d-b9f3-4537-88d6-7224d575d724","http://www.mendeley.com/documents/?uuid=2d2877e3-dabf-4923-9c1c-f2dd59c5e2f6"]}],"mendeley":{"formattedCitation":"(Bretas et al., 2020; Peña, 2016; Urquiza &amp; Billi, 2020)","plainTextFormattedCitation":"(Bretas et al., 2020; Peña, 2016; Urquiza &amp; Billi, 2020)","previouslyFormattedCitation":"(Bretas et al., 2020; Peña, 2016; Urquiza &amp; Billi, 2020)"},"properties":{"noteIndex":0},"schema":"https://github.com/citation-style-language/schema/raw/master/csl-citation.json"}</w:instrText>
      </w:r>
      <w:r w:rsidR="00E334FC">
        <w:rPr>
          <w:rFonts w:eastAsia="Times New Roman"/>
        </w:rPr>
        <w:fldChar w:fldCharType="separate"/>
      </w:r>
      <w:r w:rsidR="002A7B53" w:rsidRPr="002A7B53">
        <w:rPr>
          <w:rFonts w:eastAsia="Times New Roman"/>
          <w:noProof/>
        </w:rPr>
        <w:t>(Bretas et al., 2020; Peña, 2016; Urquiza &amp; Billi, 2020)</w:t>
      </w:r>
      <w:r w:rsidR="00E334FC">
        <w:rPr>
          <w:rFonts w:eastAsia="Times New Roman"/>
        </w:rPr>
        <w:fldChar w:fldCharType="end"/>
      </w:r>
      <w:r w:rsidRPr="00773A6E">
        <w:rPr>
          <w:rFonts w:eastAsia="Times New Roman"/>
        </w:rPr>
        <w:t xml:space="preserve"> are considered on the paper.</w:t>
      </w:r>
    </w:p>
    <w:p w14:paraId="0C49628C" w14:textId="375EC676" w:rsidR="00E86A0B" w:rsidRDefault="006F675F" w:rsidP="00E86A0B">
      <w:pPr>
        <w:spacing w:before="240"/>
        <w:jc w:val="both"/>
        <w:rPr>
          <w:rFonts w:eastAsia="Times New Roman"/>
        </w:rPr>
      </w:pPr>
      <w:r>
        <w:rPr>
          <w:rFonts w:eastAsia="Times New Roman"/>
        </w:rPr>
        <w:t>Considering this</w:t>
      </w:r>
      <w:r w:rsidR="00E86A0B" w:rsidRPr="00773A6E">
        <w:rPr>
          <w:rFonts w:eastAsia="Times New Roman"/>
        </w:rPr>
        <w:t xml:space="preserve"> advancements, this paper introduces the concept of territorial water vulnerability (TWV) as a proxy for the territorial conditionings of water insecurity risk. </w:t>
      </w:r>
      <w:r w:rsidRPr="00FC437B">
        <w:rPr>
          <w:rFonts w:eastAsia="Times New Roman"/>
        </w:rPr>
        <w:t>Providing</w:t>
      </w:r>
      <w:r w:rsidR="00E86A0B" w:rsidRPr="00773A6E">
        <w:rPr>
          <w:rFonts w:eastAsia="Times New Roman"/>
        </w:rPr>
        <w:t xml:space="preserve"> an empirical analysis for the Gran Valparaíso conurbation (central coast of Chile), offering a high-resolution assessment spanning ecological, technical and sociocultural conditions driving the vulnerability of households to water scarcity risks. A fuzzy logic approach was used to develop a single TWV index from</w:t>
      </w:r>
      <w:r w:rsidR="006C4954">
        <w:rPr>
          <w:rFonts w:eastAsia="Times New Roman"/>
        </w:rPr>
        <w:t xml:space="preserve"> the </w:t>
      </w:r>
      <w:r w:rsidR="00E86A0B" w:rsidRPr="00773A6E">
        <w:rPr>
          <w:rFonts w:eastAsia="Times New Roman"/>
        </w:rPr>
        <w:t>population, water services and infrastructure information at the census block level, a resolution unprecedented in the country and of great interest both for the academic understanding of patterns of vulnerability and decision makers responsible for water security.</w:t>
      </w:r>
    </w:p>
    <w:p w14:paraId="49F05B35" w14:textId="77777777" w:rsidR="00A24E92" w:rsidRPr="00773A6E" w:rsidRDefault="00A24E92" w:rsidP="00E86A0B">
      <w:pPr>
        <w:spacing w:before="240"/>
        <w:jc w:val="both"/>
        <w:rPr>
          <w:rFonts w:eastAsia="Times New Roman"/>
        </w:rPr>
      </w:pPr>
    </w:p>
    <w:p w14:paraId="3EB1173F" w14:textId="77777777" w:rsidR="00A24E92" w:rsidRDefault="00A24E92" w:rsidP="00A24E92">
      <w:pPr>
        <w:pStyle w:val="Textocomentario"/>
        <w:jc w:val="both"/>
      </w:pPr>
      <w:r w:rsidRPr="00111214">
        <w:t xml:space="preserve">Noticeably, this particular application of the index is specifically tailored to urban contexts. Cities are significantly exposed to water stress, </w:t>
      </w:r>
      <w:r>
        <w:t xml:space="preserve">as the trend towards greater population concentration in urban areas is expected to continue. 66% of the world population is expected to be living in cities by 2050, likely leading to an exacerbation of water scarcity </w:t>
      </w:r>
      <w:r w:rsidRPr="00111214">
        <w:t>(Mekonnen &amp; Hoekstra, 2016)</w:t>
      </w:r>
      <w:r>
        <w:t>, as well as exposure to water-related disasters. In this sense, the application of a fine-grained TWV analysis in an urban context is especially interesting. Moreover, in the specific case of Chile is necessary to differentiate water scarcity analyses in urban and rural contexts because they depend on very different provision systems, with cities having received less attention so far. Nevertheless, our general framework can be adapted to any kind of territory, urban or rural.</w:t>
      </w:r>
    </w:p>
    <w:p w14:paraId="62A89A53" w14:textId="1BDB1AB1" w:rsidR="002F3B11" w:rsidRPr="00E86A0B" w:rsidRDefault="00E86A0B" w:rsidP="00E86A0B">
      <w:pPr>
        <w:spacing w:before="240" w:after="240"/>
        <w:jc w:val="both"/>
        <w:rPr>
          <w:rFonts w:eastAsia="Times New Roman"/>
        </w:rPr>
      </w:pPr>
      <w:r w:rsidRPr="00773A6E">
        <w:rPr>
          <w:rFonts w:eastAsia="Times New Roman"/>
        </w:rPr>
        <w:t>The paper is structured as follows: Section 2 presents a literature review on water security. Sect</w:t>
      </w:r>
      <w:r w:rsidR="00C47F2D">
        <w:rPr>
          <w:rFonts w:eastAsia="Times New Roman"/>
        </w:rPr>
        <w:t>ion</w:t>
      </w:r>
      <w:r w:rsidRPr="00773A6E">
        <w:rPr>
          <w:rFonts w:eastAsia="Times New Roman"/>
        </w:rPr>
        <w:t xml:space="preserve"> 3 develops </w:t>
      </w:r>
      <w:r w:rsidR="00C47F2D">
        <w:rPr>
          <w:rFonts w:eastAsia="Times New Roman"/>
        </w:rPr>
        <w:t>the</w:t>
      </w:r>
      <w:r w:rsidRPr="00773A6E">
        <w:rPr>
          <w:rFonts w:eastAsia="Times New Roman"/>
        </w:rPr>
        <w:t xml:space="preserve"> conceptual framework. Section 4 introduces the study case,</w:t>
      </w:r>
      <w:r w:rsidR="00C47F2D">
        <w:rPr>
          <w:rFonts w:eastAsia="Times New Roman"/>
        </w:rPr>
        <w:t xml:space="preserve"> the</w:t>
      </w:r>
      <w:r w:rsidRPr="00773A6E">
        <w:rPr>
          <w:rFonts w:eastAsia="Times New Roman"/>
        </w:rPr>
        <w:t xml:space="preserve"> data and methodology used to estimate and analyze a TWV index. Sect</w:t>
      </w:r>
      <w:r w:rsidR="00C47F2D">
        <w:rPr>
          <w:rFonts w:eastAsia="Times New Roman"/>
        </w:rPr>
        <w:t>ion</w:t>
      </w:r>
      <w:r w:rsidRPr="00773A6E">
        <w:rPr>
          <w:rFonts w:eastAsia="Times New Roman"/>
        </w:rPr>
        <w:t xml:space="preserve"> 5 illustrates the main results, identifying the most vulnerable territories of the study case and analyzing the vulnerability drivers at the commune scale and the census block scale through cluster analysis. Sect</w:t>
      </w:r>
      <w:r w:rsidR="00C47F2D">
        <w:rPr>
          <w:rFonts w:eastAsia="Times New Roman"/>
        </w:rPr>
        <w:t>ion</w:t>
      </w:r>
      <w:r w:rsidRPr="00773A6E">
        <w:rPr>
          <w:rFonts w:eastAsia="Times New Roman"/>
        </w:rPr>
        <w:t xml:space="preserve"> 6 discusses the main results and the conceptual and methodological contributions developed in the paper. </w:t>
      </w:r>
      <w:r>
        <w:rPr>
          <w:rFonts w:eastAsia="Times New Roman"/>
        </w:rPr>
        <w:t>Finally, Sect</w:t>
      </w:r>
      <w:r w:rsidR="00C47F2D">
        <w:rPr>
          <w:rFonts w:eastAsia="Times New Roman"/>
        </w:rPr>
        <w:t>ion</w:t>
      </w:r>
      <w:r>
        <w:rPr>
          <w:rFonts w:eastAsia="Times New Roman"/>
        </w:rPr>
        <w:t xml:space="preserve"> 7 summarizes the main conclusions of this work.</w:t>
      </w:r>
    </w:p>
    <w:p w14:paraId="7A8760A4" w14:textId="50222BC9" w:rsidR="002F3B11" w:rsidRDefault="002F3B11" w:rsidP="00C81368">
      <w:pPr>
        <w:pStyle w:val="Heading-Main"/>
      </w:pPr>
      <w:r>
        <w:t xml:space="preserve">2 </w:t>
      </w:r>
      <w:r w:rsidR="00E86A0B">
        <w:t xml:space="preserve">Literature Review </w:t>
      </w:r>
    </w:p>
    <w:p w14:paraId="23E6CF1C" w14:textId="5A4DB2C9" w:rsidR="00E86A0B" w:rsidRPr="00773A6E" w:rsidRDefault="00E86A0B" w:rsidP="00E86A0B">
      <w:pPr>
        <w:jc w:val="both"/>
        <w:rPr>
          <w:rFonts w:eastAsia="Times New Roman"/>
        </w:rPr>
      </w:pPr>
      <w:r w:rsidRPr="00773A6E">
        <w:rPr>
          <w:rFonts w:eastAsia="Times New Roman"/>
        </w:rPr>
        <w:t xml:space="preserve">In general, two broad types of methodological frameworks exist to quantify urban water security. </w:t>
      </w:r>
      <w:r>
        <w:rPr>
          <w:rFonts w:eastAsia="Times New Roman"/>
        </w:rPr>
        <w:t>The</w:t>
      </w:r>
      <w:r w:rsidRPr="00773A6E">
        <w:rPr>
          <w:rFonts w:eastAsia="Times New Roman"/>
        </w:rPr>
        <w:t xml:space="preserve"> first group of studies measures water security across only one dimension, as is the case with the hydric stress or </w:t>
      </w:r>
      <w:r w:rsidR="008A75B9">
        <w:rPr>
          <w:rFonts w:eastAsia="Times New Roman"/>
        </w:rPr>
        <w:t xml:space="preserve">water </w:t>
      </w:r>
      <w:r w:rsidRPr="00773A6E">
        <w:rPr>
          <w:rFonts w:eastAsia="Times New Roman"/>
        </w:rPr>
        <w:t xml:space="preserve">poverty index </w:t>
      </w:r>
      <w:r w:rsidR="002A7B53">
        <w:rPr>
          <w:rFonts w:eastAsia="Times New Roman"/>
        </w:rPr>
        <w:fldChar w:fldCharType="begin" w:fldLock="1"/>
      </w:r>
      <w:r w:rsidR="00E700C0">
        <w:rPr>
          <w:rFonts w:eastAsia="Times New Roman"/>
        </w:rPr>
        <w:instrText>ADDIN CSL_CITATION {"citationItems":[{"id":"ITEM-1","itemData":{"DOI":"10.3390/W12051299","ISSN":"20734441","abstract":"Water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(Switzerland)","id":"ITEM-1","issue":"5","issued":{"date-parts":[["2020"]]},"title":"Assessing water security in water-scarce cities: Applying the integrated urban water security index (IUWSI) in Madaba, Jordan","type":"article-journal","volume":"12"},"uris":["http://www.mendeley.com/documents/?uuid=6ca0887d-715f-432f-9c7c-727ad1c9d1f2"]},{"id":"ITEM-2","itemData":{"DOI":"10.1016/j.envsci.2018.02.003","ISSN":"18736416","abstract":"Water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Policy","id":"ITEM-2","issue":"September 2017","issued":{"date-parts":[["2018"]]},"page":"33-45","publisher":"Elsevier","title":"Urban water security indicators: Development and pilot","type":"article-journal","volume":"83"},"uris":["http://www.mendeley.com/documents/?uuid=e7afa2e0-9e23-40fc-9cf3-be2b7d571e34"]}],"mendeley":{"formattedCitation":"(Aboelnga et al., 2020; Jensen &amp; Wu, 2018)","plainTextFormattedCitation":"(Aboelnga et al., 2020; Jensen &amp; Wu, 2018)","previouslyFormattedCitation":"(Aboelnga et al., 2020; Jensen &amp; Wu, 2018)"},"properties":{"noteIndex":0},"schema":"https://github.com/citation-style-language/schema/raw/master/csl-citation.json"}</w:instrText>
      </w:r>
      <w:r w:rsidR="002A7B53">
        <w:rPr>
          <w:rFonts w:eastAsia="Times New Roman"/>
        </w:rPr>
        <w:fldChar w:fldCharType="separate"/>
      </w:r>
      <w:r w:rsidR="00EC2386" w:rsidRPr="00EC2386">
        <w:rPr>
          <w:rFonts w:eastAsia="Times New Roman"/>
          <w:noProof/>
        </w:rPr>
        <w:t>(Aboelnga et al., 2020; Jensen &amp; Wu, 2018)</w:t>
      </w:r>
      <w:r w:rsidR="002A7B53">
        <w:rPr>
          <w:rFonts w:eastAsia="Times New Roman"/>
        </w:rPr>
        <w:fldChar w:fldCharType="end"/>
      </w:r>
      <w:r w:rsidR="008A75B9">
        <w:rPr>
          <w:rFonts w:eastAsia="Times New Roman"/>
        </w:rPr>
        <w:t xml:space="preserve">. </w:t>
      </w:r>
      <w:r w:rsidRPr="00773A6E">
        <w:rPr>
          <w:rFonts w:eastAsia="Times New Roman"/>
        </w:rPr>
        <w:t>This approach can be applicable in territories with different geographic scales and characteristics (i.e., urban or rural), allowing a faster, simpler, more cost-efficient and comparable way of measuring water security</w:t>
      </w:r>
      <w:r w:rsidR="008A75B9">
        <w:rPr>
          <w:rFonts w:eastAsia="Times New Roman"/>
        </w:rPr>
        <w:t>.</w:t>
      </w:r>
      <w:r w:rsidR="00AC24B4">
        <w:rPr>
          <w:rFonts w:eastAsia="Times New Roman"/>
        </w:rPr>
        <w:t xml:space="preserve"> </w:t>
      </w:r>
      <w:r w:rsidRPr="00773A6E">
        <w:rPr>
          <w:rFonts w:eastAsia="Times New Roman"/>
        </w:rPr>
        <w:t xml:space="preserve">Nevertheless, these indexes fail to properly characterize urban water security dynamics </w:t>
      </w:r>
      <w:r w:rsidR="005D1626">
        <w:rPr>
          <w:rFonts w:eastAsia="Times New Roman"/>
        </w:rPr>
        <w:lastRenderedPageBreak/>
        <w:fldChar w:fldCharType="begin" w:fldLock="1"/>
      </w:r>
      <w:r w:rsidR="00E700C0">
        <w:rPr>
          <w:rFonts w:eastAsia="Times New Roman"/>
        </w:rPr>
        <w:instrText>ADDIN CSL_CITATION {"citationItems":[{"id":"ITEM-1","itemData":{"abstract":"Gassert, F., M. Landis, M. Luck, P. Reig, and T. Shiao. 2014. \"Aqueduct Global Maps 2.1.” Working Paper. Washington, DC: World Resources Institute. Available online at http://www.wri.org/publication/aqueduct-metadata-global.","author":[{"dropping-particle":"","family":"Gassert","given":"Francis","non-dropping-particle":"","parse-names":false,"suffix":""},{"dropping-particle":"","family":"Landis","given":"Matt","non-dropping-particle":"","parse-names":false,"suffix":""},{"dropping-particle":"","family":"Luck","given":"Matt","non-dropping-particle":"","parse-names":false,"suffix":""},{"dropping-particle":"","family":"Reig","given":"Paul","non-dropping-particle":"","parse-names":false,"suffix":""},{"dropping-particle":"","family":"Shiao","given":"Tien","non-dropping-particle":"","parse-names":false,"suffix":""}],"container-title":"World Resources Institute","id":"ITEM-1","issue":"April","issued":{"date-parts":[["2014"]]},"page":"31","title":"Aqueduct Global Maps 2.1: Constructing decision-relevant global water risk indicators","type":"article-journal"},"uris":["http://www.mendeley.com/documents/?uuid=f4fe441d-41e5-4879-91f2-40d1d815eb5e"]},{"id":"ITEM-2","itemData":{"DOI":"10.1016/j.pce.2008.03.005","ISSN":"14747065","abstract":"Using indices and indicators in assessment of progress of a developing country has two sides. Such indicators offer an easy-to-understand shorthand/synopsis of issues vital for a country's development. The other side of the coin, however, is that this synopsis may be distorted due to incorrect data or inapplicability of an index or an indicator to a specific case. This paper assesses the applicability of Water Poverty Index for the countries riparian to the Sava sub-basin, a tributary to the Danube river basin and presents the results of its application. At the same time, the paper discusses the concept of water poverty and the appropriateness of its use in the case of Sava River Basin countries by differentiating the economic poverty in some of those countries from sufficient access to and use of water resources in all of them. © 2008 Elsevier Ltd. All rights reserved.","author":[{"dropping-particle":"","family":"Komnenic","given":"V.","non-dropping-particle":"","parse-names":false,"suffix":""},{"dropping-particle":"","family":"Ahlers","given":"R.","non-dropping-particle":"","parse-names":false,"suffix":""},{"dropping-particle":"van der","family":"Zaag","given":"P.","non-dropping-particle":"","parse-names":false,"suffix":""}],"container-title":"Physics and Chemistry of the Earth","id":"ITEM-2","issue":"4-5","issued":{"date-parts":[["2009"]]},"page":"219-224","publisher":"Elsevier Ltd","title":"Assessing the usefulness of the water poverty index by applying it to a special case: Can one be water poor with high levels of access?","type":"article-journal","volume":"34"},"uris":["http://www.mendeley.com/documents/?uuid=bb4c11bd-e015-4fa0-986a-402c8245433a"]}],"mendeley":{"formattedCitation":"(Gassert et al., 2014; Komnenic et al., 2009)","plainTextFormattedCitation":"(Gassert et al., 2014; Komnenic et al., 2009)","previouslyFormattedCitation":"(Gassert et al., 2014; Komnenic et al., 2009)"},"properties":{"noteIndex":0},"schema":"https://github.com/citation-style-language/schema/raw/master/csl-citation.json"}</w:instrText>
      </w:r>
      <w:r w:rsidR="005D1626">
        <w:rPr>
          <w:rFonts w:eastAsia="Times New Roman"/>
        </w:rPr>
        <w:fldChar w:fldCharType="separate"/>
      </w:r>
      <w:r w:rsidR="005D1626" w:rsidRPr="005D1626">
        <w:rPr>
          <w:rFonts w:eastAsia="Times New Roman"/>
          <w:noProof/>
        </w:rPr>
        <w:t>(Gassert et al., 2014; Komnenic et al., 2009)</w:t>
      </w:r>
      <w:r w:rsidR="005D1626">
        <w:rPr>
          <w:rFonts w:eastAsia="Times New Roman"/>
        </w:rPr>
        <w:fldChar w:fldCharType="end"/>
      </w:r>
      <w:r w:rsidR="005D1626">
        <w:rPr>
          <w:rFonts w:eastAsia="Times New Roman"/>
        </w:rPr>
        <w:t xml:space="preserve"> </w:t>
      </w:r>
      <w:r w:rsidRPr="00773A6E">
        <w:rPr>
          <w:rFonts w:eastAsia="Times New Roman"/>
        </w:rPr>
        <w:t xml:space="preserve">because they necessarily generalize and homogenize territorial diversity in their analysis </w:t>
      </w:r>
      <w:r w:rsidR="002A7B53">
        <w:rPr>
          <w:rFonts w:eastAsia="Times New Roman"/>
        </w:rPr>
        <w:fldChar w:fldCharType="begin" w:fldLock="1"/>
      </w:r>
      <w:r w:rsidR="00497278">
        <w:rPr>
          <w:rFonts w:eastAsia="Times New Roman"/>
        </w:rPr>
        <w:instrText>ADDIN CSL_CITATION {"citationItems":[{"id":"ITEM-1","itemData":{"DOI":"10.1016/j.jclepro.2021.129004","ISSN":"09596526","abstract":"Water plays a quintessential role in the lives of individuals and communities. In recent decades, population growth, migration from rural to urban areas, industrialization, and climate change have increasingly jeopardized the sustainability of cities, especially in developing countries, including Iran. The purpose of this study is to assess recent and future perspectives for urban water security in Iran. To do so, the paper extends previous water security studies within the region by collecting data on urban water security from a cohort of cities rather than a single location. To assess the state of water security in the recent past, from 2013 to 2019, we introduce a dedicated framework comprised of five dimensions and twelve indicators. In estimating future water resources for Iran in the period up to 2100, ensemble-based hydro-climatic regional climate model projections for RCPs 4.5 and 8.5 were analyzed in time and space. The results show that four of the five dimensions of present-day urban water security, including accessibility, availability, water health and sanitation, and the economic value of water, all demonstrate general improvements in water-related urban infrastructure, whereas the environmental indicator depicts a decreasing trend. Future projected trends for Iran's hydro-climate show a general decline in its net availability from already scarce conditions and also increased variability due to climate change. In general, the study indicates both advances in Iran's urban water security recently and severe implications for future water availability in certain regions and periods in the decades to come. The study also advises policymakers to seek to mitigate the water crisis in so far, as also enforced by climate change, by increasing the appropriate infrastructure and using new technologies in the water and wastewater industry.","author":[{"dropping-particle":"","family":"Karimi Alavijeh","given":"Nooshin","non-dropping-particle":"","parse-names":false,"suffix":""},{"dropping-particle":"","family":"Falahi","given":"Mohammad Ali","non-dropping-particle":"","parse-names":false,"suffix":""},{"dropping-particle":"","family":"Ahmadi Shadmehri","given":"Mohammad Taher","non-dropping-particle":"","parse-names":false,"suffix":""},{"dropping-particle":"","family":"Salehnia","given":"Narges","non-dropping-particle":"","parse-names":false,"suffix":""},{"dropping-particle":"","family":"Larsen","given":"Morten Andreas Dahl","non-dropping-particle":"","parse-names":false,"suffix":""},{"dropping-particle":"","family":"Drews","given":"Martin","non-dropping-particle":"","parse-names":false,"suffix":""}],"container-title":"Journal of Cleaner Production","id":"ITEM-1","issue":"December 2020","issued":{"date-parts":[["2021"]]},"page":"129004","publisher":"Elsevier Ltd","title":"Perspectives of current and future urban water security in Iran","type":"article-journal","volume":"321"},"uris":["http://www.mendeley.com/documents/?uuid=6a0d2a0f-4c6e-4b18-a7e5-2a6ddbb928d2","http://www.mendeley.com/documents/?uuid=f599dbf9-72dc-41b9-be51-25cfdd763079"]}],"mendeley":{"formattedCitation":"(Karimi Alavijeh et al., 2021)","plainTextFormattedCitation":"(Karimi Alavijeh et al., 2021)","previouslyFormattedCitation":"(Karimi Alavijeh et al., 2021)"},"properties":{"noteIndex":0},"schema":"https://github.com/citation-style-language/schema/raw/master/csl-citation.json"}</w:instrText>
      </w:r>
      <w:r w:rsidR="002A7B53">
        <w:rPr>
          <w:rFonts w:eastAsia="Times New Roman"/>
        </w:rPr>
        <w:fldChar w:fldCharType="separate"/>
      </w:r>
      <w:r w:rsidR="00E700C0" w:rsidRPr="00E700C0">
        <w:rPr>
          <w:rFonts w:eastAsia="Times New Roman"/>
          <w:noProof/>
        </w:rPr>
        <w:t>(Karimi Alavijeh et al., 2021)</w:t>
      </w:r>
      <w:r w:rsidR="002A7B53">
        <w:rPr>
          <w:rFonts w:eastAsia="Times New Roman"/>
        </w:rPr>
        <w:fldChar w:fldCharType="end"/>
      </w:r>
      <w:r w:rsidRPr="00773A6E">
        <w:rPr>
          <w:rFonts w:eastAsia="Times New Roman"/>
        </w:rPr>
        <w:t>These studies usually overemphasize the i</w:t>
      </w:r>
      <w:r w:rsidR="00225D64">
        <w:rPr>
          <w:rFonts w:eastAsia="Times New Roman"/>
        </w:rPr>
        <w:t>mportance of focusing exc</w:t>
      </w:r>
      <w:r>
        <w:rPr>
          <w:rFonts w:eastAsia="Times New Roman"/>
        </w:rPr>
        <w:t xml:space="preserve">essively </w:t>
      </w:r>
      <w:r w:rsidRPr="00773A6E">
        <w:rPr>
          <w:rFonts w:eastAsia="Times New Roman"/>
        </w:rPr>
        <w:t xml:space="preserve">on gray infrastructure, which may hide other important aspects affecting water security </w:t>
      </w:r>
      <w:r w:rsidR="002A7B53">
        <w:rPr>
          <w:rFonts w:eastAsia="Times New Roman"/>
        </w:rPr>
        <w:fldChar w:fldCharType="begin" w:fldLock="1"/>
      </w:r>
      <w:r w:rsidR="00E700C0">
        <w:rPr>
          <w:rFonts w:eastAsia="Times New Roman"/>
        </w:rPr>
        <w:instrText>ADDIN CSL_CITATION {"citationItems":[{"id":"ITEM-1","itemData":{"DOI":"10.1016/j.scs.2018.12.010","ISSN":"22106707","abstract":"Water security in the Cirebon Metropolitan Region (CMR) is under threat from regular flood and drought events, rapid urbanisation and climate change. This study used the Guttman's scale approach to assess household water insecurity in the CMR. Factor and cluster analyses were then applied to confirm the results and identify issues that shaped household water insecurity in four urbanisation levels in the CMR, namely urban, urban/peri-urban transition (UPT), peri-urban, and rural. Data were obtained through surveys of 225 farm households and 205 non-farm households using face-to-face interviews. The study shows spatial variations of water insecurity concerning urbanisation and farm and non-farm households. The study indicates that dominant factors shaping household water insecurity in the CMR are (i) unacceptable levels in water risks and (ii) inadequate water sources and services to satisfy the population's needs in relation to health, livelihood, ecosystems, and production. Flooding in the region significantly affects water insecurity of UPT farm and non-farm households, while droughts affect rural farm and non-farm households. The methodology used in this study provides an analytical framework to better understand socio-ecohydrological issues underpinning farm and non-farm household water insecurity and for developing an evidence-based water security policy in a rapidly urbanising region.","author":[{"dropping-particle":"","family":"Danielaini","given":"Titih Titisari","non-dropping-particle":"","parse-names":false,"suffix":""},{"dropping-particle":"","family":"Maheshwari","given":"Basant","non-dropping-particle":"","parse-names":false,"suffix":""},{"dropping-particle":"","family":"Hagare","given":"Dharmappa","non-dropping-particle":"","parse-names":false,"suffix":""}],"container-title":"Sustainable Cities and Society","id":"ITEM-1","issue":"June 2018","issued":{"date-parts":[["2019"]]},"page":"101382","publisher":"Elsevier","title":"An assessment of household water insecurity in a rapidly developing coastal metropolitan region of Indonesia","type":"article-journal","volume":"46"},"uris":["http://www.mendeley.com/documents/?uuid=2a13c8d8-8041-43ef-9c67-9592372b04b0"]}],"mendeley":{"formattedCitation":"(Danielaini et al., 2019)","plainTextFormattedCitation":"(Danielaini et al., 2019)","previouslyFormattedCitation":"(Danielaini et al., 2019)"},"properties":{"noteIndex":0},"schema":"https://github.com/citation-style-language/schema/raw/master/csl-citation.json"}</w:instrText>
      </w:r>
      <w:r w:rsidR="002A7B53">
        <w:rPr>
          <w:rFonts w:eastAsia="Times New Roman"/>
        </w:rPr>
        <w:fldChar w:fldCharType="separate"/>
      </w:r>
      <w:r w:rsidR="002A7B53" w:rsidRPr="002A7B53">
        <w:rPr>
          <w:rFonts w:eastAsia="Times New Roman"/>
          <w:noProof/>
        </w:rPr>
        <w:t>(Danielaini et al., 2019)</w:t>
      </w:r>
      <w:r w:rsidR="002A7B53">
        <w:rPr>
          <w:rFonts w:eastAsia="Times New Roman"/>
        </w:rPr>
        <w:fldChar w:fldCharType="end"/>
      </w:r>
    </w:p>
    <w:p w14:paraId="68A41FD7" w14:textId="77777777" w:rsidR="00E86A0B" w:rsidRPr="00773A6E" w:rsidRDefault="00E86A0B" w:rsidP="00E86A0B">
      <w:pPr>
        <w:ind w:left="720"/>
        <w:rPr>
          <w:rFonts w:eastAsia="Times New Roman"/>
          <w:color w:val="0000FF"/>
        </w:rPr>
      </w:pPr>
    </w:p>
    <w:p w14:paraId="2BACA777" w14:textId="257A2D26" w:rsidR="00834D89" w:rsidRDefault="00E86A0B" w:rsidP="00E86A0B">
      <w:pPr>
        <w:jc w:val="both"/>
        <w:rPr>
          <w:rFonts w:eastAsia="Times New Roman"/>
        </w:rPr>
      </w:pPr>
      <w:r w:rsidRPr="00773A6E">
        <w:rPr>
          <w:rFonts w:eastAsia="Times New Roman"/>
        </w:rPr>
        <w:t xml:space="preserve">A second approach existing in the literature is measuring water security using composite indexes </w:t>
      </w:r>
      <w:r w:rsidR="002A7B53">
        <w:rPr>
          <w:rFonts w:eastAsia="Times New Roman"/>
        </w:rPr>
        <w:fldChar w:fldCharType="begin" w:fldLock="1"/>
      </w:r>
      <w:r w:rsidR="00A82EA7">
        <w:rPr>
          <w:rFonts w:eastAsia="Times New Roman"/>
        </w:rPr>
        <w:instrText>ADDIN CSL_CITATION {"citationItems":[{"id":"ITEM-1","itemData":{"DOI":"10.1007/s13280-017-0912-z","ISBN":"1328001709","ISSN":"16547209","PMID":"28299747","abstract":"Metrics of water scarcity and stress have evolved over the last three decades from simple threshold indicators to holistic measures characterising human environments and freshwater sustainability. Metrics commonly estimate renewable freshwater resources using mean annual river runoff, which masks hydrological variability, and quantify subjectively socio-economic conditions characterising adaptive capacity. There is a marked absence of research evaluating whether these metrics of water scarcity are meaningful. We argue that measurement of water scarcity (1) be redefined physically in terms of the freshwater storage required to address imbalances in intra- and inter-annual fluxes of freshwater supply and demand; (2) abandons subjective quantifications of human environments and (3) be used to inform participatory decision-making processes that explore a wide range of options for addressing freshwater storage requirements beyond dams that include use of renewable groundwater, soil water and trading in virtual water. Further, we outline a conceptual framework redefining water scarcity in terms of freshwater storage.","author":[{"dropping-particle":"","family":"Damkjaer","given":"Simon","non-dropping-particle":"","parse-names":false,"suffix":""},{"dropping-particle":"","family":"Taylor","given":"Richard","non-dropping-particle":"","parse-names":false,"suffix":""}],"container-title":"Ambio","id":"ITEM-1","issue":"5","issued":{"date-parts":[["2017"]]},"page":"513-531","publisher":"Springer Netherlands","title":"The measurement of water scarcity: Defining a meaningful indicator","type":"article-journal","volume":"46"},"uris":["http://www.mendeley.com/documents/?uuid=53d332d2-012f-471d-bbc7-5a85b20e0b95","http://www.mendeley.com/documents/?uuid=4bb51a6d-4620-4823-9ed0-ec1af0ece01f"]}],"mendeley":{"formattedCitation":"(Damkjaer &amp; Taylor, 2017)","plainTextFormattedCitation":"(Damkjaer &amp; Taylor, 2017)","previouslyFormattedCitation":"(Damkjaer &amp; Taylor, 2017)"},"properties":{"noteIndex":0},"schema":"https://github.com/citation-style-language/schema/raw/master/csl-citation.json"}</w:instrText>
      </w:r>
      <w:r w:rsidR="002A7B53">
        <w:rPr>
          <w:rFonts w:eastAsia="Times New Roman"/>
        </w:rPr>
        <w:fldChar w:fldCharType="separate"/>
      </w:r>
      <w:r w:rsidR="002A7B53" w:rsidRPr="002A7B53">
        <w:rPr>
          <w:rFonts w:eastAsia="Times New Roman"/>
          <w:noProof/>
        </w:rPr>
        <w:t>(Damkjaer &amp; Taylor, 2017)</w:t>
      </w:r>
      <w:r w:rsidR="002A7B53">
        <w:rPr>
          <w:rFonts w:eastAsia="Times New Roman"/>
        </w:rPr>
        <w:fldChar w:fldCharType="end"/>
      </w:r>
      <w:r w:rsidRPr="00773A6E">
        <w:rPr>
          <w:rFonts w:eastAsia="Times New Roman"/>
        </w:rPr>
        <w:t>, built from various indicators that attempt to consider th</w:t>
      </w:r>
      <w:r w:rsidR="00225D64">
        <w:rPr>
          <w:rFonts w:eastAsia="Times New Roman"/>
        </w:rPr>
        <w:t xml:space="preserve">e </w:t>
      </w:r>
      <w:r w:rsidRPr="00773A6E">
        <w:rPr>
          <w:rFonts w:eastAsia="Times New Roman"/>
        </w:rPr>
        <w:t xml:space="preserve">different and complex relationships in an urban territory </w:t>
      </w:r>
      <w:r w:rsidR="005D1626">
        <w:rPr>
          <w:rFonts w:eastAsia="Times New Roman"/>
        </w:rPr>
        <w:fldChar w:fldCharType="begin" w:fldLock="1"/>
      </w:r>
      <w:r w:rsidR="00E700C0">
        <w:rPr>
          <w:rFonts w:eastAsia="Times New Roman"/>
        </w:rPr>
        <w:instrText>ADDIN CSL_CITATION {"citationItems":[{"id":"ITEM-1","itemData":{"DOI":"10.1080/1523908X.2016.1207507","ISSN":"15227200","abstract":"Drawing up environmental policy options is a complex activity which involves defining and weighing the merits and risks of various alternative courses of action governments could pursue. In its modern version, this task typically involves formal policy analysis or ‘policy appraisal’, that is, policy work specifically undertaken to generate and evaluate policy options in order to address problems or issues on a policy agenda. Indicators play a powerful but under-investigated role in this process. To shed light on this issue, the paper conducts a case study of the design and evolution of policy indicators in water security policy formulation, examining both their utilization and impact. The paper documents the origins of water security policy indicators; assesses their relevance and influence in policy formulation and identifies the reasons for the emergence of certain preferred indices, despite their having several well-known limitations. In particular, the discussion flags the significance of the political advantages surrounding their ease of use and interpretation, rather than their technical merits, as a key factor affecting the continued utilization and influence of specific indicators in environmental policy and planning.","author":[{"dropping-particle":"","family":"Howlett","given":"Michael P.","non-dropping-particle":"","parse-names":false,"suffix":""},{"dropping-particle":"","family":"Cuenca","given":"Janet S.","non-dropping-particle":"","parse-names":false,"suffix":""}],"container-title":"Journal of Environmental Policy and Planning","id":"ITEM-1","issue":"2","issued":{"date-parts":[["2017"]]},"page":"229-243","title":"The use of indicators in environmental policy appraisal: lessons from the design and evolution of water security policy measures","type":"article-journal","volume":"19"},"uris":["http://www.mendeley.com/documents/?uuid=59140012-0488-435a-ba64-6e85d8a1a04a"]}],"mendeley":{"formattedCitation":"(Howlett &amp; Cuenca, 2017)","plainTextFormattedCitation":"(Howlett &amp; Cuenca, 2017)","previouslyFormattedCitation":"(Howlett &amp; Cuenca, 2017)"},"properties":{"noteIndex":0},"schema":"https://github.com/citation-style-language/schema/raw/master/csl-citation.json"}</w:instrText>
      </w:r>
      <w:r w:rsidR="005D1626">
        <w:rPr>
          <w:rFonts w:eastAsia="Times New Roman"/>
        </w:rPr>
        <w:fldChar w:fldCharType="separate"/>
      </w:r>
      <w:r w:rsidR="005D1626" w:rsidRPr="005D1626">
        <w:rPr>
          <w:rFonts w:eastAsia="Times New Roman"/>
          <w:noProof/>
        </w:rPr>
        <w:t>(Howlett &amp; Cuenca, 2017)</w:t>
      </w:r>
      <w:r w:rsidR="005D1626">
        <w:rPr>
          <w:rFonts w:eastAsia="Times New Roman"/>
        </w:rPr>
        <w:fldChar w:fldCharType="end"/>
      </w:r>
      <w:r w:rsidR="005D1626">
        <w:rPr>
          <w:rFonts w:eastAsia="Times New Roman"/>
        </w:rPr>
        <w:t>.</w:t>
      </w:r>
      <w:r w:rsidR="005D1626" w:rsidRPr="00773A6E">
        <w:rPr>
          <w:rFonts w:eastAsia="Times New Roman"/>
        </w:rPr>
        <w:t xml:space="preserve"> </w:t>
      </w:r>
      <w:r w:rsidR="00834D89">
        <w:rPr>
          <w:rFonts w:eastAsia="Times New Roman"/>
        </w:rPr>
        <w:t>T</w:t>
      </w:r>
      <w:r w:rsidR="005D1626">
        <w:rPr>
          <w:rFonts w:eastAsia="Times New Roman"/>
        </w:rPr>
        <w:t>h</w:t>
      </w:r>
      <w:r w:rsidRPr="00773A6E">
        <w:rPr>
          <w:rFonts w:eastAsia="Times New Roman"/>
        </w:rPr>
        <w:t xml:space="preserve">ese indices are developed for specific cities or </w:t>
      </w:r>
      <w:r w:rsidR="003E0C8B">
        <w:rPr>
          <w:rFonts w:eastAsia="Times New Roman"/>
        </w:rPr>
        <w:t>regions</w:t>
      </w:r>
      <w:r w:rsidRPr="00773A6E">
        <w:rPr>
          <w:rFonts w:eastAsia="Times New Roman"/>
        </w:rPr>
        <w:t xml:space="preserve">, considering the available information and recognizing the multiple drivers influencing water security </w:t>
      </w:r>
      <w:r w:rsidR="002A7B53">
        <w:rPr>
          <w:rFonts w:eastAsia="Times New Roman"/>
        </w:rPr>
        <w:fldChar w:fldCharType="begin" w:fldLock="1"/>
      </w:r>
      <w:r w:rsidR="00E700C0">
        <w:rPr>
          <w:rFonts w:eastAsia="Times New Roman"/>
        </w:rPr>
        <w:instrText>ADDIN CSL_CITATION {"citationItems":[{"id":"ITEM-1","itemData":{"DOI":"10.1016/j.envsci.2018.02.003","ISSN":"18736416","abstract":"Water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Policy","id":"ITEM-1","issue":"September 2017","issued":{"date-parts":[["2018"]]},"page":"33-45","publisher":"Elsevier","title":"Urban water security indicators: Development and pilot","type":"article-journal","volume":"83"},"uris":["http://www.mendeley.com/documents/?uuid=e7afa2e0-9e23-40fc-9cf3-be2b7d571e34"]},{"id":"ITEM-2","itemData":{"DOI":"10.3390/W12051299","ISSN":"20734441","abstract":"Water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(Switzerland)","id":"ITEM-2","issue":"5","issued":{"date-parts":[["2020"]]},"title":"Assessing water security in water-scarce cities: Applying the integrated urban water security index (IUWSI) in Madaba, Jordan","type":"article-journal","volume":"12"},"uris":["http://www.mendeley.com/documents/?uuid=6ca0887d-715f-432f-9c7c-727ad1c9d1f2"]}],"mendeley":{"formattedCitation":"(Aboelnga et al., 2020; Jensen &amp; Wu, 2018)","plainTextFormattedCitation":"(Aboelnga et al., 2020; Jensen &amp; Wu, 2018)","previouslyFormattedCitation":"(Aboelnga et al., 2020; Jensen &amp; Wu, 2018)"},"properties":{"noteIndex":0},"schema":"https://github.com/citation-style-language/schema/raw/master/csl-citation.json"}</w:instrText>
      </w:r>
      <w:r w:rsidR="002A7B53">
        <w:rPr>
          <w:rFonts w:eastAsia="Times New Roman"/>
        </w:rPr>
        <w:fldChar w:fldCharType="separate"/>
      </w:r>
      <w:r w:rsidR="00EC2386" w:rsidRPr="00EC2386">
        <w:rPr>
          <w:rFonts w:eastAsia="Times New Roman"/>
          <w:noProof/>
        </w:rPr>
        <w:t>(Aboelnga et al., 2020; Jensen &amp; Wu, 2018)</w:t>
      </w:r>
      <w:r w:rsidR="002A7B53">
        <w:rPr>
          <w:rFonts w:eastAsia="Times New Roman"/>
        </w:rPr>
        <w:fldChar w:fldCharType="end"/>
      </w:r>
      <w:r w:rsidR="00834D89">
        <w:rPr>
          <w:rFonts w:eastAsia="Times New Roman"/>
        </w:rPr>
        <w:t>.</w:t>
      </w:r>
    </w:p>
    <w:p w14:paraId="0ABA3954" w14:textId="48C8D8F5" w:rsidR="002C08A2" w:rsidRPr="003E0C8B" w:rsidRDefault="002C08A2" w:rsidP="009D6401">
      <w:pPr>
        <w:jc w:val="both"/>
        <w:rPr>
          <w:rFonts w:ascii="Arial" w:eastAsia="Arial" w:hAnsi="Arial" w:cs="Arial"/>
        </w:rPr>
      </w:pPr>
      <w:r w:rsidRPr="002C08A2">
        <w:rPr>
          <w:rFonts w:eastAsia="Times New Roman"/>
        </w:rPr>
        <w:t xml:space="preserve">These drivers include, for instance: technical conditions, such as the quantity, quality, affordability, accessibility, infrastructure, consumption, efficiency and alternatives sources used in water provision and wastewater treatment systems </w:t>
      </w:r>
      <w:r w:rsidR="002A7B53">
        <w:rPr>
          <w:rFonts w:eastAsia="Times New Roman"/>
        </w:rPr>
        <w:fldChar w:fldCharType="begin" w:fldLock="1"/>
      </w:r>
      <w:r w:rsidR="00497278">
        <w:rPr>
          <w:rFonts w:eastAsia="Times New Roman"/>
        </w:rPr>
        <w:instrText>ADDIN CSL_CITATION {"citationItems":[{"id":"ITEM-1","itemData":{"DOI":"10.3390/su7043900","ISSN":"20711050","abstract":"The acceleration of urbanization and industrialization has been gradually aggravating water security issues, such as water shortages, water pollution, and flooding or drought disasters and so on. Water security issues have become a great challenge to urban sustainable development. In this context, we proposed a dual-level material and psychological assessment method to assess urban water security. Psychological security coefficients were introduced in this method to combine material security and residents' security feelings. A typical water-stressed coastal city in China (Dalian) was chosen as a case study. The water security status of Dalian from 2010 to 2012 was analysed dynamically. The results indicated that the Dalian water security statuses from 2010 to 2012 were basically secure, but solutions to improve water security status and solve water resource problems are still required. This dual-level material and psychological assessment for urban water security has improved conventional material assessment through the introduction of psychological security coefficients, which can benefit decision-making for urban water planning, management and protection.","author":[{"dropping-particle":"","family":"Huang","given":"Yajing","non-dropping-particle":"","parse-names":false,"suffix":""},{"dropping-particle":"","family":"Xu","given":"Linyu","non-dropping-particle":"","parse-names":false,"suffix":""},{"dropping-particle":"","family":"Yin","given":"Hao","non-dropping-particle":"","parse-names":false,"suffix":""},{"dropping-particle":"","family":"Cai","given":"Yanpeng","non-dropping-particle":"","parse-names":false,"suffix":""},{"dropping-particle":"","family":"Yang","given":"Zhifeng","non-dropping-particle":"","parse-names":false,"suffix":""}],"container-title":"Sustainability (Switzerland)","id":"ITEM-1","issue":"4","issued":{"date-parts":[["2015"]]},"page":"3900-3918","title":"Dual-level material and psychological assessment of urban water security in a water-stressed coastal city","type":"article-journal","volume":"7"},"uris":["http://www.mendeley.com/documents/?uuid=c585a0a9-1a72-4127-b6d2-45fc508e74ab","http://www.mendeley.com/documents/?uuid=9bba1a6a-314b-4632-9716-ad4ee712718a"]},{"id":"ITEM-2","itemData":{"DOI":"10.2166/ws.2015.092","ISSN":"16069749","abstract":"Because of rapid economic development and urbanization, water shortage has become a serious problem in the arid region of China. To investigate urban water resource security, the supply demand pressure of water resources and the urban expansion index were analyzed under different developing scenarios in this paper. Based on the economic data of Urumqi, a typical inland city in the arid area, under the present development scenario from 2011 to 2030, a system dynamics model was constructed to simulate the water resource security. The results show that there will be great influence of urban expansion on water resource security in Urumqi in the future. Water resources are projected to become increasingly scarce if the urban expansion is left unchanged in terms of population, economic growth and water-use efficiency. To find a sustainable method for water resource use, four scenarios of urban expansion were set up based on the sensitive variables. Based on comparison of water consumption under the different scenarios, the harmonize scheme for urban water resource security is the best choice for the development of Urumqi. If the impact of urban expansion on urban water resource security alleviates in the future, the main parameters would have to reach a new standard of water use. Reducing the sewage and increasing the reuse proportion of wastewater are also very important for relieving the stress of water shortage. This research can serve as a reference for water resource allocation and urban planning in arid areas.","author":[{"dropping-particle":"","family":"Chang","given":"Yu Ting","non-dropping-particle":"","parse-names":false,"suffix":""},{"dropping-particle":"","family":"Liu","given":"Hai Long","non-dropping-particle":"","parse-names":false,"suffix":""},{"dropping-particle":"","family":"Bao","given":"An Ming","non-dropping-particle":"","parse-names":false,"suffix":""},{"dropping-particle":"","family":"Chen","given":"Xi","non-dropping-particle":"","parse-names":false,"suffix":""},{"dropping-particle":"","family":"Wang","given":"Ling","non-dropping-particle":"","parse-names":false,"suffix":""}],"container-title":"Water Science and Technology: Water Supply","id":"ITEM-2","issue":"6","issued":{"date-parts":[["2015"]]},"page":"1259-1274","title":"Evaluation of urban water resource security under urban expansion using a system dynamics model","type":"article-journal","volume":"15"},"uris":["http://www.mendeley.com/documents/?uuid=626f84a1-1b14-4f7b-a95d-c016cdb21984","http://www.mendeley.com/documents/?uuid=897dae9b-fa40-4de1-b0fe-1ce7c826c882"]},{"id":"ITEM-3","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Management","id":"ITEM-3","issue":"12","issued":{"date-parts":[["2018"]]},"page":"04018075","title":"Urban Water Security Dashboard: Systems Approach to Characterizing the Water Security of Cities","type":"article-journal","volume":"144"},"uris":["http://www.mendeley.com/documents/?uuid=b992867e-e69c-4237-89b3-40699222dd16"]},{"id":"ITEM-4","itemData":{"DOI":"10.1016/j.ssmph.2018.10.007","ISSN":"23528273","abstract":"A composite metric assessing water security's physical dimension at the micro/ community level is lacking but is essential for setting priorities for program and policy implementations. We prepared an objective index (OI) of water security to measure the physical dimension using a model centered on household water-use behavior in developing countries’ urban areas. A cross-sectional household survey (n = 1500) with multi-stage cluster design was conducted from December 2015 to February 2016 in the Kathmandu Valley, which has faced long-term, severe water shortage. A structured questionnaire probed socio-demographic characteristics, water sources, frequency and quantity of water use, cost related to water, etc. A 15-item water insecurity scale was used to measure subjective and experiential dimension of water insecurity. The World Health Organization Quality of Life – BREF was used to measure quality of life (QoL). The QoL has been considered as proxy of well-being in this study. The OI measured differential water security within small cities, the utility's service areas for instance, and identified area-specific key dimensions that need improvement. Overall, the OI and its key dimensions can be useful measures to design water-scarcity averting programs and policies, specific to a particular community's needs. The increased OI values were significantly and positively associated with better physical and psychological health and better social relationship domains of QoL suggesting health implications of water security.","author":[{"dropping-particle":"","family":"Shrestha","given":"Sadhana","non-dropping-particle":"","parse-names":false,"suffix":""},{"dropping-particle":"","family":"Aihara","given":"Yoko","non-dropping-particle":"","parse-names":false,"suffix":""},{"dropping-particle":"","family":"Bhattarai","given":"Arun P.","non-dropping-particle":"","parse-names":false,"suffix":""},{"dropping-particle":"","family":"Bista","given":"Niranjan","non-dropping-particle":"","parse-names":false,"suffix":""},{"dropping-particle":"","family":"Kondo","given":"Naoki","non-dropping-particle":"","parse-names":false,"suffix":""},{"dropping-particle":"","family":"Futaba","given":"Kazama","non-dropping-particle":"","parse-names":false,"suffix":""},{"dropping-particle":"","family":"Nishida","given":"Kei","non-dropping-particle":"","parse-names":false,"suffix":""},{"dropping-particle":"","family":"Shindo","given":"Junko","non-dropping-particle":"","parse-names":false,"suffix":""}],"container-title":"SSM - Population Health","id":"ITEM-4","issue":"July","issued":{"date-parts":[["2018"]]},"page":"276-285","publisher":"Elsevier","title":"Development of an objective water security index and assessment of its association with quality of life in urban areas of developing countries","type":"article-journal","volume":"6"},"uris":["http://www.mendeley.com/documents/?uuid=ddf32e18-d8ed-49ab-af9b-2265ae3d6022","http://www.mendeley.com/documents/?uuid=378814be-9546-41f0-ba27-602ca48f3dee","http://www.mendeley.com/documents/?uuid=7ca90ecf-487d-4975-b55c-e0a2681b04dc"]},{"id":"ITEM-5","itemData":{"DOI":"10.3390/w11010037","ISSN":"20734441","abstract":"Water security is a global concern because of the growing impact of human activities and climate change on water resources. Studies had been performed at global, country, and city level to assess the water security issues. However, assessment of water security at a domestic scale is lacking. This paper develops a new domestic water security assessment framework accounting for water supply, sanitation, and hygiene through twelve indicators. Water supply, sanitation, and hygiene are central to key water-related sustainable development goals. The framework is subsequently applied to the city of Addis Ababa, Ethiopia. From the domestic water security assessment of Addis Ababa, the water supply dimension was found to be of good level, whereas the sanitation and hygiene dimensions were of poor and fair level, respectively, indicating both a challenge and an opportunity for development. Because the analysis is spatially explicit at the city-branch level (in Addis), variation in domestic water security performance across Addis Ababa can be assessed, allowing efficient targeting of scant resources (financial, technical, personnel). Analysis further shows that a lack of institutional capacity within the utility, existing infrastructure leading to 'lock-in' and hindering maintenance and upgrade initiatives, and an unreliable power supply are the main issues leading to poor domestic water security in the study city. These areas should be tackled to improve the current situation and mitigate future problems. The developed framework is generic enough to be applied to other urban and peri-urban areas, yet provides planners and policy makers with specific information on domestic water security considering water supply, sanitation and hygiene, and accounting for within-city variability. This work could therefore have practical applicability for water service providers.","author":[{"dropping-particle":"","family":"Assefa","given":"Yonas T.","non-dropping-particle":"","parse-names":false,"suffix":""},{"dropping-particle":"","family":"Babel","given":"Mukand S.","non-dropping-particle":"","parse-names":false,"suffix":""},{"dropping-particle":"","family":"Sušnik","given":"Janez","non-dropping-particle":"","parse-names":false,"suffix":""},{"dropping-particle":"","family":"Shinde","given":"Victor R.","non-dropping-particle":"","parse-names":false,"suffix":""}],"container-title":"Water (Switzerland)","id":"ITEM-5","issue":"1","issued":{"date-parts":[["2018"]]},"title":"Development of a generic domesticwater security index, and its application in Addis Ababa, Ethiopia","type":"article-journal","volume":"11"},"uris":["http://www.mendeley.com/documents/?uuid=e744d682-88bf-4df9-8844-f1ed5f6e3932","http://www.mendeley.com/documents/?uuid=993c68b3-3daf-4170-b2c9-f69c3bae6914","http://www.mendeley.com/documents/?uuid=c982c941-8255-4855-a165-b1722578d873"]},{"id":"ITEM-6","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Policy","id":"ITEM-6","issue":"September 2017","issued":{"date-parts":[["2018"]]},"page":"33-45","publisher":"Elsevier","title":"Urban water security indicators: Development and pilot","type":"article-journal","volume":"83"},"uris":["http://www.mendeley.com/documents/?uuid=e7afa2e0-9e23-40fc-9cf3-be2b7d571e34"]},{"id":"ITEM-7","itemData":{"DOI":"10.3390/W12051299","ISSN":"20734441","abstract":"Water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(Switzerland)","id":"ITEM-7","issue":"5","issued":{"date-parts":[["2020"]]},"title":"Assessing water security in water-scarce cities: Applying the integrated urban water security index (IUWSI) in Madaba, Jordan","type":"article-journal","volume":"12"},"uris":["http://www.mendeley.com/documents/?uuid=6ca0887d-715f-432f-9c7c-727ad1c9d1f2"]}],"mendeley":{"formattedCitation":"(Aboelnga et al., 2020; Assefa et al., 2018; Chang et al., 2015; Huang et al., 2015; Jensen &amp; Wu, 2018; Shrestha et al., 2018; van Ginkel et al., 2018)","plainTextFormattedCitation":"(Aboelnga et al., 2020; Assefa et al., 2018; Chang et al., 2015; Huang et al., 2015; Jensen &amp; Wu, 2018; Shrestha et al., 2018; van Ginkel et al., 2018)","previouslyFormattedCitation":"(Aboelnga et al., 2020; Assefa et al., 2018; Chang et al., 2015; Huang et al., 2015; Jensen &amp; Wu, 2018; Shrestha et al., 2018; van Ginkel et al., 2018)"},"properties":{"noteIndex":0},"schema":"https://github.com/citation-style-language/schema/raw/master/csl-citation.json"}</w:instrText>
      </w:r>
      <w:r w:rsidR="002A7B53">
        <w:rPr>
          <w:rFonts w:eastAsia="Times New Roman"/>
        </w:rPr>
        <w:fldChar w:fldCharType="separate"/>
      </w:r>
      <w:r w:rsidR="00E700C0" w:rsidRPr="00E700C0">
        <w:rPr>
          <w:rFonts w:eastAsia="Times New Roman"/>
          <w:noProof/>
        </w:rPr>
        <w:t>(Aboelnga et al., 2020; Assefa et al., 2018; Chang et al., 2015; Huang et al., 2015; Jensen &amp; Wu, 2018; Shrestha et al., 2018; van Ginkel et al., 2018)</w:t>
      </w:r>
      <w:r w:rsidR="002A7B53">
        <w:rPr>
          <w:rFonts w:eastAsia="Times New Roman"/>
        </w:rPr>
        <w:fldChar w:fldCharType="end"/>
      </w:r>
      <w:r w:rsidR="002A7B53">
        <w:rPr>
          <w:rFonts w:eastAsia="Times New Roman"/>
        </w:rPr>
        <w:t xml:space="preserve">; </w:t>
      </w:r>
      <w:r w:rsidRPr="002C08A2">
        <w:rPr>
          <w:rFonts w:eastAsia="Times New Roman"/>
        </w:rPr>
        <w:t xml:space="preserve">socio-economic conditions, such as social capital, population, economic factors, legal and institutional and governance frameworks </w:t>
      </w:r>
      <w:r w:rsidR="002A7B53">
        <w:rPr>
          <w:rFonts w:eastAsia="Times New Roman"/>
        </w:rPr>
        <w:fldChar w:fldCharType="begin" w:fldLock="1"/>
      </w:r>
      <w:r w:rsidR="00E700C0">
        <w:rPr>
          <w:rFonts w:eastAsia="Times New Roman"/>
        </w:rPr>
        <w:instrText>ADDIN CSL_CITATION {"citationItems":[{"id":"ITEM-1","itemData":{"DOI":"10.2166/ws.2015.092","ISSN":"16069749","abstract":"Because of rapid economic development and urbanization, water shortage has become a serious problem in the arid region of China. To investigate urban water resource security, the supply demand pressure of water resources and the urban expansion index were analyzed under different developing scenarios in this paper. Based on the economic data of Urumqi, a typical inland city in the arid area, under the present development scenario from 2011 to 2030, a system dynamics model was constructed to simulate the water resource security. The results show that there will be great influence of urban expansion on water resource security in Urumqi in the future. Water resources are projected to become increasingly scarce if the urban expansion is left unchanged in terms of population, economic growth and water-use efficiency. To find a sustainable method for water resource use, four scenarios of urban expansion were set up based on the sensitive variables. Based on comparison of water consumption under the different scenarios, the harmonize scheme for urban water resource security is the best choice for the development of Urumqi. If the impact of urban expansion on urban water resource security alleviates in the future, the main parameters would have to reach a new standard of water use. Reducing the sewage and increasing the reuse proportion of wastewater are also very important for relieving the stress of water shortage. This research can serve as a reference for water resource allocation and urban planning in arid areas.","author":[{"dropping-particle":"","family":"Chang","given":"Yu Ting","non-dropping-particle":"","parse-names":false,"suffix":""},{"dropping-particle":"","family":"Liu","given":"Hai Long","non-dropping-particle":"","parse-names":false,"suffix":""},{"dropping-particle":"","family":"Bao","given":"An Ming","non-dropping-particle":"","parse-names":false,"suffix":""},{"dropping-particle":"","family":"Chen","given":"Xi","non-dropping-particle":"","parse-names":false,"suffix":""},{"dropping-particle":"","family":"Wang","given":"Ling","non-dropping-particle":"","parse-names":false,"suffix":""}],"container-title":"Water Science and Technology: Water Supply","id":"ITEM-1","issue":"6","issued":{"date-parts":[["2015"]]},"page":"1259-1274","title":"Evaluation of urban water resource security under urban expansion using a system dynamics model","type":"article-journal","volume":"15"},"uris":["http://www.mendeley.com/documents/?uuid=897dae9b-fa40-4de1-b0fe-1ce7c826c882","http://www.mendeley.com/documents/?uuid=626f84a1-1b14-4f7b-a95d-c016cdb21984","http://www.mendeley.com/documents/?uuid=ce7b338a-6d8f-434e-b7a3-c1b0ff5f20b6"]},{"id":"ITEM-2","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Management","id":"ITEM-2","issue":"12","issued":{"date-parts":[["2018"]]},"page":"04018075","title":"Urban Water Security Dashboard: Systems Approach to Characterizing the Water Security of Cities","type":"article-journal","volume":"144"},"uris":["http://www.mendeley.com/documents/?uuid=b992867e-e69c-4237-89b3-40699222dd16"]},{"id":"ITEM-3","itemData":{"DOI":"10.3390/W12051299","ISSN":"20734441","abstract":"Water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(Switzerland)","id":"ITEM-3","issue":"5","issued":{"date-parts":[["2020"]]},"title":"Assessing water security in water-scarce cities: Applying the integrated urban water security index (IUWSI) in Madaba, Jordan","type":"article-journal","volume":"12"},"uris":["http://www.mendeley.com/documents/?uuid=6ca0887d-715f-432f-9c7c-727ad1c9d1f2"]},{"id":"ITEM-4","itemData":{"DOI":"10.1016/j.envsci.2018.02.003","ISSN":"18736416","abstract":"Water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Policy","id":"ITEM-4","issue":"September 2017","issued":{"date-parts":[["2018"]]},"page":"33-45","publisher":"Elsevier","title":"Urban water security indicators: Development and pilot","type":"article-journal","volume":"83"},"uris":["http://www.mendeley.com/documents/?uuid=e7afa2e0-9e23-40fc-9cf3-be2b7d571e34"]}],"mendeley":{"formattedCitation":"(Aboelnga et al., 2020; Chang et al., 2015; Jensen &amp; Wu, 2018; van Ginkel et al., 2018)","plainTextFormattedCitation":"(Aboelnga et al., 2020; Chang et al., 2015; Jensen &amp; Wu, 2018; van Ginkel et al., 2018)","previouslyFormattedCitation":"(Aboelnga et al., 2020; Chang et al., 2015; Jensen &amp; Wu, 2018; van Ginkel et al., 2018)"},"properties":{"noteIndex":0},"schema":"https://github.com/citation-style-language/schema/raw/master/csl-citation.json"}</w:instrText>
      </w:r>
      <w:r w:rsidR="002A7B53">
        <w:rPr>
          <w:rFonts w:eastAsia="Times New Roman"/>
        </w:rPr>
        <w:fldChar w:fldCharType="separate"/>
      </w:r>
      <w:r w:rsidR="00EC2386" w:rsidRPr="00EC2386">
        <w:rPr>
          <w:rFonts w:eastAsia="Times New Roman"/>
          <w:noProof/>
        </w:rPr>
        <w:t>(Aboelnga et al., 2020; Chang et al., 2015; Jensen &amp; Wu, 2018; van Ginkel et al., 2018)</w:t>
      </w:r>
      <w:r w:rsidR="002A7B53">
        <w:rPr>
          <w:rFonts w:eastAsia="Times New Roman"/>
        </w:rPr>
        <w:fldChar w:fldCharType="end"/>
      </w:r>
      <w:r w:rsidRPr="002C08A2">
        <w:rPr>
          <w:rFonts w:eastAsia="Times New Roman"/>
        </w:rPr>
        <w:t xml:space="preserve">; and environmental conditions such as pollution, green infrastructure, the propensity of hydro-climatic hazards and others natural risk </w:t>
      </w:r>
      <w:r w:rsidR="002A7B53">
        <w:rPr>
          <w:rFonts w:eastAsia="Times New Roman"/>
        </w:rPr>
        <w:fldChar w:fldCharType="begin" w:fldLock="1"/>
      </w:r>
      <w:r w:rsidR="00E700C0">
        <w:rPr>
          <w:rFonts w:eastAsia="Times New Roman"/>
        </w:rPr>
        <w:instrText>ADDIN CSL_CITATION {"citationItems":[{"id":"ITEM-1","itemData":{"DOI":"10.2166/wst.2017.333","ISSN":"02731223","PMID":"29144284","abstract":"The demand for global freshwater is growing, while global freshwater available for human use is limited within a certain time and space. Its security has significant impacts on both the socioeconomic system and ecological system. Recently, studies have focused on the urban water security system (UWSS) in terms of either water quantity or water quality. In this study, water resources, water environment, and water disaster issues in the UWSS were combined to establish an evaluation index system with system dynamics (SD) and geographic information systems (GIS). The GIS method performs qualitative analysis from the perspective of the spatial dimension; meanwhile, the SD method performs quantitative calculation about related water security problems from the perspective of the temporal dimension. We established a UWSS model for Guizhou province, China to analyze influencing factors, main driving factors, and system variation law, by using the SD method. We simulated the water security system from 2005 to 2025 under four scenarios (Guiyang scenario, Zunyi scenario, Bijie scenario and combined scenario). The results demonstrate that: (1) the severity of water security in cities is ranked as follows: three cities are secure in Guizhou province, four cities are in basic security and two cities are in a situation of insecurity from the spatial dimension of GIS through water security synthesis; and (2) the major driving factors of UWSS in Guizhou province include agricultural irrigation water demand, soil and water losses area, a ratio increase to the standard of water quality, and investment in environmental protection. A combined scenario is the best solution for UWSS by 2025 in Guizhou province under the four scenarios from the temporal dimension of SD. The results of this study provide a useful suggestion for the management of freshwater for the cities of Guizhou province in southwest China.","author":[{"dropping-particle":"","family":"Yin","given":"Su","non-dropping-particle":"","parse-names":false,"suffix":""},{"dropping-particle":"","family":"Dongjie","given":"Guan","non-dropping-particle":"","parse-names":false,"suffix":""},{"dropping-particle":"","family":"Weici","given":"Su","non-dropping-particle":"","parse-names":false,"suffix":""},{"dropping-particle":"","family":"Weijun","given":"Gao","non-dropping-particle":"","parse-names":false,"suffix":""}],"container-title":"Water Science and Technology","id":"ITEM-1","issue":"9","issued":{"date-parts":[["2017"]]},"page":"2255-2267","title":"Integrated assessment and scenarios simulation of urban water security system in the southwest of China with system dynamics analysis","type":"article-journal","volume":"76"},"uris":["http://www.mendeley.com/documents/?uuid=18018065-ddd4-4688-9736-b887da0dda93"]},{"id":"ITEM-2","itemData":{"DOI":"10.2166/ws.2015.092","ISSN":"16069749","abstract":"Because of rapid economic development and urbanization, water shortage has become a serious problem in the arid region of China. To investigate urban water resource security, the supply demand pressure of water resources and the urban expansion index were analyzed under different developing scenarios in this paper. Based on the economic data of Urumqi, a typical inland city in the arid area, under the present development scenario from 2011 to 2030, a system dynamics model was constructed to simulate the water resource security. The results show that there will be great influence of urban expansion on water resource security in Urumqi in the future. Water resources are projected to become increasingly scarce if the urban expansion is left unchanged in terms of population, economic growth and water-use efficiency. To find a sustainable method for water resource use, four scenarios of urban expansion were set up based on the sensitive variables. Based on comparison of water consumption under the different scenarios, the harmonize scheme for urban water resource security is the best choice for the development of Urumqi. If the impact of urban expansion on urban water resource security alleviates in the future, the main parameters would have to reach a new standard of water use. Reducing the sewage and increasing the reuse proportion of wastewater are also very important for relieving the stress of water shortage. This research can serve as a reference for water resource allocation and urban planning in arid areas.","author":[{"dropping-particle":"","family":"Chang","given":"Yu Ting","non-dropping-particle":"","parse-names":false,"suffix":""},{"dropping-particle":"","family":"Liu","given":"Hai Long","non-dropping-particle":"","parse-names":false,"suffix":""},{"dropping-particle":"","family":"Bao","given":"An Ming","non-dropping-particle":"","parse-names":false,"suffix":""},{"dropping-particle":"","family":"Chen","given":"Xi","non-dropping-particle":"","parse-names":false,"suffix":""},{"dropping-particle":"","family":"Wang","given":"Ling","non-dropping-particle":"","parse-names":false,"suffix":""}],"container-title":"Water Science and Technology: Water Supply","id":"ITEM-2","issue":"6","issued":{"date-parts":[["2015"]]},"page":"1259-1274","title":"Evaluation of urban water resource security under urban expansion using a system dynamics model","type":"article-journal","volume":"15"},"uris":["http://www.mendeley.com/documents/?uuid=897dae9b-fa40-4de1-b0fe-1ce7c826c882","http://www.mendeley.com/documents/?uuid=626f84a1-1b14-4f7b-a95d-c016cdb21984","http://www.mendeley.com/documents/?uuid=648a290d-5dc8-43c3-871e-0194d03b0040"]},{"id":"ITEM-3","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(Switzerland)","id":"ITEM-3","issue":"5","issued":{"date-parts":[["2020"]]},"title":"Assessing water security in water-scarce cities: Applying the integrated urban water security index (IUWSI) in Madaba, Jordan","type":"article-journal","volume":"12"},"uris":["http://www.mendeley.com/documents/?uuid=6ca0887d-715f-432f-9c7c-727ad1c9d1f2"]},{"id":"ITEM-4","itemData":{"DOI":"10.1016/j.envsci.2018.02.003","ISSN":"18736416","abstract":"Water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Policy","id":"ITEM-4","issue":"September 2017","issued":{"date-parts":[["2018"]]},"page":"33-45","publisher":"Elsevier","title":"Urban water security indicators: Development and pilot","type":"article-journal","volume":"83"},"uris":["http://www.mendeley.com/documents/?uuid=e7afa2e0-9e23-40fc-9cf3-be2b7d571e34"]},{"id":"ITEM-5","itemData":{"DOI":"10.1061/(asce)wr.1943-5452.0000997","ISSN":"0733-9496","abstract":"Urban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Management","id":"ITEM-5","issue":"12","issued":{"date-parts":[["2018"]]},"page":"04018075","title":"Urban Water Security Dashboard: Systems Approach to Characterizing the Water Security of Cities","type":"article-journal","volume":"144"},"uris":["http://www.mendeley.com/documents/?uuid=b992867e-e69c-4237-89b3-40699222dd16"]}],"mendeley":{"formattedCitation":"(Aboelnga et al., 2020; Chang et al., 2015; Jensen &amp; Wu, 2018; van Ginkel et al., 2018; Yin et al., 2017)","manualFormatting":"(Aboelnga et al., 2020; Chang et al., 2015; Jensen &amp; Wu, 2018; van Ginkel et al., 2018; Yin et al., 2017)","plainTextFormattedCitation":"(Aboelnga et al., 2020; Chang et al., 2015; Jensen &amp; Wu, 2018; van Ginkel et al., 2018; Yin et al., 2017)","previouslyFormattedCitation":"(Aboelnga et al., 2020; Chang et al., 2015; Jensen &amp; Wu, 2018; van Ginkel et al., 2018; Yin et al., 2017)"},"properties":{"noteIndex":0},"schema":"https://github.com/citation-style-language/schema/raw/master/csl-citation.json"}</w:instrText>
      </w:r>
      <w:r w:rsidR="002A7B53">
        <w:rPr>
          <w:rFonts w:eastAsia="Times New Roman"/>
        </w:rPr>
        <w:fldChar w:fldCharType="separate"/>
      </w:r>
      <w:r w:rsidR="00F03FC3" w:rsidRPr="00F03FC3">
        <w:rPr>
          <w:rFonts w:eastAsia="Times New Roman"/>
          <w:noProof/>
        </w:rPr>
        <w:t xml:space="preserve">(Aboelnga et al., 2020; Chang </w:t>
      </w:r>
      <w:r w:rsidR="00F03FC3">
        <w:rPr>
          <w:rFonts w:eastAsia="Times New Roman"/>
          <w:noProof/>
        </w:rPr>
        <w:t>et al., 2015; Jensen &amp; Wu, 2018</w:t>
      </w:r>
      <w:r w:rsidR="00F03FC3" w:rsidRPr="00F03FC3">
        <w:rPr>
          <w:rFonts w:eastAsia="Times New Roman"/>
          <w:noProof/>
        </w:rPr>
        <w:t>; van Ginkel et al., 2018; Yin et al., 2017)</w:t>
      </w:r>
      <w:r w:rsidR="002A7B53">
        <w:rPr>
          <w:rFonts w:eastAsia="Times New Roman"/>
        </w:rPr>
        <w:fldChar w:fldCharType="end"/>
      </w:r>
      <w:r w:rsidR="002A7B53">
        <w:rPr>
          <w:rFonts w:eastAsia="Times New Roman"/>
        </w:rPr>
        <w:t xml:space="preserve"> </w:t>
      </w:r>
      <w:r w:rsidRPr="002C08A2">
        <w:rPr>
          <w:rFonts w:eastAsia="Times New Roman"/>
        </w:rPr>
        <w:t xml:space="preserve">(A synthesis of indicators identified in the literature is available in tables S1-S3, </w:t>
      </w:r>
      <w:r w:rsidRPr="002C08A2">
        <w:rPr>
          <w:shd w:val="clear" w:color="auto" w:fill="FFFFFF"/>
        </w:rPr>
        <w:t xml:space="preserve"> supporting information</w:t>
      </w:r>
      <w:r>
        <w:rPr>
          <w:rFonts w:ascii="Arial" w:hAnsi="Arial" w:cs="Arial"/>
          <w:color w:val="1C1D1E"/>
          <w:shd w:val="clear" w:color="auto" w:fill="FFFFFF"/>
        </w:rPr>
        <w:t>)</w:t>
      </w:r>
    </w:p>
    <w:p w14:paraId="33151B28" w14:textId="77777777" w:rsidR="002C08A2" w:rsidRPr="00773A6E" w:rsidRDefault="002C08A2" w:rsidP="00E86A0B">
      <w:pPr>
        <w:jc w:val="both"/>
        <w:rPr>
          <w:rFonts w:eastAsia="Times New Roman"/>
        </w:rPr>
      </w:pPr>
    </w:p>
    <w:p w14:paraId="3AD42F98" w14:textId="36022B78" w:rsidR="00E86A0B" w:rsidRPr="00773A6E" w:rsidRDefault="00E86A0B" w:rsidP="00E86A0B">
      <w:pPr>
        <w:jc w:val="both"/>
        <w:rPr>
          <w:rFonts w:eastAsia="Times New Roman"/>
        </w:rPr>
      </w:pPr>
      <w:r w:rsidRPr="00773A6E">
        <w:rPr>
          <w:rFonts w:eastAsia="Times New Roman"/>
        </w:rPr>
        <w:t>Notably, when including socio-economic variables, water security literature mostly relies on variables that describe the quantity and distribution of the population</w:t>
      </w:r>
      <w:r w:rsidR="0097571B">
        <w:rPr>
          <w:rFonts w:eastAsia="Times New Roman"/>
        </w:rPr>
        <w:t>,</w:t>
      </w:r>
      <w:r w:rsidRPr="00773A6E">
        <w:rPr>
          <w:rFonts w:eastAsia="Times New Roman"/>
        </w:rPr>
        <w:t xml:space="preserve"> to quantify the number of people exposed to water security-r</w:t>
      </w:r>
      <w:r w:rsidR="00AC24B4">
        <w:rPr>
          <w:rFonts w:eastAsia="Times New Roman"/>
        </w:rPr>
        <w:t xml:space="preserve">elated problems. For instance, </w:t>
      </w:r>
      <w:r w:rsidR="002A7B53">
        <w:rPr>
          <w:rFonts w:eastAsia="Times New Roman"/>
        </w:rPr>
        <w:t>van Ginkel</w:t>
      </w:r>
      <w:r w:rsidRPr="00773A6E">
        <w:rPr>
          <w:rFonts w:eastAsia="Times New Roman"/>
        </w:rPr>
        <w:t xml:space="preserve"> </w:t>
      </w:r>
      <w:r w:rsidR="00BE1D7E" w:rsidRPr="00773A6E">
        <w:rPr>
          <w:rFonts w:eastAsia="Times New Roman"/>
        </w:rPr>
        <w:t>et al. (</w:t>
      </w:r>
      <w:r w:rsidRPr="00773A6E">
        <w:rPr>
          <w:rFonts w:eastAsia="Times New Roman"/>
        </w:rPr>
        <w:t xml:space="preserve">2018) and Chang </w:t>
      </w:r>
      <w:r w:rsidR="00F85E14" w:rsidRPr="00773A6E">
        <w:rPr>
          <w:rFonts w:eastAsia="Times New Roman"/>
        </w:rPr>
        <w:t>et al. (</w:t>
      </w:r>
      <w:r w:rsidRPr="00773A6E">
        <w:rPr>
          <w:rFonts w:eastAsia="Times New Roman"/>
        </w:rPr>
        <w:t>2015) used the GDP as a proxy of socio-economic status, applied to a whole city in a homogeneous approach. Less attention has been given to variables aiming to characterize the</w:t>
      </w:r>
      <w:r w:rsidR="0097571B">
        <w:rPr>
          <w:rFonts w:eastAsia="Times New Roman"/>
        </w:rPr>
        <w:t xml:space="preserve"> differences in</w:t>
      </w:r>
      <w:r w:rsidRPr="00773A6E">
        <w:rPr>
          <w:rFonts w:eastAsia="Times New Roman"/>
        </w:rPr>
        <w:t xml:space="preserve"> socio-economic vulnerability of the inhabitants of a city.</w:t>
      </w:r>
    </w:p>
    <w:p w14:paraId="7932AF7C" w14:textId="77777777" w:rsidR="00E86A0B" w:rsidRPr="00773A6E" w:rsidRDefault="00E86A0B" w:rsidP="00E86A0B">
      <w:pPr>
        <w:jc w:val="both"/>
        <w:rPr>
          <w:rFonts w:eastAsia="Times New Roman"/>
        </w:rPr>
      </w:pPr>
    </w:p>
    <w:p w14:paraId="24073B66" w14:textId="226943F5" w:rsidR="00E86A0B" w:rsidRPr="00773A6E" w:rsidRDefault="00E86A0B" w:rsidP="00E86A0B">
      <w:pPr>
        <w:jc w:val="both"/>
        <w:rPr>
          <w:rFonts w:eastAsia="Times New Roman"/>
        </w:rPr>
      </w:pPr>
      <w:r w:rsidRPr="00773A6E">
        <w:rPr>
          <w:rFonts w:eastAsia="Times New Roman"/>
        </w:rPr>
        <w:t xml:space="preserve">The geographic scale in which the information is expressed is another relevant aspect to consider in constructing these indexes. Most studies are </w:t>
      </w:r>
      <w:r w:rsidR="003E0C8B">
        <w:rPr>
          <w:rFonts w:eastAsia="Times New Roman"/>
        </w:rPr>
        <w:t>defined</w:t>
      </w:r>
      <w:r w:rsidRPr="00773A6E">
        <w:rPr>
          <w:rFonts w:eastAsia="Times New Roman"/>
        </w:rPr>
        <w:t xml:space="preserve"> at a city level, i.e., considering the city as a  homogeneous territory and som</w:t>
      </w:r>
      <w:r w:rsidR="00225D64">
        <w:rPr>
          <w:rFonts w:eastAsia="Times New Roman"/>
        </w:rPr>
        <w:t xml:space="preserve">etimes including relationships </w:t>
      </w:r>
      <w:r w:rsidRPr="00773A6E">
        <w:rPr>
          <w:rFonts w:eastAsia="Times New Roman"/>
        </w:rPr>
        <w:t xml:space="preserve">with the contributing basins </w:t>
      </w:r>
      <w:r w:rsidR="002A7B53">
        <w:rPr>
          <w:rFonts w:eastAsia="Times New Roman"/>
        </w:rPr>
        <w:fldChar w:fldCharType="begin" w:fldLock="1"/>
      </w:r>
      <w:r w:rsidR="00E700C0">
        <w:rPr>
          <w:rFonts w:eastAsia="Times New Roman"/>
        </w:rPr>
        <w:instrText>ADDIN CSL_CITATION {"citationItems":[{"id":"ITEM-1","itemData":{"DOI":"10.23881/idupbo.021.1-5i","ISSN":"1814-6333","abstract":"El embalse Milluni Grande depende principalmente de la precipitación, siendo vulnerable ante periodos de sequía, de forma que puede afectar a la seguridad hídrica de las ciudades de La Paz y El Alto. Por lo tanto, el presente estudio busca determinar la variación de la cantidad de agua disponible en el embalse bajo el set de escenarios de cambio climático establecidos en el quinto informe del Panel Intergubernamental sobre el Cambio Climático (IPCC) para el periodo 2022-2090. El área de estudio se limitó a la microcuenca Milluni, tomando el embalse Milluni Grande como punto de desemboque. La modelación hidrológica se realizó mediante la herramienta Water Evaluation and Planning System (WEAP) utilizando el ensamble de datos diarios de precipitación y temperatura generado a través de la herramienta Gridded Meteorological Ensemble Tool (GMET). Se incorporaron los escenarios de cambio climático empleando el Modelo 1 del Sistema Terrestre de Noruega NorESM1-M, reduciendo su escala mediante el método no paramétrico de vecinos más cercanos (knn-bootstrap). Se obtuvieron las siguientes tendencias para el periodo y área de estudio: incremento general de temperatura, incremento de precipitación en época seca y reducción de precipitación en época húmeda, lo cual puede generar situaciones de sequía. Por otra parte, el caudal de entrada al embalse Milluni Grande tiene tendencia a variar de forma directamente proporcional a la precipitación, mientras que su volumen tiene tendencia a reducirse. Asimismo, puede existir un déficit en la cobertura de los requerimientos de los sitios de demanda, llegando a valores mínimos de 45% para el sistema de distribución Achachicala y 27% para el sistema Meseta. Todos los resultados son acentuados en el escenario pesimista RCP 8.5.","author":[{"dropping-particle":"","family":"Medina","given":"Claudia","non-dropping-particle":"","parse-names":false,"suffix":""}],"container-title":"Investigacion &amp; Desarrollo","id":"ITEM-1","issue":"1","issued":{"date-parts":[["2021"]]},"page":"63-78","title":"Modelación Hidrológica Bajo Escenarios De Cambio Climático Para Un Embalse De Abastecimiento De Agua En La Paz, Bolivia","type":"article-journal","volume":"21"},"uris":["http://www.mendeley.com/documents/?uuid=787e3a85-a75f-4c0f-b930-36adbb8373ff"]},{"id":"ITEM-2","itemData":{"DOI":"10.1371/journal.pone.0209470","ISBN":"1111111111","ISSN":"19326203","PMID":"30576371","abstract":"Governments, development banks, corporations, and nonprofits are increasingly considering the potential contribution of watershed conservation activities to secure clean water for cities and to reduce flood risk. These organizations, however, often lack decision-relevant, initial screening information across multiple cities to identify which specific city-watershed combinations present not only water-related risks but also potentially attractive opportunities for mitigation via natural infrastructure approaches. To address this need, this paper presents a novel methodology for a continental assessment of the potential for watershed conservation activities to improve surface drinking water quality and mitigate riverine and stormwater flood risks in 70 major cities across Latin America. We used publicly available geospatial data to analyze 887 associated watersheds. Water quality metrics assessed the potential for agricultural practices, afforestation, riparian buffers, and forest conservation to mitigate sediment and phosphorus loads. Flood reduction metrics analyzed the role of increasing infiltration, restoring riparian wetlands, and reducing connected impervious surface to mitigate riverine and stormwater floods for exposed urban populations. Cities were then categorized based on relative opportunity potential to reduce identified risks through watershed conservation activities. We find high opportunities for watershed activities to mitigate at least one of the risks in 42 cities, potentially benefiting 96 million people or around 60% of the urbanites living in the 70 largest cities in Latin America. We estimate water quality could be improved for 72 million people in 27 cities, riverine flood risk mitigated for 5 million people in 13 cities, and stormwater flooding mitigated for 44 million people in 14 cities. We identified five cities with the potential to simultaneously enhance water quality and mitigate flood risks, and in contrast, six cities where conservation efforts are unlikely to meaningfully mitigate either risk. Institutions investing in natural infrastructure to improve water security in Latin America can maximize their impact by focusing on specific watershed conservation activities either for cleaner drinking water or flood mitigation in cities identified in our analysis where these interventions are most likely to reduce risk.","author":[{"dropping-particle":"","family":"Tellman","given":"Beth","non-dropping-particle":"","parse-names":false,"suffix":""},{"dropping-particle":"","family":"McDonald","given":"Robert I.","non-dropping-particle":"","parse-names":false,"suffix":""},{"dropping-particle":"","family":"Goldstein","given":"Joshua H.","non-dropping-particle":"","parse-names":false,"suffix":""},{"dropping-particle":"","family":"Vogl","given":"Adrian L.","non-dropping-particle":"","parse-names":false,"suffix":""},{"dropping-particle":"","family":"Flörke","given":"Martina","non-dropping-particle":"","parse-names":false,"suffix":""},{"dropping-particle":"","family":"Shemie","given":"Daniel","non-dropping-particle":"","parse-names":false,"suffix":""},{"dropping-particle":"","family":"Dudley","given":"Russ","non-dropping-particle":"","parse-names":false,"suffix":""},{"dropping-particle":"","family":"Dryden","given":"Rachel","non-dropping-particle":"","parse-names":false,"suffix":""},{"dropping-particle":"","family":"Petry","given":"Paulo","non-dropping-particle":"","parse-names":false,"suffix":""},{"dropping-particle":"","family":"Karres","given":"Nathan","non-dropping-particle":"","parse-names":false,"suffix":""},{"dropping-particle":"","family":"Vigerstol","given":"Kari","non-dropping-particle":"","parse-names":false,"suffix":""},{"dropping-particle":"","family":"Lehner","given":"Bernhard","non-dropping-particle":"","parse-names":false,"suffix":""},{"dropping-particle":"","family":"Veiga","given":"Fernando","non-dropping-particle":"","parse-names":false,"suffix":""}],"container-title":"PLoS ONE","id":"ITEM-2","issue":"12","issued":{"date-parts":[["2018"]]},"page":"1-28","title":"Opportunities for natural infrastructure to improve urban water security in Latin America","type":"article-journal","volume":"13"},"uris":["http://www.mendeley.com/documents/?uuid=b2beeb47-347b-4360-a2f4-54dbe7b91905"]},{"id":"ITEM-3","itemData":{"DOI":"10.1061/(asce)wr.1943-5452.0000997","ISSN":"0733-9496","abstract":"Urban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Management","id":"ITEM-3","issue":"12","issued":{"date-parts":[["2018"]]},"page":"04018075","title":"Urban Water Security Dashboard: Systems Approach to Characterizing the Water Security of Cities","type":"article-journal","volume":"144"},"uris":["http://www.mendeley.com/documents/?uuid=b992867e-e69c-4237-89b3-40699222dd16"]}],"mendeley":{"formattedCitation":"(Medina, 2021; Tellman et al., 2018; van Ginkel et al., 2018)","plainTextFormattedCitation":"(Medina, 2021; Tellman et al., 2018; van Ginkel et al., 2018)","previouslyFormattedCitation":"(Medina, 2021; Tellman et al., 2018; van Ginkel et al., 2018)"},"properties":{"noteIndex":0},"schema":"https://github.com/citation-style-language/schema/raw/master/csl-citation.json"}</w:instrText>
      </w:r>
      <w:r w:rsidR="002A7B53">
        <w:rPr>
          <w:rFonts w:eastAsia="Times New Roman"/>
        </w:rPr>
        <w:fldChar w:fldCharType="separate"/>
      </w:r>
      <w:r w:rsidR="00F03FC3" w:rsidRPr="00F03FC3">
        <w:rPr>
          <w:rFonts w:eastAsia="Times New Roman"/>
          <w:noProof/>
        </w:rPr>
        <w:t>(Medina, 2021; Tellman et al., 2018; van Ginkel et al., 2018)</w:t>
      </w:r>
      <w:r w:rsidR="002A7B53">
        <w:rPr>
          <w:rFonts w:eastAsia="Times New Roman"/>
        </w:rPr>
        <w:fldChar w:fldCharType="end"/>
      </w:r>
      <w:r w:rsidRPr="00773A6E">
        <w:rPr>
          <w:rFonts w:eastAsia="Times New Roman"/>
        </w:rPr>
        <w:t xml:space="preserve">. Finer-grained studies are rare. Nevertheless, the literature recognizes the need for new analytical frameworks and indexes to evaluate water security at a more detailed geographic scale, intending to take into account the specific characteristics of small territorial units </w:t>
      </w:r>
      <w:r w:rsidR="005D1626">
        <w:rPr>
          <w:rFonts w:eastAsia="Times New Roman"/>
        </w:rPr>
        <w:fldChar w:fldCharType="begin" w:fldLock="1"/>
      </w:r>
      <w:r w:rsidR="00497278">
        <w:rPr>
          <w:rFonts w:eastAsia="Times New Roman"/>
        </w:rPr>
        <w:instrText>ADDIN CSL_CITATION {"citationItems":[{"id":"ITEM-1","itemData":{"DOI":"10.3390/w11010037","ISSN":"20734441","abstract":"Water security is a global concern because of the growing impact of human activities and climate change on water resources. Studies had been performed at global, country, and city level to assess the water security issues. However, assessment of water security at a domestic scale is lacking. This paper develops a new domestic water security assessment framework accounting for water supply, sanitation, and hygiene through twelve indicators. Water supply, sanitation, and hygiene are central to key water-related sustainable development goals. The framework is subsequently applied to the city of Addis Ababa, Ethiopia. From the domestic water security assessment of Addis Ababa, the water supply dimension was found to be of good level, whereas the sanitation and hygiene dimensions were of poor and fair level, respectively, indicating both a challenge and an opportunity for development. Because the analysis is spatially explicit at the city-branch level (in Addis), variation in domestic water security performance across Addis Ababa can be assessed, allowing efficient targeting of scant resources (financial, technical, personnel). Analysis further shows that a lack of institutional capacity within the utility, existing infrastructure leading to 'lock-in' and hindering maintenance and upgrade initiatives, and an unreliable power supply are the main issues leading to poor domestic water security in the study city. These areas should be tackled to improve the current situation and mitigate future problems. The developed framework is generic enough to be applied to other urban and peri-urban areas, yet provides planners and policy makers with specific information on domestic water security considering water supply, sanitation and hygiene, and accounting for within-city variability. This work could therefore have practical applicability for water service providers.","author":[{"dropping-particle":"","family":"Assefa","given":"Yonas T.","non-dropping-particle":"","parse-names":false,"suffix":""},{"dropping-particle":"","family":"Babel","given":"Mukand S.","non-dropping-particle":"","parse-names":false,"suffix":""},{"dropping-particle":"","family":"Sušnik","given":"Janez","non-dropping-particle":"","parse-names":false,"suffix":""},{"dropping-particle":"","family":"Shinde","given":"Victor R.","non-dropping-particle":"","parse-names":false,"suffix":""}],"container-title":"Water (Switzerland)","id":"ITEM-1","issue":"1","issued":{"date-parts":[["2018"]]},"title":"Development of a generic domesticwater security index, and its application in Addis Ababa, Ethiopia","type":"article-journal","volume":"11"},"uris":["http://www.mendeley.com/documents/?uuid=e744d682-88bf-4df9-8844-f1ed5f6e3932","http://www.mendeley.com/documents/?uuid=993c68b3-3daf-4170-b2c9-f69c3bae6914"]},{"id":"ITEM-2","itemData":{"DOI":"10.1016/j.ssmph.2018.10.007","ISSN":"23528273","abstract":"A composite metric assessing water security's physical dimension at the micro/ community level is lacking but is essential for setting priorities for program and policy implementations. We prepared an objective index (OI) of water security to measure the physical dimension using a model centered on household water-use behavior in developing countries’ urban areas. A cross-sectional household survey (n = 1500) with multi-stage cluster design was conducted from December 2015 to February 2016 in the Kathmandu Valley, which has faced long-term, severe water shortage. A structured questionnaire probed socio-demographic characteristics, water sources, frequency and quantity of water use, cost related to water, etc. A 15-item water insecurity scale was used to measure subjective and experiential dimension of water insecurity. The World Health Organization Quality of Life – BREF was used to measure quality of life (QoL). The QoL has been considered as proxy of well-being in this study. The OI measured differential water security within small cities, the utility's service areas for instance, and identified area-specific key dimensions that need improvement. Overall, the OI and its key dimensions can be useful measures to design water-scarcity averting programs and policies, specific to a particular community's needs. The increased OI values were significantly and positively associated with better physical and psychological health and better social relationship domains of QoL suggesting health implications of water security.","author":[{"dropping-particle":"","family":"Shrestha","given":"Sadhana","non-dropping-particle":"","parse-names":false,"suffix":""},{"dropping-particle":"","family":"Aihara","given":"Yoko","non-dropping-particle":"","parse-names":false,"suffix":""},{"dropping-particle":"","family":"Bhattarai","given":"Arun P.","non-dropping-particle":"","parse-names":false,"suffix":""},{"dropping-particle":"","family":"Bista","given":"Niranjan","non-dropping-particle":"","parse-names":false,"suffix":""},{"dropping-particle":"","family":"Kondo","given":"Naoki","non-dropping-particle":"","parse-names":false,"suffix":""},{"dropping-particle":"","family":"Futaba","given":"Kazama","non-dropping-particle":"","parse-names":false,"suffix":""},{"dropping-particle":"","family":"Nishida","given":"Kei","non-dropping-particle":"","parse-names":false,"suffix":""},{"dropping-particle":"","family":"Shindo","given":"Junko","non-dropping-particle":"","parse-names":false,"suffix":""}],"container-title":"SSM - Population Health","id":"ITEM-2","issue":"July","issued":{"date-parts":[["2018"]]},"page":"276-285","publisher":"Elsevier","title":"Development of an objective water security index and assessment of its association with quality of life in urban areas of developing countries","type":"article-journal","volume":"6"},"uris":["http://www.mendeley.com/documents/?uuid=ddf32e18-d8ed-49ab-af9b-2265ae3d6022","http://www.mendeley.com/documents/?uuid=378814be-9546-41f0-ba27-602ca48f3dee","http://www.mendeley.com/documents/?uuid=5f53b949-7be0-4996-9d26-308cabc495dd"]},{"id":"ITEM-3","itemData":{"DOI":"10.1111/1745-5871.12159","ISSN":"17455871","abstract":"This commentary concentrates on an area to which legal geography may be especially able to contribute, the research-policy nexus. The pursuit of relevance that characterised geography in the 1970s has re-emerged as a concern with growing demands for evidence-based policy. Geographers have long engaged with the policy arena and legal geography offers another opportunity to enhance this contribution. There are, however, barriers and tensions between researchers and policy makers which need to be acknowledged and addressed.","author":[{"dropping-particle":"","family":"Bartel","given":"Robyn","non-dropping-particle":"","parse-names":false,"suffix":""}],"container-title":"Geographical Research","id":"ITEM-3","issue":"3","issued":{"date-parts":[["2015"]]},"page":"233-244","title":"Legal geography, geography, and the research-policy nexus","type":"article-journal","volume":"54"},"uris":["http://www.mendeley.com/documents/?uuid=4fb0b4b8-4a9e-4b71-92e7-66a8d4b96d6e"]},{"id":"ITEM-4","itemData":{"DOI":"10.1111/1745-5871.12404","ISSN":"17455871","author":[{"dropping-particle":"","family":"Datu","given":"Kerwin","non-dropping-particle":"","parse-names":false,"suffix":""}],"container-title":"Geographical Research","id":"ITEM-4","issue":"3","issued":{"date-parts":[["2020"]]},"page":"304-309","title":"Geographies of local government","type":"article-journal","volume":"58"},"uris":["http://www.mendeley.com/documents/?uuid=ed01e5fb-c3ec-4c3f-b99e-8f2a3fbab835"]}],"mendeley":{"formattedCitation":"(Assefa et al., 2018; Bartel, 2015; Datu, 2020; Shrestha et al., 2018)","plainTextFormattedCitation":"(Assefa et al., 2018; Bartel, 2015; Datu, 2020; Shrestha et al., 2018)","previouslyFormattedCitation":"(Assefa et al., 2018; Bartel, 2015; Datu, 2020; Shrestha et al., 2018)"},"properties":{"noteIndex":0},"schema":"https://github.com/citation-style-language/schema/raw/master/csl-citation.json"}</w:instrText>
      </w:r>
      <w:r w:rsidR="005D1626">
        <w:rPr>
          <w:rFonts w:eastAsia="Times New Roman"/>
        </w:rPr>
        <w:fldChar w:fldCharType="separate"/>
      </w:r>
      <w:r w:rsidR="00E700C0" w:rsidRPr="00E700C0">
        <w:rPr>
          <w:rFonts w:eastAsia="Times New Roman"/>
          <w:noProof/>
        </w:rPr>
        <w:t>(Assefa et al., 2018; Bartel, 2015; Datu, 2020; Shrestha et al., 2018)</w:t>
      </w:r>
      <w:r w:rsidR="005D1626">
        <w:rPr>
          <w:rFonts w:eastAsia="Times New Roman"/>
        </w:rPr>
        <w:fldChar w:fldCharType="end"/>
      </w:r>
      <w:r w:rsidR="005D1626">
        <w:rPr>
          <w:rFonts w:eastAsia="Times New Roman"/>
        </w:rPr>
        <w:t>.</w:t>
      </w:r>
    </w:p>
    <w:p w14:paraId="447E7053" w14:textId="77777777" w:rsidR="00E86A0B" w:rsidRPr="00773A6E" w:rsidRDefault="00E86A0B" w:rsidP="00E86A0B">
      <w:pPr>
        <w:jc w:val="both"/>
        <w:rPr>
          <w:rFonts w:eastAsia="Times New Roman"/>
        </w:rPr>
      </w:pPr>
    </w:p>
    <w:p w14:paraId="41A809CD" w14:textId="443C6CBB" w:rsidR="00E86A0B" w:rsidRPr="00773A6E" w:rsidRDefault="00E86A0B" w:rsidP="00E86A0B">
      <w:pPr>
        <w:jc w:val="both"/>
        <w:rPr>
          <w:rFonts w:eastAsia="Times New Roman"/>
        </w:rPr>
      </w:pPr>
      <w:r w:rsidRPr="00773A6E">
        <w:rPr>
          <w:rFonts w:eastAsia="Times New Roman"/>
        </w:rPr>
        <w:t>In the particular case of Latin America, the scientific literature related to water security is</w:t>
      </w:r>
      <w:r w:rsidR="00225D64">
        <w:rPr>
          <w:rFonts w:eastAsia="Times New Roman"/>
        </w:rPr>
        <w:t xml:space="preserve"> still incipient. This does not</w:t>
      </w:r>
      <w:r w:rsidRPr="00773A6E">
        <w:rPr>
          <w:rFonts w:eastAsia="Times New Roman"/>
        </w:rPr>
        <w:t xml:space="preserve"> mean that there is no water-related issues literature in the region, but rather that the concept of water </w:t>
      </w:r>
      <w:r w:rsidR="00BE1D7E">
        <w:rPr>
          <w:rFonts w:eastAsia="Times New Roman"/>
        </w:rPr>
        <w:t>s</w:t>
      </w:r>
      <w:r w:rsidRPr="00773A6E">
        <w:rPr>
          <w:rFonts w:eastAsia="Times New Roman"/>
        </w:rPr>
        <w:t xml:space="preserve">ecurity has only started to be used in recent years. Among the studies that use the water security concept, there are investigations about specific social conflicts, like conflicts with mining projects </w:t>
      </w:r>
      <w:r w:rsidR="004B38D3">
        <w:rPr>
          <w:rFonts w:eastAsia="Times New Roman"/>
        </w:rPr>
        <w:fldChar w:fldCharType="begin" w:fldLock="1"/>
      </w:r>
      <w:r w:rsidR="00E700C0">
        <w:rPr>
          <w:rFonts w:eastAsia="Times New Roman"/>
        </w:rPr>
        <w:instrText>ADDIN CSL_CITATION {"citationItems":[{"id":"ITEM-1","itemData":{"DOI":"10.22198/rys2020/32/1295","ISBN":"0000000272","ISSN":"1870-3925","abstract":"El objetivo es explorar las relaciones entre la minería y la seguridad hídrica en Sonora en un contexto de cambio climático, y cómo éstas colocan a las comunidades rurales en una situación de doble exposición. La localidad de Cucurpe sirve para ejemplificar dichas relaciones. Se integran técnicas cuantitativas y cualitativas de recolección, construcción y análisis de datos espaciales, estadísticos y de discurso en varias escalas. Los hallazgos indican que gran parte de las concesiones mineras de tierra y agua están en zonas con importantes limitaciones hídricas. Aunque localmente existen beneficios, las comunidades asumen riesgos inciertos que no pueden prever en el corto plazo. El estudio tiene limitaciones relacionadas con su carácter exploratorio y descriptivo, que podrían mejorarse en el futuro con muestras de estudio representativas a nivel regional. Se concluye señalando la importancia de la colaboración entre los sectores minero, gubernamental y social para lograr la seguridad hídrica frente al cambio climático.","author":[{"dropping-particle":"","family":"Lutz Ley","given":"América Nallely","non-dropping-particle":"","parse-names":false,"suffix":""}],"container-title":"Región Y Sociedad","id":"ITEM-1","issued":{"date-parts":[["2020"]]},"page":"e1295","title":"Minería y seguridad hídrica en el noroeste de México: un análisis de doble exposición","type":"article-journal","volume":"32"},"uris":["http://www.mendeley.com/documents/?uuid=01443658-e517-49bd-aae5-a9ba9dd11928","http://www.mendeley.com/documents/?uuid=3fa77c25-541c-43f0-80e8-31faeef92fe1"]}],"mendeley":{"formattedCitation":"(Lutz Ley, 2020)","plainTextFormattedCitation":"(Lutz Ley, 2020)","previouslyFormattedCitation":"(Lutz Ley, 2020)"},"properties":{"noteIndex":0},"schema":"https://github.com/citation-style-language/schema/raw/master/csl-citation.json"}</w:instrText>
      </w:r>
      <w:r w:rsidR="004B38D3">
        <w:rPr>
          <w:rFonts w:eastAsia="Times New Roman"/>
        </w:rPr>
        <w:fldChar w:fldCharType="separate"/>
      </w:r>
      <w:r w:rsidR="004B38D3" w:rsidRPr="004B38D3">
        <w:rPr>
          <w:rFonts w:eastAsia="Times New Roman"/>
          <w:noProof/>
        </w:rPr>
        <w:t>(Lutz Ley, 2020)</w:t>
      </w:r>
      <w:r w:rsidR="004B38D3">
        <w:rPr>
          <w:rFonts w:eastAsia="Times New Roman"/>
        </w:rPr>
        <w:fldChar w:fldCharType="end"/>
      </w:r>
      <w:r w:rsidR="004B38D3">
        <w:rPr>
          <w:rFonts w:eastAsia="Times New Roman"/>
        </w:rPr>
        <w:t xml:space="preserve"> </w:t>
      </w:r>
      <w:r w:rsidRPr="00773A6E">
        <w:rPr>
          <w:rFonts w:eastAsia="Times New Roman"/>
        </w:rPr>
        <w:t>in urban or rural</w:t>
      </w:r>
      <w:r w:rsidR="00BE1D7E">
        <w:rPr>
          <w:rFonts w:eastAsia="Times New Roman"/>
        </w:rPr>
        <w:t xml:space="preserve"> contexts</w:t>
      </w:r>
      <w:r w:rsidR="002A7B53">
        <w:rPr>
          <w:rFonts w:eastAsia="Times New Roman"/>
        </w:rPr>
        <w:fldChar w:fldCharType="begin" w:fldLock="1"/>
      </w:r>
      <w:r w:rsidR="00E700C0">
        <w:rPr>
          <w:rFonts w:eastAsia="Times New Roman"/>
        </w:rPr>
        <w:instrText>ADDIN CSL_CITATION {"citationItems":[{"id":"ITEM-1","itemData":{"DOI":"10.15359/rca.53-2.2","ISBN":"0000000219303","ISSN":"1409-2158","abstract":"Se seleccionó un grupo de 9 Asociaciones Administradoras de Acueductos Rurales (ASADAS) ubicadas en el Pacífico Norte de Costa Rica, con el propósito de evaluar su gestión y conocer las estrategias implementadas durante el periodo de sequía (2014-2016). Se valoraron 5 componentes básicos de gestión: administrativa y financiera, comercial, comunal, recurso hídrico y gestión de los sistemas de agua, con el fin de determinar si son adecuadas para proveer agua segura a las comunidades. Además, se analizó la calidad del agua potable de cada ASADA, aplicando el nivel 1, según el Reglamento para la Calidad del Agua Potable (38924-S). 1 de las ASADAS estudiadas presentó desarrollo alto en su nivel de gestión; 3, uno bajo, y 5, uno débil. En 2 ASADAS, se detectó la presencia de coliformes fecales y E. coli durante la época lluviosa. Solamente 3 de las 9 ASADAS estudiadas cumplieron con los rangos óptimos de cloro libre residual, lo cual compromete la calidad del agua con la que se abastece a la población. Se concluye que la fragilidad de las ASADAS evaluadas ante un evento hidrometeorológico es alta, debido a la antigüedad de los sistemas, falta de mantenimiento y poca capacidad de sus tanques, lo que incrementa el riesgo durante eventos extremos (sequías e inundaciones). Además, las ASADAS exploradas mostraron, principalmente, una gestión baja o débil; por consiguiente, el agua que se distribuye a las comunidades podría afectar la seguridad hídrica de aquellas abastecidas, debido a que no siempre está disponible cuando se necesita y no cumple con algunos de los parámetros básicos de potabilidad.","author":[{"dropping-particle":"","family":"Serrano","given":"Andrea Suárez","non-dropping-particle":"","parse-names":false,"suffix":""},{"dropping-particle":"","family":"Garro","given":"Álvaro Baldioceda","non-dropping-particle":"","parse-names":false,"suffix":""},{"dropping-particle":"","family":"Sanabria","given":"Guillermo Durán","non-dropping-particle":"","parse-names":false,"suffix":""},{"dropping-particle":"","family":"Conejo","given":"Johanna Rojas","non-dropping-particle":"","parse-names":false,"suffix":""},{"dropping-particle":"","family":"Cantillano","given":"Daniela Rojas","non-dropping-particle":"","parse-names":false,"suffix":""},{"dropping-particle":"","family":"Watson","given":"Anny Guillén","non-dropping-particle":"","parse-names":false,"suffix":""}],"container-title":"Revista de Ciencias Ambientales","id":"ITEM-1","issue":"2","issued":{"date-parts":[["2019"]]},"page":"25-46","title":"Seguridad hídrica: Gestión del agua en comunidades rurales del Pacífico Norte de Costa Rica","type":"article-journal","volume":"53"},"uris":["http://www.mendeley.com/documents/?uuid=d196122e-0a55-4599-87ca-6b54e16901ce"]}],"mendeley":{"formattedCitation":"(Serrano et al., 2019)","plainTextFormattedCitation":"(Serrano et al., 2019)","previouslyFormattedCitation":"(Serrano et al., 2019)"},"properties":{"noteIndex":0},"schema":"https://github.com/citation-style-language/schema/raw/master/csl-citation.json"}</w:instrText>
      </w:r>
      <w:r w:rsidR="002A7B53">
        <w:rPr>
          <w:rFonts w:eastAsia="Times New Roman"/>
        </w:rPr>
        <w:fldChar w:fldCharType="separate"/>
      </w:r>
      <w:r w:rsidR="002A7B53" w:rsidRPr="002A7B53">
        <w:rPr>
          <w:rFonts w:eastAsia="Times New Roman"/>
          <w:noProof/>
        </w:rPr>
        <w:t>(Serrano et al., 2019)</w:t>
      </w:r>
      <w:r w:rsidR="002A7B53">
        <w:rPr>
          <w:rFonts w:eastAsia="Times New Roman"/>
        </w:rPr>
        <w:fldChar w:fldCharType="end"/>
      </w:r>
      <w:r w:rsidRPr="00773A6E">
        <w:rPr>
          <w:rFonts w:eastAsia="Times New Roman"/>
        </w:rPr>
        <w:t xml:space="preserve">. Other studies evaluate water security by combining quantitative and qualitative variables in the cities of Río de Janeiro </w:t>
      </w:r>
      <w:r w:rsidR="002A7B53">
        <w:rPr>
          <w:rFonts w:eastAsia="Times New Roman"/>
        </w:rPr>
        <w:fldChar w:fldCharType="begin" w:fldLock="1"/>
      </w:r>
      <w:r w:rsidR="00E700C0">
        <w:rPr>
          <w:rFonts w:eastAsia="Times New Roman"/>
        </w:rPr>
        <w:instrText xml:space="preserve">ADDIN CSL_CITATION {"citationItems":[{"id":"ITEM-1","itemData":{"DOI":"10.1590/1809-4422ASOC20190207R1VU2020L6TD","ISSN":"1414753X","abstract":"In this article the authors assess the current level of water security of the population of the Rio de Janeiro metropolis supplied by the Guandu System. It sets out from the premise that water security is only achieved when universal access to water is ensured – that is, when water resources are available, in adequate quantity and quality, along with water services that guarantee the human right to safe drinking water. Based on previous research, a review of the literature and official documents, it was possible to adapt and apply an analytic schema to the case study in order to evaluate the level of water security. The authors conclude that there are many risks associated with the water resources, including climate stressors, but it is the performance of the water supply service that most jeopardizes the current water security of the population of the Rio de Janeiro metropolis; the availability of water resources, both current and future, is not an obstacle to universal access to water.","author":[{"dropping-particle":"","family":"Formiga-Johnsson","given":"Rosa Maria","non-dropping-particle":"","parse-names":false,"suffix":""},{"dropping-particle":"","family":"Britto","given":"Ana Lucia","non-dropping-particle":"","parse-names":false,"suffix":""}],"container-title":"Ambiente e Sociedade","id":"ITEM-1","issued":{"date-parts":[["2020"]]},"page":"1-24","title":"Water security, metropolitan supply and climate change: some considerations concerning the Rio de Janeiro case","type":"article-journal","volume":"23"},"uris":["http://www.mendeley.com/documents/?uuid=814cd091-f9d2-4e08-9cdf-784913cef7ef"]},{"id":"ITEM-2","itemData":{"DOI":"10.1590/1809-4422ASOC150132R1V1912016","ISSN":"1414753X","abstract":"This article aims to contribute to discussions on the management of water resources and the elements associated to water security. The discussion has focused on two main aspects, first, in the theoretical frame </w:instrText>
      </w:r>
      <w:r w:rsidR="00E700C0" w:rsidRPr="00E700C0">
        <w:rPr>
          <w:rFonts w:eastAsia="Times New Roman"/>
          <w:lang w:val="es-CL"/>
        </w:rPr>
        <w:instrText>about discussions of water security and second, in the presentation of the elements which composes the current scenario of water management in the Metropolitan Region of Rio de Janeiro (RMRJ), based in the discussions about the centrality for Rio de Janeiro's water supply focused in Paraíba do Sul river, and in the role of agencies and organisms associated to water management in this territory. Based in the researching about the water availability and quality in Rio de Janeiro and the mechanisms presents in this State, the elements presented in this article demonstrated a context of water insecurity in RMRJ.","author":[{"dropping-particle":"","family":"Santos","given":"Bianca Borges Medeiros","non-dropping-particle":"","parse-names":false,"suffix":""}],"container-title":"Ambiente e Sociedade","id":"ITEM-2","issue":"1","issued":{"date-parts":[["2016"]]},"page":"103-120","title":"Water security in the metropolitan region of rio de janeiro: Contributions to the debate","type":"article-journal","volume":"19"},"uris":["http://www.mendeley.com/documents/?uuid=7cb64e93-bc97-40f0-95d2-b09ec9ed302c"]}],"mendeley":{"formattedCitation":"(Formiga-Johnsson &amp; Britto, 2020; B. B. M. Santos, 2016)","plainTextFormattedCitation":"(Formiga-Johnsson &amp; Britto, 2020; B. B. M. Santos, 2016)","previouslyFormattedCitation":"(Formiga-Johnsson &amp; Britto, 2020; B. B. M. Santos, 2016)"},"properties":{"noteIndex":0},"schema":"https://github.com/citation-style-language/schema/raw/master/csl-citation.json"}</w:instrText>
      </w:r>
      <w:r w:rsidR="002A7B53">
        <w:rPr>
          <w:rFonts w:eastAsia="Times New Roman"/>
        </w:rPr>
        <w:fldChar w:fldCharType="separate"/>
      </w:r>
      <w:r w:rsidR="002A7B53" w:rsidRPr="002A7B53">
        <w:rPr>
          <w:rFonts w:eastAsia="Times New Roman"/>
          <w:noProof/>
          <w:lang w:val="es-CL"/>
        </w:rPr>
        <w:t>(Formiga-Johnsson &amp; Britto, 2020; B. B. M. Santos, 2016)</w:t>
      </w:r>
      <w:r w:rsidR="002A7B53">
        <w:rPr>
          <w:rFonts w:eastAsia="Times New Roman"/>
        </w:rPr>
        <w:fldChar w:fldCharType="end"/>
      </w:r>
      <w:r w:rsidRPr="002A7B53">
        <w:rPr>
          <w:rFonts w:eastAsia="Times New Roman"/>
          <w:lang w:val="es-CL"/>
        </w:rPr>
        <w:t xml:space="preserve">, Fortaleza </w:t>
      </w:r>
      <w:r w:rsidR="002A7B53">
        <w:rPr>
          <w:rFonts w:eastAsia="Times New Roman"/>
          <w:lang w:val="es-CL"/>
        </w:rPr>
        <w:fldChar w:fldCharType="begin" w:fldLock="1"/>
      </w:r>
      <w:r w:rsidR="00E700C0">
        <w:rPr>
          <w:rFonts w:eastAsia="Times New Roman"/>
          <w:lang w:val="es-CL"/>
        </w:rPr>
        <w:instrText>ADDIN CSL_CITATION {"citationItems":[{"id":"ITEM-1","itemData":{"DOI":"10.1590/s1413-41522019181776","ISSN":"14134152","abstract":"The study proposes the use of integrated urban water-management models as a strategy to promote water security and drought preparedness. It was developed in two stages: assessment of water system’s vulnerability; proposition of the integrated urban water management model. In the first step, a flow network model was used to simulate the water system. In the second stage, the inductive method was applied after conducting an exploratory research. The assessment of the water vulnerabilities revealed a deficit in Fortaleza’s water supply in 2.56% of the simulated period and the complete emptying of Castanhão’s reservoir in 6.52% of the months. The integrated urban water management model is based on the management of water supply and water demand. In the first case, it is proposed that Fortaleza’s supply system be constituted by conventional water sources (surface waters) and by alternative sources (groundwater, rainwater, desalination of sea water). For the management of demand, it is pointed out the use of water saving plumbing fixtures and financial mechanisms. This model presents a more robust matrix of water supply sources, which increases the water security of urban centers.","author":[{"dropping-particle":"","family":"Silva","given":"Samiria Maria Oliveira","non-dropping-particle":"","parse-names":false,"suffix":""},{"dropping-particle":"","family":"Filho","given":"Francisco de Assis Souza","non-dropping-particle":"","parse-names":false,"suffix":""},{"dropping-particle":"","family":"Cid","given":"Daniel Antônio Camelo","non-dropping-particle":"","parse-names":false,"suffix":""},{"dropping-particle":"","family":"Aquino","given":"Sandra Helena Silva","non-dropping-particle":"de","parse-names":false,"suffix":""},{"dropping-particle":"","family":"Xavier","given":"Louisse Caroline Peixoto","non-dropping-particle":"","parse-names":false,"suffix":""}],"container-title":"Engenharia Sanitaria e Ambiental","id":"ITEM-1","issue":"2","issued":{"date-parts":[["2019"]]},"page":"239-250","title":"Proposal of integrated urban waters management as a strategy to promote water security: The fortaleza case","type":"article-journal","volume":"24"},"uris":["http://www.mendeley.com/documents/?uuid=a7ff4672-cb5d-4c30-987b-ce76bd0ff5d8"]}],"mendeley":{"formattedCitation":"(Silva et al., 2019)","plainTextFormattedCitation":"(Silva et al., 2019)","previouslyFormattedCitation":"(Silva et al., 2019)"},"properties":{"noteIndex":0},"schema":"https://github.com/citation-style-language/schema/raw/master/csl-citation.json"}</w:instrText>
      </w:r>
      <w:r w:rsidR="002A7B53">
        <w:rPr>
          <w:rFonts w:eastAsia="Times New Roman"/>
          <w:lang w:val="es-CL"/>
        </w:rPr>
        <w:fldChar w:fldCharType="separate"/>
      </w:r>
      <w:r w:rsidR="002A7B53" w:rsidRPr="002A7B53">
        <w:rPr>
          <w:rFonts w:eastAsia="Times New Roman"/>
          <w:noProof/>
          <w:lang w:val="es-CL"/>
        </w:rPr>
        <w:t>(Silva et al., 2019)</w:t>
      </w:r>
      <w:r w:rsidR="002A7B53">
        <w:rPr>
          <w:rFonts w:eastAsia="Times New Roman"/>
          <w:lang w:val="es-CL"/>
        </w:rPr>
        <w:fldChar w:fldCharType="end"/>
      </w:r>
      <w:r w:rsidR="002A7B53">
        <w:rPr>
          <w:rFonts w:eastAsia="Times New Roman"/>
          <w:lang w:val="es-CL"/>
        </w:rPr>
        <w:t xml:space="preserve"> and La Paz </w:t>
      </w:r>
      <w:r w:rsidR="002A7B53">
        <w:rPr>
          <w:rFonts w:eastAsia="Times New Roman"/>
          <w:lang w:val="es-CL"/>
        </w:rPr>
        <w:fldChar w:fldCharType="begin" w:fldLock="1"/>
      </w:r>
      <w:r w:rsidR="00E700C0">
        <w:rPr>
          <w:rFonts w:eastAsia="Times New Roman"/>
          <w:lang w:val="es-CL"/>
        </w:rPr>
        <w:instrText>ADDIN CSL_CITATION {"citationItems":[{"id":"ITEM-1","itemData":{"DOI":"10.23881/idupbo.021.1-5i","ISSN":"1814-6333","abstract":"El embalse Milluni Grande depende principalmente de la precipitación, siendo vulnerable ante periodos de sequía, de forma que puede afectar a la seguridad hídrica de las ciudades de La Paz y El Alto. Por lo tanto, el presente estudio busca determinar la variación de la cantidad de agua disponible en el embalse bajo el set de escenarios de cambio climático establecidos en el quinto informe del Panel Intergubernamental sobre el Cambio Climático (IPCC) para el periodo 2022-2090. El área de estudio se limitó a la microcuenca Milluni, tomando el embalse Milluni Grande como punto de desemboque. La modelación hidrológica se realizó mediante la herramienta Water Evaluation and Planning System (WEAP) utilizando el ensamble de datos diarios de precipitación y temperatura generado a través de la herramienta Gridded Meteorological Ensemble Tool (GMET). Se incorporaron los escenarios de cambio climático empleando el Modelo 1 del Sistema Terrestre de Noruega NorESM1-M, reduciendo su escala mediante el método no paramétrico de vecinos más cercanos (knn-bootstr</w:instrText>
      </w:r>
      <w:r w:rsidR="00E700C0" w:rsidRPr="003E0E91">
        <w:rPr>
          <w:rFonts w:eastAsia="Times New Roman"/>
        </w:rPr>
        <w:instrText xml:space="preserve">ap). Se obtuvieron las siguientes tendencias para el periodo y área de estudio: incremento general de temperatura, incremento de precipitación en época seca y reducción de precipitación en época húmeda, lo cual puede generar situaciones de sequía. Por otra parte, el caudal de </w:instrText>
      </w:r>
      <w:r w:rsidR="00E700C0" w:rsidRPr="00E700C0">
        <w:rPr>
          <w:rFonts w:eastAsia="Times New Roman"/>
        </w:rPr>
        <w:instrText>entrada al embalse Milluni Grande tiene tendencia a variar de forma directamente proporcional a la precipitación, mientras que su volumen tiene tendencia a reducirse. Asimismo, puede existir un déficit en la cobertura de los requerimientos de los sitios de demanda, llegando a valores mínimos de 45% para el sistema de distribución Achachicala y 27% para el sistema Meseta. Todos los resultados son acentuados en el escenario pesimista RCP 8.5.","author":[{"dropping-particle":"","family":"Medina","given":"Claudia","non-dropping-particle":"","parse-names":false,"suffix":""}],"container-title":"Investigacion &amp; Desarrollo","id":"ITEM-1","issue":"1","issued":{"date-parts":[["2021"]]},"page":"63-78","title":"Modelación Hidrológica Bajo Escenarios De Cambio Climático Para Un Embalse De Abastecimiento De Agua En La Paz, Bolivia","type":"article-journal","volume":"21"},"uris":["http://www.mendeley.com/documents/?uuid=787e3a85-a75f-4c0f-b930-36adbb8373ff"]}],"mendeley":{"formattedCitation":"(Medina, 2021)","plainTextFormattedCitation":"(Medina, 2021)","previouslyFormattedCitation":"(Medina, 2021)"},"properties":{"noteIndex":0},"schema":"https://github.com/citation-style-language/schema/raw/master/csl-citation.json"}</w:instrText>
      </w:r>
      <w:r w:rsidR="002A7B53">
        <w:rPr>
          <w:rFonts w:eastAsia="Times New Roman"/>
          <w:lang w:val="es-CL"/>
        </w:rPr>
        <w:fldChar w:fldCharType="separate"/>
      </w:r>
      <w:r w:rsidR="002A7B53" w:rsidRPr="00F03FC3">
        <w:rPr>
          <w:rFonts w:eastAsia="Times New Roman"/>
          <w:noProof/>
        </w:rPr>
        <w:t>(Medina, 2021)</w:t>
      </w:r>
      <w:r w:rsidR="002A7B53">
        <w:rPr>
          <w:rFonts w:eastAsia="Times New Roman"/>
          <w:lang w:val="es-CL"/>
        </w:rPr>
        <w:fldChar w:fldCharType="end"/>
      </w:r>
      <w:r w:rsidR="002A7B53" w:rsidRPr="00F03FC3">
        <w:rPr>
          <w:rFonts w:eastAsia="Times New Roman"/>
        </w:rPr>
        <w:t xml:space="preserve"> </w:t>
      </w:r>
      <w:r w:rsidRPr="00F03FC3">
        <w:rPr>
          <w:rFonts w:eastAsia="Times New Roman"/>
        </w:rPr>
        <w:t xml:space="preserve">. </w:t>
      </w:r>
      <w:r w:rsidR="00BE1D7E">
        <w:rPr>
          <w:rFonts w:eastAsia="Times New Roman"/>
        </w:rPr>
        <w:t>In the latter,</w:t>
      </w:r>
      <w:r w:rsidRPr="00773A6E">
        <w:rPr>
          <w:rFonts w:eastAsia="Times New Roman"/>
        </w:rPr>
        <w:t xml:space="preserve"> water security is evaluated exclusively considering the availability of raw water. In documents from international organizations, some relevant publications are from Peña (2016) </w:t>
      </w:r>
      <w:r w:rsidR="00225D64">
        <w:rPr>
          <w:rFonts w:eastAsia="Times New Roman"/>
        </w:rPr>
        <w:t>defining</w:t>
      </w:r>
      <w:r w:rsidRPr="00773A6E">
        <w:rPr>
          <w:rFonts w:eastAsia="Times New Roman"/>
        </w:rPr>
        <w:t xml:space="preserve"> water security,</w:t>
      </w:r>
      <w:r w:rsidR="00225D64">
        <w:rPr>
          <w:rFonts w:eastAsia="Times New Roman"/>
        </w:rPr>
        <w:t xml:space="preserve"> and offering</w:t>
      </w:r>
      <w:r w:rsidRPr="00773A6E">
        <w:rPr>
          <w:rFonts w:eastAsia="Times New Roman"/>
        </w:rPr>
        <w:t xml:space="preserve"> a diagnosis of the water resources in the region and a perspective of the challenges and priorities for water, Urquiza and Billi (2020), by UN-ECLAC, offer a conceptual d</w:t>
      </w:r>
      <w:r w:rsidR="00225D64">
        <w:rPr>
          <w:rFonts w:eastAsia="Times New Roman"/>
        </w:rPr>
        <w:t xml:space="preserve">efinition and a diagnosis of waster security in Latin America and identifies </w:t>
      </w:r>
      <w:r w:rsidRPr="00773A6E">
        <w:rPr>
          <w:rFonts w:eastAsia="Times New Roman"/>
        </w:rPr>
        <w:t>strategies and instruments for water security</w:t>
      </w:r>
      <w:r w:rsidR="003E0C8B">
        <w:rPr>
          <w:rFonts w:eastAsia="Times New Roman"/>
        </w:rPr>
        <w:t>. Finally</w:t>
      </w:r>
      <w:r w:rsidR="00225D64">
        <w:rPr>
          <w:rFonts w:eastAsia="Times New Roman"/>
        </w:rPr>
        <w:t>,</w:t>
      </w:r>
      <w:r w:rsidRPr="00773A6E">
        <w:rPr>
          <w:rFonts w:eastAsia="Times New Roman"/>
        </w:rPr>
        <w:t xml:space="preserve"> Bretas et al. (2020) for I</w:t>
      </w:r>
      <w:r w:rsidR="000F127B">
        <w:rPr>
          <w:rFonts w:eastAsia="Times New Roman"/>
        </w:rPr>
        <w:t>A</w:t>
      </w:r>
      <w:r w:rsidRPr="00773A6E">
        <w:rPr>
          <w:rFonts w:eastAsia="Times New Roman"/>
        </w:rPr>
        <w:t>DB (Interamerican Development Bank), elaborates a diagnosis of water security and a perspective of IDB for innovation and strateg</w:t>
      </w:r>
      <w:r w:rsidR="00225D64">
        <w:rPr>
          <w:rFonts w:eastAsia="Times New Roman"/>
        </w:rPr>
        <w:t>ies for the future of water in Latin A</w:t>
      </w:r>
      <w:r w:rsidRPr="00773A6E">
        <w:rPr>
          <w:rFonts w:eastAsia="Times New Roman"/>
        </w:rPr>
        <w:t xml:space="preserve">merica. </w:t>
      </w:r>
    </w:p>
    <w:p w14:paraId="668CDBA8" w14:textId="77777777" w:rsidR="00E86A0B" w:rsidRPr="00773A6E" w:rsidRDefault="00E86A0B" w:rsidP="00E86A0B">
      <w:pPr>
        <w:jc w:val="both"/>
        <w:rPr>
          <w:rFonts w:eastAsia="Times New Roman"/>
        </w:rPr>
      </w:pPr>
    </w:p>
    <w:p w14:paraId="49F6A7AB" w14:textId="33CBF376" w:rsidR="00E86A0B" w:rsidRPr="006C4954" w:rsidRDefault="00E86A0B" w:rsidP="006C4954">
      <w:pPr>
        <w:jc w:val="both"/>
        <w:rPr>
          <w:rFonts w:eastAsia="Times New Roman"/>
        </w:rPr>
      </w:pPr>
      <w:r w:rsidRPr="00773A6E">
        <w:rPr>
          <w:rFonts w:eastAsia="Times New Roman"/>
        </w:rPr>
        <w:t xml:space="preserve">In Chile, </w:t>
      </w:r>
      <w:r w:rsidR="005D1626">
        <w:rPr>
          <w:rFonts w:eastAsia="Times New Roman"/>
        </w:rPr>
        <w:fldChar w:fldCharType="begin" w:fldLock="1"/>
      </w:r>
      <w:r w:rsidR="00E700C0">
        <w:rPr>
          <w:rFonts w:eastAsia="Times New Roman"/>
        </w:rPr>
        <w:instrText>ADDIN CSL_CITATION {"citationItems":[{"id":"ITEM-1","itemData":{"author":[{"dropping-particle":"","family":"Guillermo Donoso, Elisa Blanco, wiliam Foster, Gabriela Franco","given":"Javier Lira","non-dropping-particle":"","parse-names":false,"suffix":""}],"id":"ITEM-1","issue":"December","issued":{"date-parts":[["2012"]]},"page":"1-463","title":"Seguridad Hídrica y Alimentaria en América Latina y España : El Caso de Chile","type":"article-journal"},"uris":["http://www.mendeley.com/documents/?uuid=d893083f-06c8-42aa-8d9d-149f25ba1195"]}],"mendeley":{"formattedCitation":"(Guillermo Donoso, Elisa Blanco, wiliam Foster, Gabriela Franco, 2012)","manualFormatting":"(Donoso et al., 2012)","plainTextFormattedCitation":"(Guillermo Donoso, Elisa Blanco, wiliam Foster, Gabriela Franco, 2012)","previouslyFormattedCitation":"(Guillermo Donoso, Elisa Blanco, wiliam Foster, Gabriela Franco, 2012)"},"properties":{"noteIndex":0},"schema":"https://github.com/citation-style-language/schema/raw/master/csl-citation.json"}</w:instrText>
      </w:r>
      <w:r w:rsidR="005D1626">
        <w:rPr>
          <w:rFonts w:eastAsia="Times New Roman"/>
        </w:rPr>
        <w:fldChar w:fldCharType="separate"/>
      </w:r>
      <w:r w:rsidR="00A82EA7" w:rsidRPr="00A82EA7">
        <w:rPr>
          <w:rFonts w:eastAsia="Times New Roman"/>
          <w:noProof/>
        </w:rPr>
        <w:t>(</w:t>
      </w:r>
      <w:r w:rsidR="00E700C0">
        <w:rPr>
          <w:rFonts w:eastAsia="Times New Roman"/>
          <w:noProof/>
        </w:rPr>
        <w:t>Donoso et al.</w:t>
      </w:r>
      <w:r w:rsidR="00A82EA7" w:rsidRPr="00A82EA7">
        <w:rPr>
          <w:rFonts w:eastAsia="Times New Roman"/>
          <w:noProof/>
        </w:rPr>
        <w:t>, 2012)</w:t>
      </w:r>
      <w:r w:rsidR="005D1626">
        <w:rPr>
          <w:rFonts w:eastAsia="Times New Roman"/>
        </w:rPr>
        <w:fldChar w:fldCharType="end"/>
      </w:r>
      <w:r w:rsidR="004B77FA">
        <w:rPr>
          <w:rFonts w:eastAsia="Times New Roman"/>
        </w:rPr>
        <w:t xml:space="preserve"> </w:t>
      </w:r>
      <w:r w:rsidRPr="00773A6E">
        <w:rPr>
          <w:rFonts w:eastAsia="Times New Roman"/>
        </w:rPr>
        <w:t xml:space="preserve">carried out a comprehensive statistical data collection to describe the use of water in the country, while </w:t>
      </w:r>
      <w:r w:rsidR="005D1626">
        <w:rPr>
          <w:rFonts w:eastAsia="Times New Roman"/>
        </w:rPr>
        <w:fldChar w:fldCharType="begin" w:fldLock="1"/>
      </w:r>
      <w:r w:rsidR="00E700C0">
        <w:rPr>
          <w:rFonts w:eastAsia="Times New Roman"/>
        </w:rPr>
        <w:instrText>ADDIN CSL_CITATION {"citationItems":[{"id":"ITEM-1","itemData":{"abstract":"En el presente informe se abordarán la conceptualización del concepto a nivel nacional, los factores condicionantes de la Seguridad Hídrica (objetivo específico 1) y el análisis de las iniciativas nacionales e internacionales que permiten abordar los desafíos de la Seguridad Hídrica (objetivo específico 2). Adicionalmente, se exponen un análisis de los efectos del cambio climático en la Seguridad Hídrica","author":[{"dropping-particle":"","family":"Fuster","given":"Rodrigo","non-dropping-particle":"","parse-names":false,"suffix":""},{"dropping-particle":"","family":"Escobar","given":"Cristian","non-dropping-particle":"","parse-names":false,"suffix":""},{"dropping-particle":"","family":"Silva","given":"Katherine","non-dropping-particle":"","parse-names":false,"suffix":""},{"dropping-particle":"","family":"Aldunce","given":"Paulina","non-dropping-particle":"","parse-names":false,"suffix":""}],"container-title":"Laboratorio de Análisis Territorial de la Universidad de Chile","id":"ITEM-1","issued":{"date-parts":[["2017"]]},"page":"129","title":"Estudio de Seguridad Hídrica en Chile en un contexto de","type":"article-journal"},"uris":["http://www.mendeley.com/documents/?uuid=42e86148-371f-4613-8e16-58a3a672d5e9"]}],"mendeley":{"formattedCitation":"(Fuster et al., 2017)","plainTextFormattedCitation":"(Fuster et al., 2017)","previouslyFormattedCitation":"(Fuster et al., 2017)"},"properties":{"noteIndex":0},"schema":"https://github.com/citation-style-language/schema/raw/master/csl-citation.json"}</w:instrText>
      </w:r>
      <w:r w:rsidR="005D1626">
        <w:rPr>
          <w:rFonts w:eastAsia="Times New Roman"/>
        </w:rPr>
        <w:fldChar w:fldCharType="separate"/>
      </w:r>
      <w:r w:rsidR="005D1626" w:rsidRPr="005D1626">
        <w:rPr>
          <w:rFonts w:eastAsia="Times New Roman"/>
          <w:noProof/>
        </w:rPr>
        <w:t>(Fuster et al., 2017)</w:t>
      </w:r>
      <w:r w:rsidR="005D1626">
        <w:rPr>
          <w:rFonts w:eastAsia="Times New Roman"/>
        </w:rPr>
        <w:fldChar w:fldCharType="end"/>
      </w:r>
      <w:r w:rsidR="005D1626">
        <w:rPr>
          <w:rFonts w:eastAsia="Times New Roman"/>
        </w:rPr>
        <w:t xml:space="preserve"> </w:t>
      </w:r>
      <w:r w:rsidRPr="00773A6E">
        <w:rPr>
          <w:rFonts w:eastAsia="Times New Roman"/>
        </w:rPr>
        <w:t xml:space="preserve">focused </w:t>
      </w:r>
      <w:r w:rsidR="00225D64">
        <w:rPr>
          <w:rFonts w:eastAsia="Times New Roman"/>
        </w:rPr>
        <w:t xml:space="preserve">on reaching consensus on </w:t>
      </w:r>
      <w:r w:rsidRPr="00773A6E">
        <w:rPr>
          <w:rFonts w:eastAsia="Times New Roman"/>
        </w:rPr>
        <w:t>the water security definition among various national stakeholders and defining critical variables for water security in a c</w:t>
      </w:r>
      <w:r w:rsidR="00225D64">
        <w:rPr>
          <w:rFonts w:eastAsia="Times New Roman"/>
        </w:rPr>
        <w:t>l</w:t>
      </w:r>
      <w:r w:rsidRPr="00773A6E">
        <w:rPr>
          <w:rFonts w:eastAsia="Times New Roman"/>
        </w:rPr>
        <w:t xml:space="preserve">imate change context. In public policy topics, the “Informe Final de la Mesa Nacional del Agua” </w:t>
      </w:r>
      <w:r w:rsidR="005D1626">
        <w:rPr>
          <w:rFonts w:eastAsia="Times New Roman"/>
        </w:rPr>
        <w:fldChar w:fldCharType="begin" w:fldLock="1"/>
      </w:r>
      <w:r w:rsidR="00E700C0">
        <w:rPr>
          <w:rFonts w:eastAsia="Times New Roman"/>
        </w:rPr>
        <w:instrText>ADDIN CSL_CITATION {"citationItems":[{"id":"ITEM-1","itemData":{"author":[{"dropping-particle":"","family":"Ministerio de Obras Públicas","given":"","non-dropping-particle":"","parse-names":false,"suffix":""}],"id":"ITEM-1","issued":{"date-parts":[["2022"]]},"title":"Mesa Nacional del Agua","type":"article-journal"},"uris":["http://www.mendeley.com/documents/?uuid=0c2bb308-e269-40aa-a9c2-721b13aa205e"]}],"mendeley":{"formattedCitation":"(Ministerio de Obras Públicas, 2022)","plainTextFormattedCitation":"(Ministerio de Obras Públicas, 2022)","previouslyFormattedCitation":"(Ministerio de Obras Públicas, 2022)"},"properties":{"noteIndex":0},"schema":"https://github.com/citation-style-language/schema/raw/master/csl-citation.json"}</w:instrText>
      </w:r>
      <w:r w:rsidR="005D1626">
        <w:rPr>
          <w:rFonts w:eastAsia="Times New Roman"/>
        </w:rPr>
        <w:fldChar w:fldCharType="separate"/>
      </w:r>
      <w:r w:rsidR="005D1626" w:rsidRPr="005D1626">
        <w:rPr>
          <w:rFonts w:eastAsia="Times New Roman"/>
          <w:noProof/>
        </w:rPr>
        <w:t>(Ministerio de Obras Públicas, 2022)</w:t>
      </w:r>
      <w:r w:rsidR="005D1626">
        <w:rPr>
          <w:rFonts w:eastAsia="Times New Roman"/>
        </w:rPr>
        <w:fldChar w:fldCharType="end"/>
      </w:r>
      <w:r w:rsidR="004B77FA">
        <w:rPr>
          <w:rFonts w:eastAsia="Times New Roman"/>
        </w:rPr>
        <w:t xml:space="preserve"> </w:t>
      </w:r>
      <w:r w:rsidRPr="00773A6E">
        <w:rPr>
          <w:rFonts w:eastAsia="Times New Roman"/>
        </w:rPr>
        <w:t>places water security as a priority element for water resources management and the nationa</w:t>
      </w:r>
      <w:r w:rsidR="00225D64">
        <w:rPr>
          <w:rFonts w:eastAsia="Times New Roman"/>
        </w:rPr>
        <w:t>l Climate Risk Atlas performed</w:t>
      </w:r>
      <w:r w:rsidRPr="00773A6E">
        <w:rPr>
          <w:rFonts w:eastAsia="Times New Roman"/>
        </w:rPr>
        <w:t xml:space="preserve"> an</w:t>
      </w:r>
      <w:r w:rsidR="00225D64">
        <w:rPr>
          <w:rFonts w:eastAsia="Times New Roman"/>
        </w:rPr>
        <w:t xml:space="preserve"> </w:t>
      </w:r>
      <w:r w:rsidRPr="00773A6E">
        <w:rPr>
          <w:rFonts w:eastAsia="Times New Roman"/>
        </w:rPr>
        <w:t xml:space="preserve">assessment of water security risk both in urban and rural domains, providing risk indexes for each of the country's municipalities. </w:t>
      </w:r>
      <w:r w:rsidR="000D2956">
        <w:rPr>
          <w:rFonts w:eastAsia="Times New Roman"/>
        </w:rPr>
        <w:fldChar w:fldCharType="begin" w:fldLock="1"/>
      </w:r>
      <w:r w:rsidR="00497278">
        <w:rPr>
          <w:rFonts w:eastAsia="Times New Roman"/>
        </w:rPr>
        <w:instrText>ADDIN CSL_CITATION {"citationItems":[{"id":"ITEM-1","itemData":{"author":[{"dropping-particle":"","family":"Ministry of environment","given":"","non-dropping-particle":"","parse-names":false,"suffix":""}],"container-title":"Centro de Ciencia del Clima y la Resiliencia , Red de Pobreza Energética, Iniciativa ENEAS: Energía, Agua y Sustentabilidad y Núcleo de Estudios Sistémicos Transdisciplinarios","id":"ITEM-1","issued":{"date-parts":[["2020"]]},"number-of-pages":"110","title":"Informe Proyecto ARCLIM: Asentamientos Humanos","type":"report"},"uris":["http://www.mendeley.com/documents/?uuid=25289ceb-8df0-46bc-a028-4f09c85becbb","http://www.mendeley.com/documents/?uuid=3d4145cc-5acc-4c83-b851-ee0d2425336c"]}],"mendeley":{"formattedCitation":"(Ministry of environment, 2020)","plainTextFormattedCitation":"(Ministry of environment, 2020)","previouslyFormattedCitation":"(Ministry of environment, 2020)"},"properties":{"noteIndex":0},"schema":"https://github.com/citation-style-language/schema/raw/master/csl-citation.json"}</w:instrText>
      </w:r>
      <w:r w:rsidR="000D2956">
        <w:rPr>
          <w:rFonts w:eastAsia="Times New Roman"/>
        </w:rPr>
        <w:fldChar w:fldCharType="separate"/>
      </w:r>
      <w:r w:rsidR="00E700C0" w:rsidRPr="00E700C0">
        <w:rPr>
          <w:rFonts w:eastAsia="Times New Roman"/>
          <w:noProof/>
        </w:rPr>
        <w:t>(Ministry of environment, 2020)</w:t>
      </w:r>
      <w:r w:rsidR="000D2956">
        <w:rPr>
          <w:rFonts w:eastAsia="Times New Roman"/>
        </w:rPr>
        <w:fldChar w:fldCharType="end"/>
      </w:r>
    </w:p>
    <w:p w14:paraId="6888E72E" w14:textId="2F5755A1" w:rsidR="002F3B11" w:rsidRDefault="002F3B11" w:rsidP="00C81368">
      <w:pPr>
        <w:pStyle w:val="Heading-Main"/>
      </w:pPr>
      <w:r>
        <w:lastRenderedPageBreak/>
        <w:t xml:space="preserve">3 </w:t>
      </w:r>
      <w:r w:rsidR="00225D64">
        <w:t>Conceptual framework</w:t>
      </w:r>
    </w:p>
    <w:p w14:paraId="32442995" w14:textId="664BBCFE" w:rsidR="00225D64" w:rsidRPr="00773A6E" w:rsidRDefault="00225D64" w:rsidP="00225D64">
      <w:pPr>
        <w:pBdr>
          <w:top w:val="nil"/>
          <w:left w:val="nil"/>
          <w:bottom w:val="nil"/>
          <w:right w:val="nil"/>
          <w:between w:val="nil"/>
        </w:pBdr>
        <w:jc w:val="both"/>
        <w:rPr>
          <w:rFonts w:eastAsia="Times New Roman"/>
        </w:rPr>
      </w:pPr>
      <w:r w:rsidRPr="00773A6E">
        <w:rPr>
          <w:rFonts w:eastAsia="Times New Roman"/>
        </w:rPr>
        <w:t xml:space="preserve">To fill the gaps identified above, in this paper, we aim to elaborate and exemplify a methodology to assess the characteristics of a territory that </w:t>
      </w:r>
      <w:bookmarkStart w:id="0" w:name="_Hlk113838026"/>
      <w:r w:rsidRPr="00773A6E">
        <w:rPr>
          <w:rFonts w:eastAsia="Times New Roman"/>
        </w:rPr>
        <w:t xml:space="preserve">can hamper </w:t>
      </w:r>
      <w:bookmarkEnd w:id="0"/>
      <w:r w:rsidRPr="00773A6E">
        <w:rPr>
          <w:rFonts w:eastAsia="Times New Roman"/>
        </w:rPr>
        <w:t>or limit the achievement of water security. Here, we define water security as a territory's ability to provide equitable access—in quantity and quality—to resilient and sustainable hydric services</w:t>
      </w:r>
      <w:r w:rsidR="00E64D44">
        <w:rPr>
          <w:rFonts w:eastAsia="Times New Roman"/>
        </w:rPr>
        <w:t>,</w:t>
      </w:r>
      <w:r w:rsidRPr="00773A6E">
        <w:rPr>
          <w:rFonts w:eastAsia="Times New Roman"/>
        </w:rPr>
        <w:t xml:space="preserve"> that allow human and ecological development. Conversely, we denominate ‘territorial water vulnerability’ (TWV) as the assessment of the factors which may hamper its ability to reach and maintain a water security condition over time.</w:t>
      </w:r>
    </w:p>
    <w:p w14:paraId="7BFC0255" w14:textId="77777777" w:rsidR="00225D64" w:rsidRPr="00773A6E" w:rsidRDefault="00225D64" w:rsidP="00225D64">
      <w:pPr>
        <w:pBdr>
          <w:top w:val="nil"/>
          <w:left w:val="nil"/>
          <w:bottom w:val="nil"/>
          <w:right w:val="nil"/>
          <w:between w:val="nil"/>
        </w:pBdr>
        <w:jc w:val="both"/>
        <w:rPr>
          <w:rFonts w:eastAsia="Times New Roman"/>
        </w:rPr>
      </w:pPr>
    </w:p>
    <w:p w14:paraId="0DF2627B" w14:textId="7A893AD1" w:rsidR="00225D64" w:rsidRPr="00773A6E" w:rsidRDefault="00225D64" w:rsidP="00A606ED">
      <w:pPr>
        <w:pBdr>
          <w:top w:val="nil"/>
          <w:left w:val="nil"/>
          <w:bottom w:val="nil"/>
          <w:right w:val="nil"/>
          <w:between w:val="nil"/>
        </w:pBdr>
        <w:jc w:val="both"/>
        <w:rPr>
          <w:rFonts w:eastAsia="Times New Roman"/>
          <w:noProof/>
        </w:rPr>
      </w:pPr>
      <w:r w:rsidRPr="00773A6E">
        <w:rPr>
          <w:rFonts w:eastAsia="Times New Roman"/>
        </w:rPr>
        <w:t xml:space="preserve">According to </w:t>
      </w:r>
      <w:r w:rsidR="00D33E13">
        <w:rPr>
          <w:rFonts w:eastAsia="Times New Roman"/>
        </w:rPr>
        <w:fldChar w:fldCharType="begin" w:fldLock="1"/>
      </w:r>
      <w:r w:rsidR="00A82EA7">
        <w:rPr>
          <w:rFonts w:eastAsia="Times New Roman"/>
        </w:rPr>
        <w:instrText>ADDIN CSL_CITATION {"citationItems":[{"id":"ITEM-1","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(CEPAL)","id":"ITEM-1","issued":{"date-parts":[["2020"]]},"number-of-pages":"133","title":"Seguridad hídrica y energética en América Latina y el Caribe Definición y aproximación territorial para el análisis Gracias por su interés en esta publicación de la CEPAL","type":"report"},"uris":["http://www.mendeley.com/documents/?uuid=6f1a197d-b9f3-4537-88d6-7224d575d724","http://www.mendeley.com/documents/?uuid=2d2877e3-dabf-4923-9c1c-f2dd59c5e2f6"]}],"mendeley":{"formattedCitation":"(Urquiza &amp; Billi, 2020)","manualFormatting":"Urquiza &amp; Billi (2020)","plainTextFormattedCitation":"(Urquiza &amp; Billi, 2020)","previouslyFormattedCitation":"(Urquiza &amp; Billi, 2020)"},"properties":{"noteIndex":0},"schema":"https://github.com/citation-style-language/schema/raw/master/csl-citation.json"}</w:instrText>
      </w:r>
      <w:r w:rsidR="00D33E13">
        <w:rPr>
          <w:rFonts w:eastAsia="Times New Roman"/>
        </w:rPr>
        <w:fldChar w:fldCharType="separate"/>
      </w:r>
      <w:r w:rsidR="00D33E13">
        <w:rPr>
          <w:rFonts w:eastAsia="Times New Roman"/>
          <w:noProof/>
        </w:rPr>
        <w:t>Urquiza &amp; Billi</w:t>
      </w:r>
      <w:r w:rsidR="00D33E13" w:rsidRPr="00D33E13">
        <w:rPr>
          <w:rFonts w:eastAsia="Times New Roman"/>
          <w:noProof/>
        </w:rPr>
        <w:t xml:space="preserve"> </w:t>
      </w:r>
      <w:r w:rsidR="00D33E13">
        <w:rPr>
          <w:rFonts w:eastAsia="Times New Roman"/>
          <w:noProof/>
        </w:rPr>
        <w:t>(</w:t>
      </w:r>
      <w:r w:rsidR="00D33E13" w:rsidRPr="00D33E13">
        <w:rPr>
          <w:rFonts w:eastAsia="Times New Roman"/>
          <w:noProof/>
        </w:rPr>
        <w:t>2020)</w:t>
      </w:r>
      <w:r w:rsidR="00D33E13">
        <w:rPr>
          <w:rFonts w:eastAsia="Times New Roman"/>
        </w:rPr>
        <w:fldChar w:fldCharType="end"/>
      </w:r>
      <w:r w:rsidR="00D33E13">
        <w:rPr>
          <w:rFonts w:eastAsia="Times New Roman"/>
        </w:rPr>
        <w:t xml:space="preserve">, </w:t>
      </w:r>
      <w:r w:rsidRPr="00773A6E">
        <w:rPr>
          <w:rFonts w:eastAsia="Times New Roman"/>
        </w:rPr>
        <w:t xml:space="preserve">the assessment of water security should involve two complementary types of analyses: a) understanding the existing degree of equality in the access to water services across different individuals and groups at a given time, and the territorial dynamics that favor or hamper this access; b) understanding the probability that the availability or access to these services can be affected due to possible future socio-natural hazards. TWV focuses particularly on the latter dimension, analyzing how the current state of the characteristics of a territory conditions its propensity to see its water security affected by hazards to which the territory is exposed, with particular focus on </w:t>
      </w:r>
      <w:r w:rsidR="00F87B7A" w:rsidRPr="00773A6E">
        <w:rPr>
          <w:rFonts w:eastAsia="Times New Roman"/>
        </w:rPr>
        <w:t>hydro climatic</w:t>
      </w:r>
      <w:r w:rsidRPr="00773A6E">
        <w:rPr>
          <w:rFonts w:eastAsia="Times New Roman"/>
        </w:rPr>
        <w:t xml:space="preserve"> hazards</w:t>
      </w:r>
      <w:r w:rsidR="00A606ED">
        <w:rPr>
          <w:rFonts w:eastAsia="Times New Roman"/>
        </w:rPr>
        <w:t xml:space="preserve"> </w:t>
      </w:r>
      <w:r w:rsidR="00A606ED" w:rsidRPr="00773A6E">
        <w:rPr>
          <w:rFonts w:eastAsia="Times New Roman"/>
        </w:rPr>
        <w:t>(figure 1)</w:t>
      </w:r>
      <w:r w:rsidRPr="00773A6E">
        <w:rPr>
          <w:rFonts w:eastAsia="Times New Roman"/>
        </w:rPr>
        <w:t xml:space="preserve">. </w:t>
      </w:r>
      <w:r w:rsidR="00896F5C">
        <w:rPr>
          <w:rFonts w:eastAsia="Times New Roman"/>
        </w:rPr>
        <w:t xml:space="preserve">Although, often, </w:t>
      </w:r>
      <w:r w:rsidR="00A606ED" w:rsidRPr="00773A6E">
        <w:rPr>
          <w:rFonts w:eastAsia="Times New Roman"/>
        </w:rPr>
        <w:t xml:space="preserve">TWV will display a significant correlation with pre-existing </w:t>
      </w:r>
      <w:r w:rsidR="00A606ED">
        <w:rPr>
          <w:rFonts w:eastAsia="Times New Roman"/>
        </w:rPr>
        <w:t>acces</w:t>
      </w:r>
      <w:r w:rsidR="00896F5C">
        <w:rPr>
          <w:rFonts w:eastAsia="Times New Roman"/>
        </w:rPr>
        <w:t>s</w:t>
      </w:r>
      <w:r w:rsidR="00A606ED">
        <w:rPr>
          <w:rFonts w:eastAsia="Times New Roman"/>
        </w:rPr>
        <w:t xml:space="preserve"> </w:t>
      </w:r>
      <w:r w:rsidR="00896F5C">
        <w:rPr>
          <w:rFonts w:eastAsia="Times New Roman"/>
        </w:rPr>
        <w:t xml:space="preserve">inequalities, and in turn, </w:t>
      </w:r>
      <w:r w:rsidR="00A606ED" w:rsidRPr="00773A6E">
        <w:rPr>
          <w:rFonts w:eastAsia="Times New Roman"/>
        </w:rPr>
        <w:t>greater vulnerability means a higher risk of impact, which in turn can contribute to reproducing said inequalities</w:t>
      </w:r>
      <w:r w:rsidR="00A606ED">
        <w:rPr>
          <w:rFonts w:eastAsia="Times New Roman"/>
        </w:rPr>
        <w:t xml:space="preserve"> </w:t>
      </w:r>
    </w:p>
    <w:p w14:paraId="26B8B5DE" w14:textId="77777777" w:rsidR="00225D64" w:rsidRPr="00773A6E" w:rsidRDefault="00225D64" w:rsidP="00225D64">
      <w:pPr>
        <w:pBdr>
          <w:top w:val="nil"/>
          <w:left w:val="nil"/>
          <w:bottom w:val="nil"/>
          <w:right w:val="nil"/>
          <w:between w:val="nil"/>
        </w:pBdr>
        <w:jc w:val="both"/>
        <w:rPr>
          <w:rFonts w:eastAsia="Times New Roman"/>
        </w:rPr>
      </w:pPr>
    </w:p>
    <w:p w14:paraId="1725CD6F" w14:textId="77777777" w:rsidR="00225D64" w:rsidRPr="00773A6E" w:rsidRDefault="00225D64" w:rsidP="00225D64">
      <w:pPr>
        <w:pBdr>
          <w:top w:val="nil"/>
          <w:left w:val="nil"/>
          <w:bottom w:val="nil"/>
          <w:right w:val="nil"/>
          <w:between w:val="nil"/>
        </w:pBdr>
        <w:jc w:val="both"/>
        <w:rPr>
          <w:rFonts w:eastAsia="Times New Roman"/>
        </w:rPr>
      </w:pPr>
      <w:r w:rsidRPr="00773A6E">
        <w:rPr>
          <w:rFonts w:eastAsia="Times New Roman"/>
        </w:rPr>
        <w:t>Here, the concept of ‘territory’ points to a spatially delimited unit of analysis, constituted by the dynamic coupling between processes and systems of different nature: ecological (natural resources, regulating ecosystem services), technical (extraction, transformation, distribution and use of water, between others) and socio-cultural (habits, preferences, social norms, organizational structures, governance). Therefore, analyzing TWV requires analyzing the specific characteristics of each one of these systems.</w:t>
      </w:r>
    </w:p>
    <w:p w14:paraId="2046CF40" w14:textId="77777777" w:rsidR="00225D64" w:rsidRPr="00773A6E" w:rsidRDefault="00225D64" w:rsidP="00225D64">
      <w:pPr>
        <w:pBdr>
          <w:top w:val="nil"/>
          <w:left w:val="nil"/>
          <w:bottom w:val="nil"/>
          <w:right w:val="nil"/>
          <w:between w:val="nil"/>
        </w:pBdr>
        <w:jc w:val="both"/>
        <w:rPr>
          <w:rFonts w:eastAsia="Times New Roman"/>
        </w:rPr>
      </w:pPr>
    </w:p>
    <w:p w14:paraId="57899F5E" w14:textId="505A272C" w:rsidR="00225D64" w:rsidRPr="00773A6E" w:rsidRDefault="00225D64" w:rsidP="00225D64">
      <w:pPr>
        <w:pBdr>
          <w:top w:val="nil"/>
          <w:left w:val="nil"/>
          <w:bottom w:val="nil"/>
          <w:right w:val="nil"/>
          <w:between w:val="nil"/>
        </w:pBdr>
        <w:jc w:val="both"/>
        <w:rPr>
          <w:rFonts w:eastAsia="Times New Roman"/>
        </w:rPr>
      </w:pPr>
      <w:r w:rsidRPr="00773A6E">
        <w:rPr>
          <w:rFonts w:eastAsia="Times New Roman"/>
        </w:rPr>
        <w:t xml:space="preserve">The concept of vulnerability is closely connected to the </w:t>
      </w:r>
      <w:r w:rsidR="00896F5C">
        <w:rPr>
          <w:rFonts w:eastAsia="Times New Roman"/>
        </w:rPr>
        <w:t>idea of</w:t>
      </w:r>
      <w:r w:rsidR="00F87B7A">
        <w:rPr>
          <w:rFonts w:eastAsia="Times New Roman"/>
        </w:rPr>
        <w:t xml:space="preserve"> risk (see figure 1a</w:t>
      </w:r>
      <w:r w:rsidRPr="00773A6E">
        <w:rPr>
          <w:rFonts w:eastAsia="Times New Roman"/>
        </w:rPr>
        <w:t>). Following the conceptualization of the Intergovernmental Panel on Climate Change (IPCC) in its fifth assessment report, the risk is understood as the probability that something valuable to society would be in danger with an uncertain outcome as a result of the interaction between three components: hazard, exposure, and vulner</w:t>
      </w:r>
      <w:r w:rsidR="00D33E13">
        <w:rPr>
          <w:rFonts w:eastAsia="Times New Roman"/>
        </w:rPr>
        <w:t xml:space="preserve">ability of the system </w:t>
      </w:r>
      <w:r w:rsidR="009A770A">
        <w:rPr>
          <w:rFonts w:eastAsia="Times New Roman"/>
        </w:rPr>
        <w:fldChar w:fldCharType="begin" w:fldLock="1"/>
      </w:r>
      <w:r w:rsidR="00A82EA7">
        <w:rPr>
          <w:rFonts w:eastAsia="Times New Roman"/>
        </w:rPr>
        <w:instrText>ADDIN CSL_CITATION {"citationItems":[{"id":"ITEM-1","itemData":{"abstract":"El Ministerio del Medio Ambiente contrató en 2016 el presente estudio a un equipo multidisciplinario del Centro de Ciencia del Clima y la Resiliencia (CR)2 a través de la Facultad de Ciencias Físicas y Matemáticas de la Universidad de Chile, el que fue desarrollado durante el año 2017. El propósito del proyecto fue generar proyecciones climáticas para Chile a través de la modelación climática a escala regional. Dicha información busca aportar a la correcta estimación de la vulnerabilidad del país, y está disponible en una plataforma interactiva que permite apoyar el diseño de políticas públicas. Este informe de síntesis presenta los resultados del análisis de los estudios de vulnerabilidad socio-ambiental del país, y plantea una propuesta conceptual y un protocolo de estandarización para este tipo de estudios, además de algunas consideraciones generales y recomendaciones basadas en la revisión de la literatura existente sobre la vulnerabilidad de distintos sectores y ámbitos territoriales y tecnológicos del país frente al cambio climático, así como las principales vulnerabilidades institucionales y brechas de conocimiento.","author":[{"dropping-particle":"","family":"Centro de Ciencia del Clima y la Resiliencia","given":"","non-dropping-particle":"","parse-names":false,"suffix":""}],"container-title":"mandatado por el Ministerio del Medio Ambiente","id":"ITEM-1","issue":"Fondap 1511009","issued":{"date-parts":[["2018"]]},"number-of-pages":"1-30","title":"Simulaciones climáticas regionales y marco de evaluación de la vulnerabilidad","type":"report"},"uris":["http://www.mendeley.com/documents/?uuid=d80188b5-108d-4b16-b442-cd8697b616ef","http://www.mendeley.com/documents/?uuid=0ddea933-a749-4778-9c05-fd24993d0090"]},{"id":"ITEM-2","itemData":{"author":[{"dropping-particle":"","family":"IPCC","given":"","non-dropping-particle":"","parse-names":false,"suffix":""}],"id":"ITEM-2","issued":{"date-parts":[["2022"]]},"title":"Climate Change 2022: Impacts, Adaptation and Vulnerability:water Summary for Policymakers","type":"article-journal"},"uris":["http://www.mendeley.com/documents/?uuid=b22577f2-0970-4cf9-acd3-79f958ca860c","http://www.mendeley.com/documents/?uuid=98f81292-9d3d-44a8-a6dd-0ac0be804266"]}],"mendeley":{"formattedCitation":"(Centro de Ciencia del Clima y la Resiliencia, 2018; IPCC, 2022)","plainTextFormattedCitation":"(Centro de Ciencia del Clima y la Resiliencia, 2018; IPCC, 2022)","previouslyFormattedCitation":"(Centro de Ciencia del Clima y la Resiliencia, 2018; IPCC, 2022)"},"properties":{"noteIndex":0},"schema":"https://github.com/citation-style-language/schema/raw/master/csl-citation.json"}</w:instrText>
      </w:r>
      <w:r w:rsidR="009A770A">
        <w:rPr>
          <w:rFonts w:eastAsia="Times New Roman"/>
        </w:rPr>
        <w:fldChar w:fldCharType="separate"/>
      </w:r>
      <w:r w:rsidR="009A770A" w:rsidRPr="009A770A">
        <w:rPr>
          <w:rFonts w:eastAsia="Times New Roman"/>
          <w:noProof/>
        </w:rPr>
        <w:t>(Centro de Ciencia del Clima y la Resiliencia, 2018; IPCC, 2022)</w:t>
      </w:r>
      <w:r w:rsidR="009A770A">
        <w:rPr>
          <w:rFonts w:eastAsia="Times New Roman"/>
        </w:rPr>
        <w:fldChar w:fldCharType="end"/>
      </w:r>
      <w:r w:rsidRPr="00773A6E">
        <w:rPr>
          <w:rFonts w:eastAsia="Times New Roman"/>
        </w:rPr>
        <w:t xml:space="preserve">. Under this approach, territorial water risk, i.e., the probability that water services are exposed to a particular threat, depends as much on the expected probability and intensity of that threat, on the presence of services that can be affected by that threat, and on the propensity of the territory to see these services affected: the last is, TWV. Usually, a territory offers multiple water services and is affected by multiple hazards. TWV </w:t>
      </w:r>
      <w:r w:rsidR="00896F5C">
        <w:rPr>
          <w:rFonts w:eastAsia="Times New Roman"/>
        </w:rPr>
        <w:t>provides</w:t>
      </w:r>
      <w:r w:rsidRPr="00773A6E">
        <w:rPr>
          <w:rFonts w:eastAsia="Times New Roman"/>
        </w:rPr>
        <w:t xml:space="preserve"> a transversal outlook as a proxy of the risk that the </w:t>
      </w:r>
      <w:r w:rsidR="00896F5C" w:rsidRPr="00896F5C">
        <w:rPr>
          <w:rFonts w:eastAsia="Times New Roman"/>
        </w:rPr>
        <w:t>territory's different water services may face</w:t>
      </w:r>
      <w:r w:rsidRPr="00773A6E">
        <w:rPr>
          <w:rFonts w:eastAsia="Times New Roman"/>
        </w:rPr>
        <w:t xml:space="preserve"> </w:t>
      </w:r>
      <w:r w:rsidR="00896F5C">
        <w:rPr>
          <w:rFonts w:eastAsia="Times New Roman"/>
        </w:rPr>
        <w:t>due to multiple</w:t>
      </w:r>
      <w:r w:rsidRPr="00773A6E">
        <w:rPr>
          <w:rFonts w:eastAsia="Times New Roman"/>
        </w:rPr>
        <w:t xml:space="preserve"> possible </w:t>
      </w:r>
      <w:r w:rsidR="00896F5C">
        <w:rPr>
          <w:rFonts w:eastAsia="Times New Roman"/>
        </w:rPr>
        <w:t>threats</w:t>
      </w:r>
      <w:r w:rsidRPr="00773A6E">
        <w:rPr>
          <w:rFonts w:eastAsia="Times New Roman"/>
        </w:rPr>
        <w:t xml:space="preserve">. </w:t>
      </w:r>
    </w:p>
    <w:p w14:paraId="55B3C02D" w14:textId="77777777" w:rsidR="00225D64" w:rsidRPr="00773A6E" w:rsidRDefault="00225D64" w:rsidP="00225D64">
      <w:pPr>
        <w:pBdr>
          <w:top w:val="nil"/>
          <w:left w:val="nil"/>
          <w:bottom w:val="nil"/>
          <w:right w:val="nil"/>
          <w:between w:val="nil"/>
        </w:pBdr>
        <w:jc w:val="both"/>
        <w:rPr>
          <w:rFonts w:eastAsia="Times New Roman"/>
        </w:rPr>
      </w:pPr>
    </w:p>
    <w:p w14:paraId="6BE04ED1" w14:textId="5A2BA396" w:rsidR="00225D64" w:rsidRPr="00773A6E" w:rsidRDefault="00416204" w:rsidP="00225D64">
      <w:pPr>
        <w:pBdr>
          <w:top w:val="nil"/>
          <w:left w:val="nil"/>
          <w:bottom w:val="nil"/>
          <w:right w:val="nil"/>
          <w:between w:val="nil"/>
        </w:pBdr>
        <w:jc w:val="both"/>
        <w:rPr>
          <w:rFonts w:eastAsia="Times New Roman"/>
        </w:rPr>
      </w:pPr>
      <w:r>
        <w:rPr>
          <w:rFonts w:eastAsia="Times New Roman"/>
        </w:rPr>
        <w:t>Likewise</w:t>
      </w:r>
      <w:r w:rsidR="00225D64" w:rsidRPr="00773A6E">
        <w:rPr>
          <w:rFonts w:eastAsia="Times New Roman"/>
        </w:rPr>
        <w:t xml:space="preserve">, Vulnerability can be decomposed into two dimensions: sensitivity and response capacity </w:t>
      </w:r>
      <w:r w:rsidR="009A770A">
        <w:rPr>
          <w:rFonts w:eastAsia="Times New Roman"/>
        </w:rPr>
        <w:fldChar w:fldCharType="begin" w:fldLock="1"/>
      </w:r>
      <w:r w:rsidR="00A82EA7">
        <w:rPr>
          <w:rFonts w:eastAsia="Times New Roman"/>
        </w:rPr>
        <w:instrText>ADDIN CSL_CITATION {"citationItems":[{"id":"ITEM-1","itemData":{"abstract":"The Vulnerability Sourcebook provides step-by-step guidelines to conduct vulnerability assessments and to monitor changes in vulnerability over time. Repeating vulnerability assessments on a regular basis is a rather new approach and serves as a valuable tool for monitoring and evaluating the effectiveness of adaptation by showing whether a reduction in vulnerability has really been achieved.","author":[{"dropping-particle":"","family":"GIZ","given":"","non-dropping-particle":"","parse-names":false,"suffix":""}],"id":"ITEM-1","issued":{"date-parts":[["2017"]]},"number-of-pages":"180","title":"The Vulnerability Sourcebook Concept and guidelines for standardised vulnerability assessments","type":"report"},"uris":["http://www.mendeley.com/documents/?uuid=155f1411-1f41-4677-9814-223da3fe4b53","http://www.mendeley.com/documents/?uuid=253df123-86f3-4943-b49e-6cf68e9a4395"]},{"id":"ITEM-2","itemData":{"author":[{"dropping-particle":"","family":"IPCC","given":"","non-dropping-particle":"","parse-names":false,"suffix":""}],"id":"ITEM-2","issued":{"date-parts":[["2022"]]},"title":"Climate Change 2022: Impacts, Adaptation and Vulnerability:water Summary for Policymakers","type":"article-journal"},"uris":["http://www.mendeley.com/documents/?uuid=b22577f2-0970-4cf9-acd3-79f958ca860c","http://www.mendeley.com/documents/?uuid=98f81292-9d3d-44a8-a6dd-0ac0be804266"]}],"mendeley":{"formattedCitation":"(GIZ, 2017; IPCC, 2022)","plainTextFormattedCitation":"(GIZ, 2017; IPCC, 2022)","previouslyFormattedCitation":"(GIZ, 2017; IPCC, 2022)"},"properties":{"noteIndex":0},"schema":"https://github.com/citation-style-language/schema/raw/master/csl-citation.json"}</w:instrText>
      </w:r>
      <w:r w:rsidR="009A770A">
        <w:rPr>
          <w:rFonts w:eastAsia="Times New Roman"/>
        </w:rPr>
        <w:fldChar w:fldCharType="separate"/>
      </w:r>
      <w:r w:rsidR="008955DA" w:rsidRPr="008955DA">
        <w:rPr>
          <w:rFonts w:eastAsia="Times New Roman"/>
          <w:noProof/>
        </w:rPr>
        <w:t>(GIZ, 2017; IPCC, 2022)</w:t>
      </w:r>
      <w:r w:rsidR="009A770A">
        <w:rPr>
          <w:rFonts w:eastAsia="Times New Roman"/>
        </w:rPr>
        <w:fldChar w:fldCharType="end"/>
      </w:r>
      <w:r w:rsidR="00225D64" w:rsidRPr="00773A6E">
        <w:rPr>
          <w:rFonts w:eastAsia="Times New Roman"/>
        </w:rPr>
        <w:t xml:space="preserve">. Sensitivity is understood as the systemic characteristics that increase the probability of the exposed components suffering negative impacts and it is a function of the environmental, sociodemographic, infrastructure and technology conditions, economic and cultural resources, and knowledge of the territory concerning the different components of the water system </w:t>
      </w:r>
      <w:r w:rsidR="00883754">
        <w:rPr>
          <w:rFonts w:eastAsia="Times New Roman"/>
        </w:rPr>
        <w:fldChar w:fldCharType="begin" w:fldLock="1"/>
      </w:r>
      <w:r w:rsidR="00A82EA7">
        <w:rPr>
          <w:rFonts w:eastAsia="Times New Roman"/>
        </w:rPr>
        <w:instrText>ADDIN CSL_CITATION {"citationItems":[{"id":"ITEM-1","itemData":{"DOI":"10.3389/frsc.2021.635976","ISSN":"26249634","abstract":"Energy poverty is a crucial concept in current global energy policy, both for the importance of securing equitable access to high-quality energy services to all human populations and to advance toward a just energy transition to a decarbonized economy. Nonetheless, one of the limitations of this concept due to its focus at the household scale, it has tended to omit relevant energy conditions at a territorial scale, which can also be a dimension of significant deprivation (e.g., transportation, schools, hospitals, public services, industrial uses among others.). On the other hand, energy services are highly dependent on context: on the geographic, ecological, technical, economic, and sociocultural conditions. This context-dependency determines the range of energy and technological alternatives available in a territory. Hence, a conceptual framework is required to better understand the starting point to a just energy transition, capable of integrating the complexity of socio-techno-ecological systems. To fill this gap, we present a framework based on the concept of Territorial Energy Vulnerability (TEV), defined as the propensity of a territory to not guarantee equitable access—in quantity and quality—to resilient energy services that allow the sustainable human and economic development of its population. That is a greater probability of inequity in access to energy services or a significant impacts derived from socio-natural risks that make it incapable of guaranteeing a sustainable and resilient provision of these services. Built on state-of-the-art conceptualizations of risk, we develop an indicator-based framework on vulnerability understood as the combination of sensitivity and resilience characteristics of socio-techno-ecological systems. Sensitivity relates to economic, demographic, infrastructure, technology, culture, and knowledge characteristics of socio-techno-ecological components. Meanwhile, resilience is presented in a three-dimensional framework based on flexibility, register, and self-transformation capacity of socio-techno-ecological systems. An application of this framework is developed using three case studies: Arica, Los Andes and Coyhaique, all Chilean cities with diverse ecological, technical, economic, and sociocultural conditions that shape territorial vulnerability. Using this framework as a diagnostic tool, the development of a just energy transition could adapt existing concepts of energy poverty and decarbonization pathways int…","author":[{"dropping-particle":"","family":"Calvo","given":"Rubén","non-dropping-particle":"","parse-names":false,"suffix":""},{"dropping-particle":"","family":"Amigo","given":"Catalina","non-dropping-particle":"","parse-names":false,"suffix":""},{"dropping-particle":"","family":"Billi","given":"Marco","non-dropping-particle":"","parse-names":false,"suffix":""},{"dropping-particle":"","family":"Fleischmann","given":"Matías","non-dropping-particle":"","parse-names":false,"suffix":""},{"dropping-particle":"","family":"Urquiza","given":"Anahí","non-dropping-particle":"","parse-names":false,"suffix":""},{"dropping-particle":"","family":"Álamos","given":"Nicolás","non-dropping-particle":"","parse-names":false,"suffix":""},{"dropping-particle":"","family":"Navea","given":"José","non-dropping-particle":"","parse-names":false,"suffix":""}],"container-title":"Frontiers in Sustainable Cities","id":"ITEM-1","issue":"July","issued":{"date-parts":[["2021"]]},"page":"1-19","title":"Territorial Energy Vulnerability Assessment to Enhance Just Energy Transition of Cities","type":"article-journal","volume":"3"},"uris":["http://www.mendeley.com/documents/?uuid=fbc37969-cef2-485c-9c9d-271db4b2b35c","http://www.mendeley.com/documents/?uuid=27e391d2-9c74-428c-93ec-d7fbeb0042f3"]}],"mendeley":{"formattedCitation":"(Calvo et al., 2021)","plainTextFormattedCitation":"(Calvo et al., 2021)","previouslyFormattedCitation":"(Calvo et al., 2021)"},"properties":{"noteIndex":0},"schema":"https://github.com/citation-style-language/schema/raw/master/csl-citation.json"}</w:instrText>
      </w:r>
      <w:r w:rsidR="00883754">
        <w:rPr>
          <w:rFonts w:eastAsia="Times New Roman"/>
        </w:rPr>
        <w:fldChar w:fldCharType="separate"/>
      </w:r>
      <w:r w:rsidR="00883754" w:rsidRPr="00883754">
        <w:rPr>
          <w:rFonts w:eastAsia="Times New Roman"/>
          <w:noProof/>
        </w:rPr>
        <w:t>(Calvo et al., 2021)</w:t>
      </w:r>
      <w:r w:rsidR="00883754">
        <w:rPr>
          <w:rFonts w:eastAsia="Times New Roman"/>
        </w:rPr>
        <w:fldChar w:fldCharType="end"/>
      </w:r>
    </w:p>
    <w:p w14:paraId="173CAB47" w14:textId="7AAAAC54" w:rsidR="00225D64" w:rsidRPr="00773A6E" w:rsidRDefault="00225D64" w:rsidP="00225D64">
      <w:pPr>
        <w:pBdr>
          <w:top w:val="nil"/>
          <w:left w:val="nil"/>
          <w:bottom w:val="nil"/>
          <w:right w:val="nil"/>
          <w:between w:val="nil"/>
        </w:pBdr>
        <w:jc w:val="both"/>
        <w:rPr>
          <w:rFonts w:eastAsia="Times New Roman"/>
        </w:rPr>
      </w:pPr>
      <w:r w:rsidRPr="00773A6E">
        <w:rPr>
          <w:rFonts w:eastAsia="Times New Roman"/>
        </w:rPr>
        <w:t xml:space="preserve">Meanwhile, response capacity is essentially a “reactive” mechanism responding to disturbances aboard the systemic capacity of facing adverse conditions presented by hazards, exposure and sensitivity </w:t>
      </w:r>
      <w:r w:rsidR="00883754">
        <w:rPr>
          <w:rFonts w:eastAsia="Times New Roman"/>
        </w:rPr>
        <w:fldChar w:fldCharType="begin" w:fldLock="1"/>
      </w:r>
      <w:r w:rsidR="00A82EA7">
        <w:rPr>
          <w:rFonts w:eastAsia="Times New Roman"/>
        </w:rPr>
        <w:instrText>ADDIN CSL_CITATION {"citationItems":[{"id":"ITEM-1","itemData":{"ISBN":"9781107082656","abstract":"\"As both the societies and the world in which we live face increasingly rapid and turbulent changes, the concept of resilience has become an active and important research area. Reflecting the very latest research, this book provides a critical review of the ways in which resilience of social-ecological systems, and the ecosystem services they provide, can be enhanced. With contributions from leaders in the field, the chapters are structured around seven key principles for building resilience: maintain diversity and redundancy; manage connectivity; manage slow variables and feedbacks; foster complex adaptive systems thinking; encourage learning; broaden participation; and promote polycentric governance. The authors assess the evidence in support of these principles, discussing their practical application and outlining further research needs. Intended for researchers, practitioners and graduate students, this is an ideal resource for anyone working in resilience science and for those in the broader fields of sustainability science, environmental management and governance\"-- \"This book is the product of a long-standing and rewarding collaboration among a group of young scholars who first connected in 2007 to form the Resilience Alliance Young Scholars (RAYS) network. The RAYS was initiated by the Resilience Alliance (RA, www.resalliance.org) to provide a space for young resilience scholars linked to the RA and other resilience research nodes around the world to come together and share ideas, and develop a next generation of internationally networked resilience scientists\"-- Foreword / Carl Folke -- 1. An introduction to the resilience approach and principles to sustain ecosystem services in social-ecological systems / Reinette Biggs, Maja Schlüter and Michael L. Schoon -- 2. Politics and the resilience of ecosystem services / Michael L. Schoon, Martin D. Robards, Katrina Brown, Nathan Engle, Chanda L. Meek and Reinette Biggs -- 3. Principle 1: maintain diversity and redundancy / Karen Kotschy, Reinette Biggs, Tim Daw, Carl Folke and Paul C. West -- 4. Principle 2: manage connectivity / Vasilis Dakos, Allyson Quinlan, Jacopo A. Baggio, Elena Bennett, Örjan Bodin and Shauna Burnsilver -- 5. Principle 3: manage slow variables and feedbacks / Reinette Biggs, Line Gordon, Ciara Raudsepp-Hearne, Maja Schlüter and Brian Walker -- 6. Principle 4: foster complex adaptive systems thinking / Erin L. Bohensky, Louisa S. Evans, John M. Anderies, Duan Biggs and Chris…","author":[{"dropping-particle":"","family":"Biggs","given":"Reinette","non-dropping-particle":"","parse-names":false,"suffix":""},{"dropping-particle":"","family":"Schluter","given":"M","non-dropping-particle":"","parse-names":false,"suffix":""},{"dropping-particle":"","family":"Schoon","given":"Michael L.","non-dropping-particle":"","parse-names":false,"suffix":""}],"id":"ITEM-1","issued":{"date-parts":[["2015"]]},"page":"290","title":"Principles for Building Resilience Sustaining Ecosystem Services in Social Ecological Systems | Natural resource management, agriculture, horticulture and forestry | Cambridge University Press","type":"article-journal"},"uris":["http://www.mendeley.com/documents/?uuid=28ddee07-3dfc-4817-b048-19d7f453b63a","http://www.mendeley.com/documents/?uuid=551401d4-2265-417b-a65c-f5038128e208"]},{"id":"ITEM-2","itemData":{"DOI":"10.3390/en10010036","ISSN":"19961073","abstract":"The transition of our current energy system from a fossil-based system to a system based on renewables is likely to be one of the most complex and long-term societal transitions in history. The need for a fundamental system transformation raises the question of how to measure the continuing progress and the resilience of this process over time. This paper aims at developing the conceptualization and operationalization of resilience for energy systems in transition with regard to both social and technical aspects. Based on the resilience concept in social-ecological systems literature, we propose to conceptualize resilience for energy systems building on two core attributes of resilience, namely diversity and connectivity. We present an indicator set to operationalize these key attributes in social and technical systems using: (i) definitions and measurements for three fundamental diversity properties-variety, balance and disparity-and (ii) basic connectivity properties from the social network analysis literature-path length, centrality and modularity. Finally, we reflect on possibilities for an application of these indicators in the social and technical system's spheres and discuss the added value of the approach for energy transition research.","author":[{"dropping-particle":"","family":"Binder","given":"Claudia R.","non-dropping-particle":"","parse-names":false,"suffix":""},{"dropping-particle":"","family":"Mühlemeier","given":"Susan","non-dropping-particle":"","parse-names":false,"suffix":""},{"dropping-particle":"","family":"Wyss","given":"Romano","non-dropping-particle":"","parse-names":false,"suffix":""}],"container-title":"Energies","id":"ITEM-2","issue":"1","issued":{"date-parts":[["2017"]]},"title":"An indicator-based approach for analyzing the resilience of transitions for energy regions. Part I: Theoretical and conceptual considerations","type":"article-journal","volume":"10"},"uris":["http://www.mendeley.com/documents/?uuid=20bac2b7-6bc3-4088-925b-b711352b06cc","http://www.mendeley.com/documents/?uuid=0b41150a-6146-422b-9e17-1707c7436027"]},{"id":"ITEM-3","itemData":{"DOI":"10.1029/2020EF001508","ISSN":"23284277","abstract":"Cities are increasingly acknowledged as crucial when facing climate change—and the environmental crisis more in general—, offering challenges and opportunities in terms of both mitigation and adaptation. Climate change-sensitive urban governance requires proactive, integrated, and contextualized approaches, making room for the complex, multilayered, multiscalar, and dynamic processes constituting a city. The notion of “resilience” has been acquiring growing recognition as a flexible and powerful concept to respond to these challenges. Resilience itself, however, is also a polysemic notion, often treated as little more than a catchword or a wishful aim or superimposed with other climate-related terms, such as risk, vulnerability, or adaptation. To promote a stronger integration among different problem-settings and epistemic communities, this paper advances six analytical distinctions aiming to provide structure and articulation to existing definitions of the concept of “resilience.” Likewise, it offers an integrated analytical framework and methodological pipeline to streamline resilience analysis in the context of urban climate risk assessment. The framework is specially defined to link up with the definition of climate risk provided by the Intergovernmental Panel on Climate Change (IPCC) latest Assessment Reports and is illustrated through examples derived from the recent experience of the Chilean Climate Risk Atlas.","author":[{"dropping-particle":"","family":"Urquiza","given":"A.","non-dropping-particle":"","parse-names":false,"suffix":""},{"dropping-particle":"","family":"Amigo","given":"C.","non-dropping-particle":"","parse-names":false,"suffix":""},{"dropping-particle":"","family":"Billi","given":"M.","non-dropping-particle":"","parse-names":false,"suffix":""},{"dropping-particle":"","family":"Calvo","given":"R.","non-dropping-particle":"","parse-names":false,"suffix":""},{"dropping-particle":"","family":"Gallardo","given":"L.","non-dropping-particle":"","parse-names":false,"suffix":""},{"dropping-particle":"","family":"Neira","given":"C. I.","non-dropping-particle":"","parse-names":false,"suffix":""},{"dropping-particle":"","family":"Rojas","given":"M.","non-dropping-particle":"","parse-names":false,"suffix":""}],"container-title":"Earth's Future","id":"ITEM-3","issue":"9","issued":{"date-parts":[["2021"]]},"page":"1-26","title":"An Integrated Framework to Streamline Resilience in the Context of Urban Climate Risk Assessment","type":"article-journal","volume":"9"},"uris":["http://www.mendeley.com/documents/?uuid=07c2d830-21a9-47a1-8816-6ac1c40d984e","http://www.mendeley.com/documents/?uuid=b40e56b5-5d49-4f25-a039-263a3398da53"]},{"id":"ITEM-4","itemData":{"DOI":"10.3389/frsc.2021.635976","ISSN":"26249634","abstract":"Energy poverty is a crucial concept in current global energy policy, both for the importance of securing equitable access to high-quality energy services to all human populations and to advance toward a just energy transition to a decarbonized economy. Nonetheless, one of the limitations of this concept due to its focus at the household scale, it has tended to omit relevant energy conditions at a territorial scale, which can also be a dimension of significant deprivation (e.g., transportation, schools, hospitals, public services, industrial uses among others.). On the other hand, energy services are highly dependent on context: on the geographic, ecological, technical, economic, and sociocultural conditions. This context-dependency determines the range of energy and technological alternatives available in a territory. Hence, a conceptual framework is required to better understand the starting point to a just energy transition, capable of integrating the complexity of socio-techno-ecological systems. To fill this gap, we present a framework based on the concept of Territorial Energy Vulnerability (TEV), defined as the propensity of a territory to not guarantee equitable access—in quantity and quality—to resilient energy services that allow the sustainable human and economic development of its population. That is a greater probability of inequity in access to energy services or a significant impacts derived from socio-natural risks that make it incapable of guaranteeing a sustainable and resilient provision of these services. Built on state-of-the-art conceptualizations of risk, we develop an indicator-based framework on vulnerability understood as the combination of sensitivity and resilience characteristics of socio-techno-ecological systems. Sensitivity relates to economic, demographic, infrastructure, technology, culture, and knowledge characteristics of socio-techno-ecological components. Meanwhile, resilience is presented in a three-dimensional framework based on flexibility, register, and self-transformation capacity of socio-techno-ecological systems. An application of this framework is developed using three case studies: Arica, Los Andes and Coyhaique, all Chilean cities with diverse ecological, technical, economic, and sociocultural conditions that shape territorial vulnerability. Using this framework as a diagnostic tool, the development of a just energy transition could adapt existing concepts of energy poverty and decarbonization pathways int…","author":[{"dropping-particle":"","family":"Calvo","given":"Rubén","non-dropping-particle":"","parse-names":false,"suffix":""},{"dropping-particle":"","family":"Amigo","given":"Catalina","non-dropping-particle":"","parse-names":false,"suffix":""},{"d</w:instrText>
      </w:r>
      <w:r w:rsidR="00A82EA7" w:rsidRPr="002E5847">
        <w:rPr>
          <w:rFonts w:eastAsia="Times New Roman"/>
          <w:lang w:val="es-CL"/>
        </w:rPr>
        <w:instrText>ropping-particle":"","family":"Billi","given":"Marco","non-dropping-particle":"","parse-names":false,"suffix":""},{"dropping-particle":"","family":"Fleischmann","given":"Matías","non-dropping-particle":"","parse-names":false,"suffix":""},{"dropping-particle":"","family":"Urquiza","given":"Anahí","non-dropping-particle":"","parse-names":false,"suffix":""},{"dropping-particle":"","family":"Álamos","given":"Nicolás","non-dropping-particle":"","parse-names":false,"suffix":""},{"dropping-particle":"","family":"Navea","given":"José","non-dropping-particle":"","parse-names":false,"suffix":""}],"container-title":"Frontiers in Sustainable Cities","id":"ITEM-4","issue":"July","issued":{"date-parts":[["2021"]]},"page":"1-19","title":"Territorial Energy Vulnerability Assessment to Enhance Just Energy Transition of Cities","type":"article-journal","volume":"3"},"uris":["http://www.mendeley.com/documents/?uuid=27e391d2-9c74-428c-93ec-d7fbeb0042f3","http://www.mendeley.com/documents/?uuid=fbc37969-cef2-485c-9c9d-271db4b2b35c"]}],"mendeley":{"formattedCitation":"(Biggs et al., 2015; Binder et al., 2017; Calvo et al., 2021; Urquiza et al., 2021)","plainTextFormattedCitation":"(Biggs et al., 2015; Binder et al., 2017; Calvo et al., 2021; Urquiza et al., 2021)","previouslyFormattedCitation":"(Biggs et al., 2015; Binder et al., 2017; Calvo et al., 2021; Urquiza et al., 2021)"},"properties":{"noteIndex":0},"schema":"https://github.com/citation-style-language/schema/raw/master/csl-citation.json"}</w:instrText>
      </w:r>
      <w:r w:rsidR="00883754">
        <w:rPr>
          <w:rFonts w:eastAsia="Times New Roman"/>
        </w:rPr>
        <w:fldChar w:fldCharType="separate"/>
      </w:r>
      <w:r w:rsidR="00C060B1" w:rsidRPr="002E5847">
        <w:rPr>
          <w:rFonts w:eastAsia="Times New Roman"/>
          <w:noProof/>
          <w:lang w:val="es-CL"/>
        </w:rPr>
        <w:t>(Biggs et al., 2015; Binder et al., 2017; Calvo et al., 2021; Urquiza et al., 2021)</w:t>
      </w:r>
      <w:r w:rsidR="00883754">
        <w:rPr>
          <w:rFonts w:eastAsia="Times New Roman"/>
        </w:rPr>
        <w:fldChar w:fldCharType="end"/>
      </w:r>
      <w:r w:rsidR="00C3382C" w:rsidRPr="00497278">
        <w:rPr>
          <w:rFonts w:eastAsia="Times New Roman"/>
          <w:lang w:val="es-CL"/>
        </w:rPr>
        <w:t>.</w:t>
      </w:r>
      <w:r w:rsidR="00883754" w:rsidRPr="00497278">
        <w:rPr>
          <w:rFonts w:eastAsia="Times New Roman"/>
          <w:lang w:val="es-CL"/>
        </w:rPr>
        <w:t xml:space="preserve"> </w:t>
      </w:r>
      <w:r w:rsidRPr="00773A6E">
        <w:rPr>
          <w:rFonts w:eastAsia="Times New Roman"/>
        </w:rPr>
        <w:t>The response capacity relates to the flexibility of the system to adjust in the face of an eventual impact, which in turn is driven by the diversity, connectivity, and redundancy of the components and structures involved i</w:t>
      </w:r>
      <w:r w:rsidR="00883754">
        <w:rPr>
          <w:rFonts w:eastAsia="Times New Roman"/>
        </w:rPr>
        <w:t xml:space="preserve">n the water services provision </w:t>
      </w:r>
      <w:r w:rsidR="00883754">
        <w:rPr>
          <w:rFonts w:eastAsia="Times New Roman"/>
        </w:rPr>
        <w:fldChar w:fldCharType="begin" w:fldLock="1"/>
      </w:r>
      <w:r w:rsidR="00A82EA7">
        <w:rPr>
          <w:rFonts w:eastAsia="Times New Roman"/>
        </w:rPr>
        <w:instrText>ADDIN CSL_CITATION {"citationItems":[{"id":"ITEM-1","itemData":{"DOI":"10.3389/frsc.2021.635976","ISSN":"26249634","abstract":"Energy poverty is a crucial concept in current global energy policy, both for the importance of securing equitable access to high-quality energy services to all human populations and to advance toward a just energy transition to a decarbonized economy. Nonetheless, one of the limitations of this concept due to its focus at the household scale, it has tended to omit relevant energy conditions at a territorial scale, which can also be a dimension of significant deprivation (e.g., transportation, schools, hospitals, public services, industrial uses among others.). On the other hand, energy services are highly dependent on context: on the geographic, ecological, technical, economic, and sociocultural conditions. This context-dependency determines the range of energy and technological alternatives available in a territory. Hence, a conceptual framework is required to better understand the starting point to a just energy transition, capable of integrating the complexity of socio-techno-ecological systems. To fill this gap, we present a framework based on the concept of Territorial Energy Vulnerability (TEV), defined as the propensity of a territory to not guarantee equitable access—in quantity and quality—to resilient energy services that allow the sustainable human and economic development of its population. That is a greater probability of inequity in access to energy services or a significant impacts derived from socio-natural risks that make it incapable of guaranteeing a sustainable and resilient provision of these services. Built on state-of-the-art conceptualizations of risk, we develop an indicator-based framework on vulnerability understood as the combination of sensitivity and resilience characteristics of socio-techno-ecological systems. Sensitivity relates to economic, demographic, infrastructure, technology, culture, and knowledge characteristics of socio-techno-ecological components. Meanwhile, resilience is presented in a three-dimensional framework based on flexibility, register, and self-transformation capacity of socio-techno-ecological systems. An application of this framework is developed using three case studies: Arica, Los Andes and Coyhaique, all Chilean cities with diverse ecological, technical, economic, and sociocultural conditions that shape territorial vulnerability. Using this framework as a diagnostic tool, the development of a just energy transition could adapt existing concepts of energy poverty and decarbonization pathways int…","author":[{"dropping-particle":"","family":"Calvo","given":"Rubén","non-dropping-particle":"","parse-names":false,"suffix":""},{"dropping-particle":"","family":"Amigo","given":"Catalina","non-dropping-particle":"","parse-names":false,"suffix":""},{"dropping-particle":"","family":"Billi","given":"Marco","non-dropping-particle":"","parse-names":false,"suffix":""},{"dropping-particle":"","family":"Fleischmann","given":"Matías","non-dropping-particle":"","parse-names":false,"suffix":""},{"dropping-particle":"","family":"Urquiza","given":"Anahí","non-dropping-particle":"","parse-names":false,"suffix":""},{"dropping-particle":"","family":"Álamos","given":"Nicolás","non-dropping-particle":"","parse-names":false,"suffix":""},{"dropping-particle":"","family":"Navea","given":"José","non-dropping-particle":"","parse-names":false,"suffix":""}],"container-title":"Frontiers in Sustainable Cities","id":"ITEM-1","issue":"July","issued":{"date-parts":[["2021"]]},"page":"1-19","title":"Territorial Energy Vulnerability Assessment to Enhance Just Energy Transition of Cities","type":"article-journal","volume":"3"},"uris":["http://www.mendeley.com/documents/?uuid=27e391d2-9c74-428c-93ec-d7fbeb0042f3","http://www.mendeley.com/documents/?uuid=fbc37969-cef2-485c-9c9d-271db4b2b35c"]}],"mendeley":{"formattedCitation":"(Calvo et al., 2021)","plainTextFormattedCitation":"(Calvo et al., 2021)","previouslyFormattedCitation":"(Calvo et al., 2021)"},"properties":{"noteIndex":0},"schema":"https://github.com/citation-style-language/schema/raw/master/csl-citation.json"}</w:instrText>
      </w:r>
      <w:r w:rsidR="00883754">
        <w:rPr>
          <w:rFonts w:eastAsia="Times New Roman"/>
        </w:rPr>
        <w:fldChar w:fldCharType="separate"/>
      </w:r>
      <w:r w:rsidR="00883754" w:rsidRPr="00883754">
        <w:rPr>
          <w:rFonts w:eastAsia="Times New Roman"/>
          <w:noProof/>
        </w:rPr>
        <w:t>(Calvo et al., 2021)</w:t>
      </w:r>
      <w:r w:rsidR="00883754">
        <w:rPr>
          <w:rFonts w:eastAsia="Times New Roman"/>
        </w:rPr>
        <w:fldChar w:fldCharType="end"/>
      </w:r>
      <w:r w:rsidR="00C3382C">
        <w:rPr>
          <w:rFonts w:eastAsia="Times New Roman"/>
        </w:rPr>
        <w:t>.</w:t>
      </w:r>
    </w:p>
    <w:p w14:paraId="0D83864F" w14:textId="678A2FFD" w:rsidR="00225D64" w:rsidRDefault="00592FB1" w:rsidP="00225D64">
      <w:pPr>
        <w:pBdr>
          <w:top w:val="nil"/>
          <w:left w:val="nil"/>
          <w:bottom w:val="nil"/>
          <w:right w:val="nil"/>
          <w:between w:val="nil"/>
        </w:pBdr>
        <w:jc w:val="both"/>
        <w:rPr>
          <w:rFonts w:eastAsia="Times New Roman"/>
        </w:rPr>
      </w:pPr>
      <w:r w:rsidRPr="00760FF8">
        <w:rPr>
          <w:rFonts w:eastAsia="Times New Roman"/>
          <w:noProof/>
          <w:lang w:val="es-CL" w:eastAsia="es-CL"/>
        </w:rPr>
        <w:lastRenderedPageBreak/>
        <w:drawing>
          <wp:inline distT="0" distB="0" distL="0" distR="0" wp14:anchorId="030D7692" wp14:editId="4D19882E">
            <wp:extent cx="5734050" cy="2305050"/>
            <wp:effectExtent l="0" t="0" r="0" b="0"/>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2305050"/>
                    </a:xfrm>
                    <a:prstGeom prst="rect">
                      <a:avLst/>
                    </a:prstGeom>
                    <a:noFill/>
                    <a:ln>
                      <a:noFill/>
                    </a:ln>
                  </pic:spPr>
                </pic:pic>
              </a:graphicData>
            </a:graphic>
          </wp:inline>
        </w:drawing>
      </w:r>
    </w:p>
    <w:p w14:paraId="09C42B11" w14:textId="77777777" w:rsidR="00225D64" w:rsidRPr="00773A6E" w:rsidRDefault="00225D64" w:rsidP="00EF4C0E">
      <w:pPr>
        <w:pStyle w:val="FigureorTableCaption"/>
        <w:jc w:val="both"/>
      </w:pPr>
      <w:r w:rsidRPr="00225D64">
        <w:rPr>
          <w:b/>
        </w:rPr>
        <w:t>Figure 1:</w:t>
      </w:r>
      <w:r w:rsidRPr="00773A6E">
        <w:t xml:space="preserve"> on (a) Conceptual relationships between water security, insecurity, equitable access, sostenibility and resilience (adapted from Urquiza &amp; Billi, 2020). The sostenibility and response capacity (axis y) of the water services are determined by the hydric risk that the territory faces (b) on (b) conceptual framework of climate risk (adapted from CR2, 2018). Territorial water vulnerability as the territory's propensity to have water insecurity conditions captures the vulnerability component of the hydric risk and the water access conditions of the territory.</w:t>
      </w:r>
    </w:p>
    <w:p w14:paraId="45B4DEA7" w14:textId="77777777" w:rsidR="00225D64" w:rsidRPr="00773A6E" w:rsidRDefault="00225D64" w:rsidP="00225D64">
      <w:pPr>
        <w:pBdr>
          <w:top w:val="nil"/>
          <w:left w:val="nil"/>
          <w:bottom w:val="nil"/>
          <w:right w:val="nil"/>
          <w:between w:val="nil"/>
        </w:pBdr>
        <w:jc w:val="both"/>
        <w:rPr>
          <w:rFonts w:eastAsia="Times New Roman"/>
        </w:rPr>
      </w:pPr>
    </w:p>
    <w:p w14:paraId="46CE7E57" w14:textId="21EA51EB" w:rsidR="00225D64" w:rsidRPr="00773A6E" w:rsidRDefault="00225D64" w:rsidP="00225D64">
      <w:pPr>
        <w:pBdr>
          <w:top w:val="nil"/>
          <w:left w:val="nil"/>
          <w:bottom w:val="nil"/>
          <w:right w:val="nil"/>
          <w:between w:val="nil"/>
        </w:pBdr>
        <w:jc w:val="both"/>
        <w:rPr>
          <w:rFonts w:eastAsia="Times New Roman"/>
        </w:rPr>
      </w:pPr>
      <w:r w:rsidRPr="00773A6E">
        <w:rPr>
          <w:rFonts w:eastAsia="Times New Roman"/>
        </w:rPr>
        <w:t xml:space="preserve">Evaluating water vulnerability means assessing the elements and indicators that compose the </w:t>
      </w:r>
      <w:r w:rsidR="00ED156C">
        <w:rPr>
          <w:rFonts w:eastAsia="Times New Roman"/>
        </w:rPr>
        <w:t>sensitivity</w:t>
      </w:r>
      <w:r w:rsidRPr="00773A6E">
        <w:rPr>
          <w:rFonts w:eastAsia="Times New Roman"/>
        </w:rPr>
        <w:t xml:space="preserve"> and response capacity dimensions, which requires a multidimensional and </w:t>
      </w:r>
      <w:r w:rsidR="00F87B7A" w:rsidRPr="00773A6E">
        <w:rPr>
          <w:rFonts w:eastAsia="Times New Roman"/>
        </w:rPr>
        <w:t>multiscale</w:t>
      </w:r>
      <w:r w:rsidRPr="00773A6E">
        <w:rPr>
          <w:rFonts w:eastAsia="Times New Roman"/>
        </w:rPr>
        <w:t xml:space="preserve"> high complexity analysis. To achieve this, we have adapted the </w:t>
      </w:r>
      <w:r w:rsidR="00883754">
        <w:rPr>
          <w:rFonts w:eastAsia="Times New Roman"/>
        </w:rPr>
        <w:fldChar w:fldCharType="begin" w:fldLock="1"/>
      </w:r>
      <w:r w:rsidR="00A82EA7">
        <w:rPr>
          <w:rFonts w:eastAsia="Times New Roman"/>
        </w:rPr>
        <w:instrText>ADDIN CSL_CITATION {"citationItems":[{"id":"ITEM-1","itemData":{"abstract":"The Vulnerability Sourcebook provides step-by-step guidelines to conduct vulnerability assessments and to monitor changes in vulnerability over time. Repeating vulnerability assessments on a regular basis is a rather new approach and serves as a valuable tool for monitoring and evaluating the effectiveness of adaptation by showing whether a reduction in vulnerability has really been achieved.","author":[{"dropping-particle":"","family":"GIZ","given":"","non-dropping-particle":"","parse-names":false,"suffix":""}],"id":"ITEM-1","issued":{"date-parts":[["2017"]]},"number-of-pages":"180","title":"The Vulnerability Sourcebook Concept and guidelines for standardised vulnerability assessments","type":"report"},"uris":["http://www.mendeley.com/documents/?uuid=253df123-86f3-4943-b49e-6cf68e9a4395","http://www.mendeley.com/documents/?uuid=155f1411-1f41-4677-9814-223da3fe4b53"]}],"mendeley":{"formattedCitation":"(GIZ, 2017)","plainTextFormattedCitation":"(GIZ, 2017)","previouslyFormattedCitation":"(GIZ, 2017)"},"properties":{"noteIndex":0},"schema":"https://github.com/citation-style-language/schema/raw/master/csl-citation.json"}</w:instrText>
      </w:r>
      <w:r w:rsidR="00883754">
        <w:rPr>
          <w:rFonts w:eastAsia="Times New Roman"/>
        </w:rPr>
        <w:fldChar w:fldCharType="separate"/>
      </w:r>
      <w:r w:rsidR="00883754" w:rsidRPr="00883754">
        <w:rPr>
          <w:rFonts w:eastAsia="Times New Roman"/>
          <w:noProof/>
        </w:rPr>
        <w:t>(GIZ, 2017)</w:t>
      </w:r>
      <w:r w:rsidR="00883754">
        <w:rPr>
          <w:rFonts w:eastAsia="Times New Roman"/>
        </w:rPr>
        <w:fldChar w:fldCharType="end"/>
      </w:r>
      <w:r w:rsidR="00C3382C">
        <w:rPr>
          <w:rFonts w:eastAsia="Times New Roman"/>
        </w:rPr>
        <w:t xml:space="preserve"> </w:t>
      </w:r>
      <w:r w:rsidRPr="00773A6E">
        <w:rPr>
          <w:rFonts w:eastAsia="Times New Roman"/>
        </w:rPr>
        <w:t xml:space="preserve">analytical framework of risk assessment, building an impact chain that represents the interaction between the components and variables which influence the risk faced by water services. It is important to be aware that the impact chains can consider different risks at the same time, explicitly including the possibility that impacts over particular systems or processes (for example, over ecological services) turn into a source of hazards for other systems or processes (over economic activities, human health and welfare, etc.). These are known as “nested” or “cascade” impacts (see figure 2). Under the impact chain method, territorial water vulnerability will embrace all those dimensions and indicators of </w:t>
      </w:r>
      <w:r w:rsidR="00ED156C">
        <w:rPr>
          <w:rFonts w:eastAsia="Times New Roman"/>
        </w:rPr>
        <w:t>sensitivity</w:t>
      </w:r>
      <w:r w:rsidRPr="00773A6E">
        <w:rPr>
          <w:rFonts w:eastAsia="Times New Roman"/>
        </w:rPr>
        <w:t xml:space="preserve"> and resilience of ecological, technical and sociocultural systems identified as relevant in the impact chains.</w:t>
      </w:r>
    </w:p>
    <w:p w14:paraId="7AD1A8FE" w14:textId="77777777" w:rsidR="00225D64" w:rsidRPr="00773A6E" w:rsidRDefault="00225D64" w:rsidP="00225D64">
      <w:pPr>
        <w:pBdr>
          <w:top w:val="nil"/>
          <w:left w:val="nil"/>
          <w:bottom w:val="nil"/>
          <w:right w:val="nil"/>
          <w:between w:val="nil"/>
        </w:pBdr>
        <w:jc w:val="both"/>
        <w:rPr>
          <w:rFonts w:eastAsia="Times New Roman"/>
        </w:rPr>
      </w:pPr>
    </w:p>
    <w:p w14:paraId="584D0CDC" w14:textId="168B5503" w:rsidR="00225D64" w:rsidRPr="00773A6E" w:rsidRDefault="00225D64" w:rsidP="00225D64">
      <w:pPr>
        <w:pBdr>
          <w:top w:val="nil"/>
          <w:left w:val="nil"/>
          <w:bottom w:val="nil"/>
          <w:right w:val="nil"/>
          <w:between w:val="nil"/>
        </w:pBdr>
        <w:jc w:val="both"/>
      </w:pPr>
      <w:r w:rsidRPr="00773A6E">
        <w:rPr>
          <w:rFonts w:eastAsia="Times New Roman"/>
        </w:rPr>
        <w:t xml:space="preserve">The process of impact chain construction includes two potentially iterative moments: the design of a theoretical impact chain (which summarizes all the relevant variables and interactions observed by existing literature and experts) and the operationalization of </w:t>
      </w:r>
      <w:r w:rsidR="00C3382C">
        <w:rPr>
          <w:rFonts w:eastAsia="Times New Roman"/>
        </w:rPr>
        <w:t>that</w:t>
      </w:r>
      <w:r w:rsidRPr="00773A6E">
        <w:rPr>
          <w:rFonts w:eastAsia="Times New Roman"/>
        </w:rPr>
        <w:t xml:space="preserve"> chain into concrete, measurable </w:t>
      </w:r>
      <w:r w:rsidR="00C3382C">
        <w:rPr>
          <w:rFonts w:eastAsia="Times New Roman"/>
        </w:rPr>
        <w:t>and</w:t>
      </w:r>
      <w:r w:rsidRPr="00773A6E">
        <w:rPr>
          <w:rFonts w:eastAsia="Times New Roman"/>
        </w:rPr>
        <w:t xml:space="preserve"> existing indicators. Moreover, summary indexes and indicators can be created to integrate the different variables of the impact chain into a unique value for each analytical category, enabling decision-makers or other actors to evaluate and compare, in a simplified way, the present risk and vulnerability in the territories of interest.</w:t>
      </w:r>
    </w:p>
    <w:p w14:paraId="1EF3460A" w14:textId="03FDEDB4" w:rsidR="00225D64" w:rsidRDefault="00225D64" w:rsidP="00225D64">
      <w:pPr>
        <w:spacing w:before="240" w:after="240" w:line="259" w:lineRule="auto"/>
        <w:jc w:val="both"/>
      </w:pPr>
      <w:r w:rsidRPr="00773A6E">
        <w:lastRenderedPageBreak/>
        <w:t xml:space="preserve"> </w:t>
      </w:r>
      <w:r w:rsidR="00592FB1" w:rsidRPr="00760FF8">
        <w:rPr>
          <w:noProof/>
          <w:lang w:val="es-CL" w:eastAsia="es-CL"/>
        </w:rPr>
        <w:drawing>
          <wp:inline distT="0" distB="0" distL="0" distR="0" wp14:anchorId="650D2395" wp14:editId="4F40CCCE">
            <wp:extent cx="5734050" cy="6048375"/>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6048375"/>
                    </a:xfrm>
                    <a:prstGeom prst="rect">
                      <a:avLst/>
                    </a:prstGeom>
                    <a:noFill/>
                    <a:ln>
                      <a:noFill/>
                    </a:ln>
                  </pic:spPr>
                </pic:pic>
              </a:graphicData>
            </a:graphic>
          </wp:inline>
        </w:drawing>
      </w:r>
    </w:p>
    <w:p w14:paraId="714F161E" w14:textId="21C2AB33" w:rsidR="00225D64" w:rsidRPr="00A606ED" w:rsidRDefault="00225D64" w:rsidP="006C4954">
      <w:pPr>
        <w:pStyle w:val="FigureorTableCaption"/>
        <w:rPr>
          <w:color w:val="202124"/>
          <w:sz w:val="42"/>
          <w:szCs w:val="42"/>
          <w:shd w:val="clear" w:color="auto" w:fill="F8F9FA"/>
        </w:rPr>
      </w:pPr>
      <w:r w:rsidRPr="003F0216">
        <w:rPr>
          <w:b/>
        </w:rPr>
        <w:t>Figure 2</w:t>
      </w:r>
      <w:r w:rsidRPr="00773A6E">
        <w:t>. Example of a nested Chain of Impacts that describes the components affecting the population's drinkable water security risk.</w:t>
      </w:r>
    </w:p>
    <w:p w14:paraId="6EB77176" w14:textId="6066756C" w:rsidR="002F3B11" w:rsidRDefault="002F3B11" w:rsidP="00C81368">
      <w:pPr>
        <w:pStyle w:val="Heading-Main"/>
      </w:pPr>
      <w:r>
        <w:t xml:space="preserve">4 </w:t>
      </w:r>
      <w:r w:rsidR="00A606ED">
        <w:t xml:space="preserve">Methods and Data </w:t>
      </w:r>
    </w:p>
    <w:p w14:paraId="6F6AFE4A" w14:textId="77777777" w:rsidR="002E5847" w:rsidRPr="002E5847" w:rsidRDefault="00A606ED" w:rsidP="002E5847">
      <w:pPr>
        <w:pStyle w:val="HTMLconformatoprevio"/>
        <w:rPr>
          <w:rFonts w:ascii="Times New Roman" w:hAnsi="Times New Roman" w:cs="Times New Roman"/>
          <w:highlight w:val="white"/>
          <w:lang w:val="en-US" w:eastAsia="en-US"/>
        </w:rPr>
      </w:pPr>
      <w:r w:rsidRPr="002E5847">
        <w:rPr>
          <w:rFonts w:ascii="Times New Roman" w:hAnsi="Times New Roman" w:cs="Times New Roman"/>
          <w:highlight w:val="white"/>
          <w:lang w:val="en-US" w:eastAsia="en-US"/>
        </w:rPr>
        <w:t>This paper employs a five-step methodology to evaluate the territorial hydric vulnerability, in accordance with the conceptual framework described in the previous section.</w:t>
      </w:r>
      <w:r w:rsidR="002E5847" w:rsidRPr="002E5847">
        <w:rPr>
          <w:rFonts w:ascii="Times New Roman" w:hAnsi="Times New Roman" w:cs="Times New Roman"/>
          <w:highlight w:val="white"/>
          <w:lang w:val="en-US" w:eastAsia="en-US"/>
        </w:rPr>
        <w:t xml:space="preserve"> The steps are numbered from 0 with the intention that steps 1-4 coincide with what is developed in sections 4.1 - 4.4.</w:t>
      </w:r>
    </w:p>
    <w:p w14:paraId="73FFA2CF" w14:textId="0C591893" w:rsidR="00A606ED" w:rsidRPr="00773A6E" w:rsidRDefault="00A606ED" w:rsidP="00584668">
      <w:pPr>
        <w:spacing w:before="240"/>
        <w:jc w:val="both"/>
        <w:rPr>
          <w:rFonts w:eastAsia="Times New Roman"/>
          <w:highlight w:val="white"/>
        </w:rPr>
      </w:pPr>
      <w:r w:rsidRPr="00773A6E">
        <w:rPr>
          <w:rFonts w:eastAsia="Times New Roman"/>
          <w:b/>
          <w:highlight w:val="white"/>
        </w:rPr>
        <w:t>0.</w:t>
      </w:r>
      <w:r w:rsidRPr="00773A6E">
        <w:rPr>
          <w:rFonts w:eastAsia="Times New Roman"/>
          <w:sz w:val="14"/>
          <w:szCs w:val="14"/>
          <w:highlight w:val="white"/>
        </w:rPr>
        <w:t xml:space="preserve">       </w:t>
      </w:r>
      <w:r w:rsidRPr="00773A6E">
        <w:rPr>
          <w:rFonts w:eastAsia="Times New Roman"/>
          <w:b/>
          <w:highlight w:val="white"/>
        </w:rPr>
        <w:t xml:space="preserve"> Define and conceptua</w:t>
      </w:r>
      <w:r>
        <w:rPr>
          <w:rFonts w:eastAsia="Times New Roman"/>
          <w:b/>
          <w:highlight w:val="white"/>
        </w:rPr>
        <w:t>lize the observed water service</w:t>
      </w:r>
      <w:r w:rsidRPr="00773A6E">
        <w:rPr>
          <w:rFonts w:eastAsia="Times New Roman"/>
          <w:b/>
          <w:highlight w:val="white"/>
        </w:rPr>
        <w:t>s:</w:t>
      </w:r>
      <w:r w:rsidR="00250971">
        <w:rPr>
          <w:rFonts w:eastAsia="Times New Roman"/>
          <w:highlight w:val="white"/>
        </w:rPr>
        <w:t xml:space="preserve"> </w:t>
      </w:r>
      <w:r w:rsidRPr="00773A6E">
        <w:rPr>
          <w:rFonts w:eastAsia="Times New Roman"/>
          <w:highlight w:val="white"/>
        </w:rPr>
        <w:t xml:space="preserve">Climate change may affect water security in several possible ways, depending on which kind of climate drivers and water services (and users) one considers and the scale of analysis </w:t>
      </w:r>
      <w:r w:rsidR="007579A3">
        <w:rPr>
          <w:rFonts w:eastAsia="Times New Roman"/>
          <w:highlight w:val="white"/>
        </w:rPr>
        <w:fldChar w:fldCharType="begin" w:fldLock="1"/>
      </w:r>
      <w:r w:rsidR="00A82EA7">
        <w:rPr>
          <w:rFonts w:eastAsia="Times New Roman"/>
          <w:highlight w:val="white"/>
        </w:rPr>
        <w:instrText>ADDIN CSL_CITATION {"citationItems":[{"id":"ITEM-1","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(CEPAL)","id":"ITEM-1","issued":{"date-parts":[["2020"]]},"number-of-pages":"133","title":"Seguridad hídrica y energética en América Latina y el Caribe Definición y aproximación territorial para el análisis Gracias por su interés en esta publicación de la CEPAL","type":"report"},"uris":["http://www.mendeley.com/documents/?uuid=6f1a197d-b9f3-4537-88d6-7224d575d724","http://www.mendeley.com/documents/?uuid=2d2877e3-dabf-4923-9c1c-f2dd59c5e2f6"]}],"mendeley":{"formattedCitation":"(Urquiza &amp; Billi, 2020)","plainTextFormattedCitation":"(Urquiza &amp; Billi, 2020)","previouslyFormattedCitation":"(Urquiza &amp; Billi, 2020)"},"properties":{"noteIndex":0},"schema":"https://github.com/citation-style-language/schema/raw/master/csl-citation.json"}</w:instrText>
      </w:r>
      <w:r w:rsidR="007579A3">
        <w:rPr>
          <w:rFonts w:eastAsia="Times New Roman"/>
          <w:highlight w:val="white"/>
        </w:rPr>
        <w:fldChar w:fldCharType="separate"/>
      </w:r>
      <w:r w:rsidR="00C060B1" w:rsidRPr="00C060B1">
        <w:rPr>
          <w:rFonts w:eastAsia="Times New Roman"/>
          <w:noProof/>
          <w:highlight w:val="white"/>
        </w:rPr>
        <w:t>(Urquiza &amp; Billi, 2020)</w:t>
      </w:r>
      <w:r w:rsidR="007579A3">
        <w:rPr>
          <w:rFonts w:eastAsia="Times New Roman"/>
          <w:highlight w:val="white"/>
        </w:rPr>
        <w:fldChar w:fldCharType="end"/>
      </w:r>
      <w:r w:rsidR="007579A3">
        <w:rPr>
          <w:rFonts w:eastAsia="Times New Roman"/>
          <w:highlight w:val="white"/>
        </w:rPr>
        <w:t xml:space="preserve">. </w:t>
      </w:r>
      <w:r w:rsidRPr="00773A6E">
        <w:rPr>
          <w:rFonts w:eastAsia="Times New Roman"/>
          <w:highlight w:val="white"/>
        </w:rPr>
        <w:t xml:space="preserve">Thus, the first step of the analysis implies defining which specific hazards and </w:t>
      </w:r>
      <w:r w:rsidRPr="00773A6E">
        <w:rPr>
          <w:rFonts w:eastAsia="Times New Roman"/>
          <w:highlight w:val="white"/>
        </w:rPr>
        <w:lastRenderedPageBreak/>
        <w:t>services are considered. This article focuses on the territorial water vulnerability of urban households drinking water provision. In the Gran Valparaíso conurbation, this service is mainly provided by the ESVAL water utility company.</w:t>
      </w:r>
    </w:p>
    <w:p w14:paraId="2C036861" w14:textId="7AD11A63" w:rsidR="00A606ED" w:rsidRPr="00773A6E" w:rsidRDefault="00A606ED" w:rsidP="00584668">
      <w:pPr>
        <w:spacing w:before="240"/>
        <w:jc w:val="both"/>
        <w:rPr>
          <w:rFonts w:eastAsia="Times New Roman"/>
          <w:highlight w:val="white"/>
        </w:rPr>
      </w:pPr>
      <w:r w:rsidRPr="00773A6E">
        <w:rPr>
          <w:rFonts w:eastAsia="Times New Roman"/>
          <w:b/>
          <w:highlight w:val="white"/>
        </w:rPr>
        <w:t>1.</w:t>
      </w:r>
      <w:r w:rsidRPr="00773A6E">
        <w:rPr>
          <w:rFonts w:eastAsia="Times New Roman"/>
          <w:sz w:val="14"/>
          <w:szCs w:val="14"/>
          <w:highlight w:val="white"/>
        </w:rPr>
        <w:t xml:space="preserve">       </w:t>
      </w:r>
      <w:r w:rsidRPr="00773A6E">
        <w:rPr>
          <w:rFonts w:eastAsia="Times New Roman"/>
          <w:b/>
          <w:highlight w:val="white"/>
        </w:rPr>
        <w:t xml:space="preserve"> Characterization of the system and its components and interrelationships:</w:t>
      </w:r>
      <w:r w:rsidR="00250971">
        <w:rPr>
          <w:rFonts w:eastAsia="Times New Roman"/>
          <w:highlight w:val="white"/>
        </w:rPr>
        <w:t xml:space="preserve"> </w:t>
      </w:r>
      <w:r w:rsidRPr="00773A6E">
        <w:rPr>
          <w:rFonts w:eastAsia="Times New Roman"/>
          <w:highlight w:val="white"/>
        </w:rPr>
        <w:t>After defining the service, the analysis should identify and characterize the key components and processes that interact in the technical, socio-cultural and ecological water systems that sustain the observed service (in this case, household-level water provision). A territorial characterization should then be performed, considering the ecological, technical and socio-cultural elements implied in the service provision. This step is addressed in subsection 4.1.</w:t>
      </w:r>
    </w:p>
    <w:p w14:paraId="2AD6C1BB" w14:textId="56AEAB46" w:rsidR="00A606ED" w:rsidRPr="00773A6E" w:rsidRDefault="00A606ED" w:rsidP="00584668">
      <w:pPr>
        <w:spacing w:before="240"/>
        <w:jc w:val="both"/>
        <w:rPr>
          <w:rFonts w:eastAsia="Times New Roman"/>
          <w:highlight w:val="white"/>
        </w:rPr>
      </w:pPr>
      <w:r w:rsidRPr="00773A6E">
        <w:rPr>
          <w:rFonts w:eastAsia="Times New Roman"/>
          <w:b/>
          <w:highlight w:val="white"/>
        </w:rPr>
        <w:t>2.</w:t>
      </w:r>
      <w:r w:rsidRPr="00773A6E">
        <w:rPr>
          <w:rFonts w:eastAsia="Times New Roman"/>
          <w:sz w:val="14"/>
          <w:szCs w:val="14"/>
          <w:highlight w:val="white"/>
        </w:rPr>
        <w:t xml:space="preserve">       </w:t>
      </w:r>
      <w:r w:rsidRPr="00773A6E">
        <w:rPr>
          <w:rFonts w:eastAsia="Times New Roman"/>
          <w:b/>
          <w:highlight w:val="white"/>
        </w:rPr>
        <w:t>Characterization of the risk components faced by the system</w:t>
      </w:r>
      <w:r w:rsidR="00250971">
        <w:rPr>
          <w:rFonts w:eastAsia="Times New Roman"/>
          <w:b/>
          <w:highlight w:val="white"/>
        </w:rPr>
        <w:t>:</w:t>
      </w:r>
      <w:r w:rsidR="00250971">
        <w:rPr>
          <w:rFonts w:eastAsia="Times New Roman"/>
          <w:highlight w:val="white"/>
        </w:rPr>
        <w:t xml:space="preserve"> </w:t>
      </w:r>
      <w:r w:rsidRPr="00773A6E">
        <w:rPr>
          <w:rFonts w:eastAsia="Times New Roman"/>
          <w:highlight w:val="white"/>
        </w:rPr>
        <w:t xml:space="preserve">Once the system has been defined, we build an impact chain illustrating how climate change may be impacting the system. First, we identify the key climatic hazards which may have an impact on the service and the components of the system which may be exposed to </w:t>
      </w:r>
      <w:r w:rsidR="0078540A">
        <w:rPr>
          <w:rFonts w:eastAsia="Times New Roman"/>
          <w:highlight w:val="white"/>
        </w:rPr>
        <w:t>those</w:t>
      </w:r>
      <w:r w:rsidRPr="00773A6E">
        <w:rPr>
          <w:rFonts w:eastAsia="Times New Roman"/>
          <w:highlight w:val="white"/>
        </w:rPr>
        <w:t xml:space="preserve"> hazards. This allows us to distinguish the direct and intermediate impacts of the selected hazards</w:t>
      </w:r>
      <w:r w:rsidR="0078540A">
        <w:rPr>
          <w:rFonts w:eastAsia="Times New Roman"/>
          <w:highlight w:val="white"/>
        </w:rPr>
        <w:t>,</w:t>
      </w:r>
      <w:r w:rsidRPr="00773A6E">
        <w:rPr>
          <w:rFonts w:eastAsia="Times New Roman"/>
          <w:highlight w:val="white"/>
        </w:rPr>
        <w:t xml:space="preserve"> on the system and the service it provides. Then, we characterize the main factors explaining the </w:t>
      </w:r>
      <w:r>
        <w:rPr>
          <w:rFonts w:eastAsia="Times New Roman"/>
          <w:highlight w:val="white"/>
        </w:rPr>
        <w:t>system’s sensitivity</w:t>
      </w:r>
      <w:r w:rsidRPr="00773A6E">
        <w:rPr>
          <w:rFonts w:eastAsia="Times New Roman"/>
          <w:highlight w:val="white"/>
        </w:rPr>
        <w:t xml:space="preserve"> and its components: particularly, we identify the technical and sociocultural conditions that affect the drinkable water service and those of response capacity in terms of the system’s flexibility. This step is addressed in the impact chain subsection (4.2)</w:t>
      </w:r>
      <w:r w:rsidR="0078540A">
        <w:rPr>
          <w:rFonts w:eastAsia="Times New Roman"/>
          <w:highlight w:val="white"/>
        </w:rPr>
        <w:t>.</w:t>
      </w:r>
    </w:p>
    <w:p w14:paraId="347514ED" w14:textId="59B3A678" w:rsidR="00A606ED" w:rsidRPr="00773A6E" w:rsidRDefault="00A606ED" w:rsidP="00584668">
      <w:pPr>
        <w:spacing w:before="240"/>
        <w:jc w:val="both"/>
        <w:rPr>
          <w:rFonts w:eastAsia="Times New Roman"/>
          <w:highlight w:val="white"/>
        </w:rPr>
      </w:pPr>
      <w:r w:rsidRPr="00773A6E">
        <w:rPr>
          <w:rFonts w:eastAsia="Times New Roman"/>
          <w:b/>
          <w:highlight w:val="white"/>
        </w:rPr>
        <w:t>3.</w:t>
      </w:r>
      <w:r w:rsidRPr="00773A6E">
        <w:rPr>
          <w:rFonts w:eastAsia="Times New Roman"/>
          <w:sz w:val="14"/>
          <w:szCs w:val="14"/>
          <w:highlight w:val="white"/>
        </w:rPr>
        <w:t xml:space="preserve">       </w:t>
      </w:r>
      <w:r w:rsidRPr="00773A6E">
        <w:rPr>
          <w:rFonts w:eastAsia="Times New Roman"/>
          <w:b/>
          <w:highlight w:val="white"/>
        </w:rPr>
        <w:t>Description of the Territorial Water Vulnerability and risk:</w:t>
      </w:r>
      <w:r w:rsidR="00250971">
        <w:rPr>
          <w:rFonts w:eastAsia="Times New Roman"/>
          <w:highlight w:val="white"/>
        </w:rPr>
        <w:t xml:space="preserve"> </w:t>
      </w:r>
      <w:r w:rsidRPr="00773A6E">
        <w:rPr>
          <w:rFonts w:eastAsia="Times New Roman"/>
          <w:highlight w:val="white"/>
        </w:rPr>
        <w:t>As a result of the integration of sensitivity and response capacity indicators, the hydric vulnerability of the observed territory can be estimated. To get a risk assessment, this vulnerability should be complemented with hazard and exposure analyses. In this study, only TWV and exposure is described due to the difficulty of differentiating the hazards at the analysis resolution, which considers units of the same hydrographic basin provided with drinkable water from the same technical system. In subsection 4.3, the integration of the sensitivity and response capacity indicators on a single TWV index is addressed</w:t>
      </w:r>
      <w:r w:rsidR="00160691">
        <w:rPr>
          <w:rFonts w:eastAsia="Times New Roman"/>
          <w:highlight w:val="white"/>
        </w:rPr>
        <w:t>.</w:t>
      </w:r>
    </w:p>
    <w:p w14:paraId="351BE78B" w14:textId="397A2B29" w:rsidR="00A606ED" w:rsidRPr="00773A6E" w:rsidRDefault="00A606ED" w:rsidP="00584668">
      <w:pPr>
        <w:spacing w:before="240"/>
        <w:jc w:val="both"/>
        <w:rPr>
          <w:rFonts w:eastAsia="Times New Roman"/>
          <w:highlight w:val="white"/>
        </w:rPr>
      </w:pPr>
      <w:r>
        <w:rPr>
          <w:rFonts w:eastAsia="Times New Roman"/>
          <w:b/>
          <w:highlight w:val="white"/>
        </w:rPr>
        <w:t>4.</w:t>
      </w:r>
      <w:r>
        <w:rPr>
          <w:rFonts w:eastAsia="Times New Roman"/>
          <w:sz w:val="14"/>
          <w:szCs w:val="14"/>
          <w:highlight w:val="white"/>
        </w:rPr>
        <w:t xml:space="preserve">       </w:t>
      </w:r>
      <w:r>
        <w:rPr>
          <w:rFonts w:eastAsia="Times New Roman"/>
          <w:b/>
          <w:highlight w:val="white"/>
        </w:rPr>
        <w:t xml:space="preserve"> Interpretation of the results:</w:t>
      </w:r>
      <w:r w:rsidR="00250971">
        <w:rPr>
          <w:rFonts w:eastAsia="Times New Roman"/>
          <w:highlight w:val="white"/>
        </w:rPr>
        <w:t xml:space="preserve"> </w:t>
      </w:r>
      <w:r w:rsidRPr="00773A6E">
        <w:rPr>
          <w:rFonts w:eastAsia="Times New Roman"/>
          <w:highlight w:val="white"/>
        </w:rPr>
        <w:t xml:space="preserve">Considering the scale of the information used in the previous stage, different multiscale relationships of the TWV indicators that define the water risk can be established, allowing the development of specific and efficient strategies for aboard the TWV. In section 4.4, a cluster analysis approach is described. </w:t>
      </w:r>
    </w:p>
    <w:p w14:paraId="0A8E81BC" w14:textId="77777777" w:rsidR="00A606ED" w:rsidRPr="00773A6E" w:rsidRDefault="00A606ED" w:rsidP="00A606ED">
      <w:pPr>
        <w:spacing w:after="160" w:line="259" w:lineRule="auto"/>
        <w:jc w:val="both"/>
        <w:rPr>
          <w:rFonts w:eastAsia="Times New Roman"/>
          <w:highlight w:val="white"/>
        </w:rPr>
      </w:pPr>
    </w:p>
    <w:p w14:paraId="1813D2A8" w14:textId="77777777" w:rsidR="00A606ED" w:rsidRPr="00773A6E" w:rsidRDefault="00A606ED" w:rsidP="00A606ED">
      <w:pPr>
        <w:pStyle w:val="Heading-Secondary"/>
      </w:pPr>
      <w:bookmarkStart w:id="1" w:name="_heading=h.2et92p0" w:colFirst="0" w:colLast="0"/>
      <w:bookmarkEnd w:id="1"/>
      <w:r w:rsidRPr="00773A6E">
        <w:rPr>
          <w:highlight w:val="white"/>
        </w:rPr>
        <w:t xml:space="preserve">4.1 </w:t>
      </w:r>
      <w:r w:rsidRPr="00773A6E">
        <w:t>Study Area</w:t>
      </w:r>
    </w:p>
    <w:p w14:paraId="4B8523D7" w14:textId="0D73C129" w:rsidR="00A606ED" w:rsidRPr="00773A6E" w:rsidRDefault="00A606ED" w:rsidP="00A606ED">
      <w:pPr>
        <w:spacing w:before="240"/>
        <w:jc w:val="both"/>
        <w:rPr>
          <w:rFonts w:eastAsia="Times New Roman"/>
          <w:highlight w:val="white"/>
        </w:rPr>
      </w:pPr>
      <w:r w:rsidRPr="00773A6E">
        <w:rPr>
          <w:rFonts w:eastAsia="Times New Roman"/>
          <w:highlight w:val="white"/>
        </w:rPr>
        <w:t>Gran Valparaíso (33°03′S 71°37′W) is a Metropolitan Area located in the Valparaíso Region, Chile. It is the main urban settlement in the region and integrates the communes</w:t>
      </w:r>
      <w:r w:rsidRPr="00773A6E">
        <w:rPr>
          <w:rFonts w:ascii="Calibri" w:hAnsi="Calibri" w:cs="Calibri"/>
          <w:highlight w:val="white"/>
        </w:rPr>
        <w:t xml:space="preserve"> </w:t>
      </w:r>
      <w:r w:rsidRPr="00773A6E">
        <w:rPr>
          <w:rFonts w:eastAsia="Times New Roman"/>
          <w:highlight w:val="white"/>
        </w:rPr>
        <w:t>of Quilpué, Villa Alemana, Valparaíso, Viña del Mar and Concón</w:t>
      </w:r>
      <w:r>
        <w:rPr>
          <w:rFonts w:eastAsia="Times New Roman"/>
          <w:highlight w:val="white"/>
        </w:rPr>
        <w:t xml:space="preserve"> (</w:t>
      </w:r>
      <w:r w:rsidRPr="00265466">
        <w:rPr>
          <w:rFonts w:eastAsia="Times New Roman"/>
          <w:highlight w:val="white"/>
        </w:rPr>
        <w:t>The commune is the smallest administrative and territorial unit in Chile and is equivalent to what is known in other countries as a municipality)</w:t>
      </w:r>
      <w:r w:rsidRPr="00773A6E">
        <w:rPr>
          <w:rFonts w:eastAsia="Times New Roman"/>
          <w:highlight w:val="white"/>
        </w:rPr>
        <w:t xml:space="preserve">. According to the National Institute of Statistics, it has 951,150 inhabitants distributed over ​​402 km2, representing 6% of the country’s total population. The drinking </w:t>
      </w:r>
      <w:r w:rsidRPr="00265466">
        <w:rPr>
          <w:rFonts w:eastAsia="Times New Roman"/>
          <w:highlight w:val="white"/>
        </w:rPr>
        <w:t>water</w:t>
      </w:r>
      <w:r w:rsidRPr="00773A6E">
        <w:rPr>
          <w:rFonts w:eastAsia="Times New Roman"/>
          <w:highlight w:val="white"/>
        </w:rPr>
        <w:t xml:space="preserve"> production and distribution, as well as the wastewater treatment, is managed by the private water utility company ESVAL S.A in his "Gran Valparaíso" System that integrates eight locations: Valparaíso, Placilla de Peñuelas, Curauma, Viña del Mar, Reñaca, Concón, Quilpué and Villa Alemana (figure 3).</w:t>
      </w:r>
    </w:p>
    <w:p w14:paraId="4DBCBA68" w14:textId="6A888C53" w:rsidR="00A606ED" w:rsidRPr="00773A6E" w:rsidRDefault="00A606ED" w:rsidP="00A606ED">
      <w:pPr>
        <w:spacing w:before="240"/>
        <w:jc w:val="both"/>
        <w:rPr>
          <w:rFonts w:eastAsia="Times New Roman"/>
          <w:highlight w:val="white"/>
        </w:rPr>
      </w:pPr>
      <w:r w:rsidRPr="00773A6E">
        <w:rPr>
          <w:rFonts w:eastAsia="Times New Roman"/>
          <w:highlight w:val="white"/>
        </w:rPr>
        <w:t>The water supply system is integrated by 42 raw water collection points (5 surface water sources, which represent 59% of total production and 37 underground water sources), four production facilities and 151 distribution reservoirs present in the eight localities, which supply 376,010 clients (at 2019), distributed in 2,655 barracks</w:t>
      </w:r>
      <w:r>
        <w:rPr>
          <w:rFonts w:eastAsia="Times New Roman"/>
          <w:highlight w:val="white"/>
        </w:rPr>
        <w:t xml:space="preserve"> (</w:t>
      </w:r>
      <w:r w:rsidRPr="00265466">
        <w:rPr>
          <w:rFonts w:eastAsia="Times New Roman"/>
          <w:highlight w:val="white"/>
        </w:rPr>
        <w:t xml:space="preserve">the smallest territorial unit of the water utility </w:t>
      </w:r>
      <w:r w:rsidR="00265466" w:rsidRPr="00265466">
        <w:rPr>
          <w:rFonts w:eastAsia="Times New Roman"/>
          <w:highlight w:val="white"/>
        </w:rPr>
        <w:t xml:space="preserve">company and corresponds to the </w:t>
      </w:r>
      <w:r w:rsidRPr="00265466">
        <w:rPr>
          <w:rFonts w:eastAsia="Times New Roman"/>
          <w:highlight w:val="white"/>
        </w:rPr>
        <w:t>sector of the distribution network in which the supply of Potable Water can be temporarily suspended, without affecting the general supply</w:t>
      </w:r>
      <w:r w:rsidR="00265466" w:rsidRPr="00265466">
        <w:rPr>
          <w:rFonts w:eastAsia="Times New Roman"/>
          <w:highlight w:val="white"/>
        </w:rPr>
        <w:t>)</w:t>
      </w:r>
      <w:r w:rsidRPr="00265466">
        <w:rPr>
          <w:rFonts w:eastAsia="Times New Roman"/>
          <w:highlight w:val="white"/>
        </w:rPr>
        <w:t>.</w:t>
      </w:r>
      <w:r w:rsidRPr="00773A6E">
        <w:rPr>
          <w:rFonts w:eastAsia="Times New Roman"/>
          <w:highlight w:val="white"/>
        </w:rPr>
        <w:t xml:space="preserve"> Despite </w:t>
      </w:r>
      <w:r w:rsidR="00265466">
        <w:rPr>
          <w:rFonts w:eastAsia="Times New Roman"/>
          <w:highlight w:val="white"/>
        </w:rPr>
        <w:t xml:space="preserve">the </w:t>
      </w:r>
      <w:r w:rsidRPr="00773A6E">
        <w:rPr>
          <w:rFonts w:eastAsia="Times New Roman"/>
          <w:highlight w:val="white"/>
        </w:rPr>
        <w:t>many collection points, 76% of the water supply comes from 4 sources on the Aconcagua River (figure 3). Thu</w:t>
      </w:r>
      <w:r w:rsidR="00F81302">
        <w:rPr>
          <w:rFonts w:eastAsia="Times New Roman"/>
          <w:highlight w:val="white"/>
        </w:rPr>
        <w:t>s</w:t>
      </w:r>
      <w:r w:rsidR="00896F5C">
        <w:rPr>
          <w:rFonts w:eastAsia="Times New Roman"/>
          <w:highlight w:val="white"/>
        </w:rPr>
        <w:t xml:space="preserve"> the river’s water availability </w:t>
      </w:r>
      <w:r w:rsidRPr="00773A6E">
        <w:rPr>
          <w:rFonts w:eastAsia="Times New Roman"/>
          <w:highlight w:val="white"/>
        </w:rPr>
        <w:t>is essential to maintaining an effective drinking water supply in the Gran Valparaíso system.</w:t>
      </w:r>
    </w:p>
    <w:p w14:paraId="5C4816AC" w14:textId="24F13A3B" w:rsidR="00A606ED" w:rsidRPr="00773A6E" w:rsidRDefault="00A606ED" w:rsidP="00A606ED">
      <w:pPr>
        <w:spacing w:before="240"/>
        <w:jc w:val="both"/>
        <w:rPr>
          <w:rFonts w:eastAsia="Times New Roman"/>
          <w:highlight w:val="white"/>
        </w:rPr>
      </w:pPr>
      <w:r w:rsidRPr="00773A6E">
        <w:rPr>
          <w:rFonts w:eastAsia="Times New Roman"/>
          <w:highlight w:val="white"/>
        </w:rPr>
        <w:t>The Aconcagua river has a snow-rain-fed fluvial regime, with an annual mean flow of 33 m</w:t>
      </w:r>
      <w:r w:rsidRPr="00773A6E">
        <w:rPr>
          <w:rFonts w:eastAsia="Times New Roman"/>
          <w:highlight w:val="white"/>
          <w:vertAlign w:val="superscript"/>
        </w:rPr>
        <w:t>3</w:t>
      </w:r>
      <w:r w:rsidRPr="00773A6E">
        <w:rPr>
          <w:rFonts w:eastAsia="Times New Roman"/>
          <w:highlight w:val="white"/>
        </w:rPr>
        <w:t>/S and 14.5 m</w:t>
      </w:r>
      <w:r w:rsidRPr="00773A6E">
        <w:rPr>
          <w:rFonts w:eastAsia="Times New Roman"/>
          <w:highlight w:val="white"/>
          <w:vertAlign w:val="superscript"/>
        </w:rPr>
        <w:t>3</w:t>
      </w:r>
      <w:r w:rsidRPr="00773A6E">
        <w:rPr>
          <w:rFonts w:eastAsia="Times New Roman"/>
          <w:highlight w:val="white"/>
        </w:rPr>
        <w:t xml:space="preserve">/s standard deviations </w:t>
      </w:r>
      <w:r w:rsidR="007579A3">
        <w:rPr>
          <w:rFonts w:eastAsia="Times New Roman"/>
          <w:highlight w:val="white"/>
        </w:rPr>
        <w:fldChar w:fldCharType="begin" w:fldLock="1"/>
      </w:r>
      <w:r w:rsidR="00E700C0">
        <w:rPr>
          <w:rFonts w:eastAsia="Times New Roman"/>
          <w:highlight w:val="white"/>
        </w:rPr>
        <w:instrText>ADDIN CSL_CITATION {"citationItems":[{"id":"ITEM-1","itemData":{"URL":"https://explorador.cr2.cl/","accessed":{"date-parts":[["2022","9","5"]]},"author":[{"dropping-particle":"","family":"CR2","given":"","non-dropping-particle":"","parse-names":false,"suffix":""}],"id":"ITEM-1","issued":{"date-parts":[["0"]]},"title":"Climate explorer","type":"webpage"},"uris":["http://www.mendeley.com/documents/?uuid=c61d3a01-140d-4051-8e0b-876f9f8c79e5","http://www.mendeley.com/documents/?uuid=434e2a93-bf44-4247-95c7-0de03a6a1655"]}],"mendeley":{"formattedCitation":"(CR2, n.d.)","manualFormatting":"(CR2, Climate Explorer)","plainTextFormattedCitation":"(CR2, n.d.)","previouslyFormattedCitation":"(CR2, n.d.)"},"properties":{"noteIndex":0},"schema":"https://github.com/citation-style-language/schema/raw/master/csl-citation.json"}</w:instrText>
      </w:r>
      <w:r w:rsidR="007579A3">
        <w:rPr>
          <w:rFonts w:eastAsia="Times New Roman"/>
          <w:highlight w:val="white"/>
        </w:rPr>
        <w:fldChar w:fldCharType="separate"/>
      </w:r>
      <w:r w:rsidR="007579A3">
        <w:rPr>
          <w:rFonts w:eastAsia="Times New Roman"/>
          <w:noProof/>
          <w:highlight w:val="white"/>
        </w:rPr>
        <w:t>(CR2, Climate Explorer</w:t>
      </w:r>
      <w:r w:rsidR="007579A3" w:rsidRPr="007579A3">
        <w:rPr>
          <w:rFonts w:eastAsia="Times New Roman"/>
          <w:noProof/>
          <w:highlight w:val="white"/>
        </w:rPr>
        <w:t>)</w:t>
      </w:r>
      <w:r w:rsidR="007579A3">
        <w:rPr>
          <w:rFonts w:eastAsia="Times New Roman"/>
          <w:highlight w:val="white"/>
        </w:rPr>
        <w:fldChar w:fldCharType="end"/>
      </w:r>
      <w:r w:rsidR="00F81302">
        <w:rPr>
          <w:rFonts w:eastAsia="Times New Roman"/>
          <w:highlight w:val="white"/>
        </w:rPr>
        <w:t xml:space="preserve"> </w:t>
      </w:r>
      <w:r w:rsidRPr="00773A6E">
        <w:rPr>
          <w:rFonts w:eastAsia="Times New Roman"/>
          <w:highlight w:val="white"/>
        </w:rPr>
        <w:t xml:space="preserve">characterized by considerable flow fluctuations during the year, with maximum flows in the warm season due mainly to snow feeding. However, in the last decade, the river has presented an alarming decrease, registering a minimum flow of 2.7 M3/s at the Romeral Station in 2019 </w:t>
      </w:r>
      <w:r w:rsidR="007579A3">
        <w:rPr>
          <w:rFonts w:eastAsia="Times New Roman"/>
          <w:highlight w:val="white"/>
        </w:rPr>
        <w:fldChar w:fldCharType="begin" w:fldLock="1"/>
      </w:r>
      <w:r w:rsidR="00A82EA7">
        <w:rPr>
          <w:rFonts w:eastAsia="Times New Roman"/>
          <w:highlight w:val="white"/>
        </w:rPr>
        <w:instrText>ADDIN CSL_CITATION {"citationItems":[{"id":"ITEM-1","itemData":{"author":[{"dropping-particle":"","family":"Carvallo","given":"Cristian Raggio","non-dropping-particle":"","parse-names":false,"suffix":""},{"dropping-particle":"","family":"González","given":"Patricio Herrera","non-dropping-particle":"","parse-names":false,"suffix":""}],"container-title":"Universidad de Valparaíso","id":"ITEM-1","issued":{"date-parts":[["2020"]]},"page":"1-26","title":"La gestión del agua en la región de valparaíso","type":"article-journal","volume":"3"},"uris":["http://www.mendeley.com/documents/?uuid=de52ff1e-d877-47a7-81ee-bd198c7b3536","http://www.mendeley.com/documents/?uuid=1ad1950a-f19d-4306-b0c4-4d0f350390c2"]}],"mendeley":{"formattedCitation":"(Carvallo &amp; González, 2020)","plainTextFormattedCitation":"(Carvallo &amp; González, 2020)","previouslyFormattedCitation":"(Carvallo &amp; González, 2020)"},"properties":{"noteIndex":0},"schema":"https://github.com/citation-style-language/schema/raw/master/csl-citation.json"}</w:instrText>
      </w:r>
      <w:r w:rsidR="007579A3">
        <w:rPr>
          <w:rFonts w:eastAsia="Times New Roman"/>
          <w:highlight w:val="white"/>
        </w:rPr>
        <w:fldChar w:fldCharType="separate"/>
      </w:r>
      <w:r w:rsidR="007579A3" w:rsidRPr="007579A3">
        <w:rPr>
          <w:rFonts w:eastAsia="Times New Roman"/>
          <w:noProof/>
          <w:highlight w:val="white"/>
        </w:rPr>
        <w:t>(Carvallo &amp; González, 2020)</w:t>
      </w:r>
      <w:r w:rsidR="007579A3">
        <w:rPr>
          <w:rFonts w:eastAsia="Times New Roman"/>
          <w:highlight w:val="white"/>
        </w:rPr>
        <w:fldChar w:fldCharType="end"/>
      </w:r>
      <w:r w:rsidR="007579A3">
        <w:rPr>
          <w:rFonts w:eastAsia="Times New Roman"/>
          <w:highlight w:val="white"/>
        </w:rPr>
        <w:t xml:space="preserve">. </w:t>
      </w:r>
      <w:r w:rsidRPr="00773A6E">
        <w:rPr>
          <w:rFonts w:eastAsia="Times New Roman"/>
          <w:highlight w:val="white"/>
        </w:rPr>
        <w:t xml:space="preserve">At least two reasons explain this situation. The first one is associated with the drying trend observed in meteorological variables (precipitation and temperature) that has led to severe drought conditions affecting central Chile since 2010 </w:t>
      </w:r>
      <w:r w:rsidR="007579A3">
        <w:rPr>
          <w:rFonts w:eastAsia="Times New Roman"/>
          <w:highlight w:val="white"/>
        </w:rPr>
        <w:fldChar w:fldCharType="begin" w:fldLock="1"/>
      </w:r>
      <w:r w:rsidR="00A82EA7">
        <w:rPr>
          <w:rFonts w:eastAsia="Times New Roman"/>
          <w:highlight w:val="white"/>
        </w:rPr>
        <w:instrText>ADDIN CSL_CITATION {"citationItems":[{"id":"ITEM-1","itemData":{"DOI":"10.5194/hess-21-6307-2017","ISSN":"16077938","abstract":"Since 2010 an uninterrupted sequence of dry years, with annual rainfall deficits ranging from 25 to 45 %, has prevailed in central Chile (western South America, 30-38° S). Although intense 1- or 2-year droughts are recurrent in this Mediterranean-like region, the ongoing event stands out because of its longevity and large extent. The extraordinary character of the so-called central Chile megadrought (MD) was established against century long historical records and a millennial tree-ring reconstruction of regional precipitation. The largest MD-averaged rainfall relative anomalies occurred in the northern, semi-arid sector of central Chile, but the event was unprecedented to the south of 35° S. ENSO-neutral conditions have prevailed since 2011 (except for the strong El Niño in 2015), contrasting with La Niña conditions that often accompanied past droughts. The precipitation deficit diminished the Andean snowpack and resulted in amplified declines (up to 90 %) of river flow, reservoir volumes and groundwater levels along central Chile and westernmost Argentina. In some semi-arid basins we found a decrease in the runoff-to-rainfall coefficient. A substantial decrease in vegetation productivity occurred in the shrubland-dominated, northern sector, but a mix of greening and browning patches occurred farther south, where irrigated croplands and exotic forest plantations dominate. The ongoing warming in central Chile, making the MD one of the warmest 6-year periods on record, may have also contributed to such complex vegetation changes by increasing potential evapotranspiration. We also report some of the measures taken by the central government to relieve the MD effects and the public perception of this event. The understanding of the nature and biophysical impacts of the MD helps as a foundation for preparedness efforts to confront a dry, warm future regional climate scenario.","author":[{"dropping-particle":"","family":"Garreaud","given":"René D.","non-dropping-particle":"","parse-names":false,"suffix":""},{"dropping-particle":"","family":"Alvarez-Garreton","given":"Camila","non-dropping-particle":"","parse-names":false,"suffix":""},{"dropping-particle":"","family":"Barichivich","given":"Jonathan","non-dropping-particle":"","parse-names":false,"suffix":""},{"dropping-particle":"","family":"Pablo Boisier","given":"Juan","non-dropping-particle":"","parse-names":false,"suffix":""},{"dropping-particle":"","family":"Christie","given":"Duncan","non-dropping-particle":"","parse-names":false,"suffix":""},{"dropping-particle":"","family":"Galleguillos","given":"Mauricio","non-dropping-particle":"","parse-names":false,"suffix":""},{"dropping-particle":"","family":"LeQuesne","given":"Carlos","non-dropping-particle":"","parse-names":false,"suffix":""},{"dropping-particle":"","family":"McPhee","given":"James","non-dropping-particle":"","parse-names":false,"suffix":""},{"dropping-particle":"","family":"Zambrano-Bigiarini","given":"Mauricio","non-dropping-particle":"","parse-names":false,"suffix":""}],"container-title":"Hydrology and Earth System Sciences","id":"ITEM-1","issue":"12","issued":{"date-parts":[["2017"]]},"page":"6307-6327","title":"The 2010-2015 megadrought in central Chile: Impacts on regional hydroclimate and vegetation","type":"article-journal","volume":"21"},"uris":["http://www.mendeley.com/documents/?uuid=06a57c67-30ec-44dc-b692-d8bc489d0583","http://www.mendeley.com/documents/?uuid=adcd8504-721c-455d-89c9-bd30c47c3bd6"]}],"mendeley":{"formattedCitation":"(Garreaud et al., 2017)","plainTextFormattedCitation":"(Garreaud et al., 2017)","previouslyFormattedCitation":"(Garreaud et al., 2017)"},"properties":{"noteIndex":0},"schema":"https://github.com/citation-style-language/schema/raw/master/csl-citation.json"}</w:instrText>
      </w:r>
      <w:r w:rsidR="007579A3">
        <w:rPr>
          <w:rFonts w:eastAsia="Times New Roman"/>
          <w:highlight w:val="white"/>
        </w:rPr>
        <w:fldChar w:fldCharType="separate"/>
      </w:r>
      <w:r w:rsidR="007579A3" w:rsidRPr="007579A3">
        <w:rPr>
          <w:rFonts w:eastAsia="Times New Roman"/>
          <w:noProof/>
          <w:highlight w:val="white"/>
        </w:rPr>
        <w:t>(Garreaud et al., 2017)</w:t>
      </w:r>
      <w:r w:rsidR="007579A3">
        <w:rPr>
          <w:rFonts w:eastAsia="Times New Roman"/>
          <w:highlight w:val="white"/>
        </w:rPr>
        <w:fldChar w:fldCharType="end"/>
      </w:r>
      <w:r w:rsidR="00F81302">
        <w:rPr>
          <w:rFonts w:eastAsia="Times New Roman"/>
          <w:highlight w:val="white"/>
        </w:rPr>
        <w:t>.</w:t>
      </w:r>
      <w:r w:rsidR="007579A3">
        <w:rPr>
          <w:rFonts w:eastAsia="Times New Roman"/>
          <w:highlight w:val="white"/>
        </w:rPr>
        <w:t xml:space="preserve"> </w:t>
      </w:r>
      <w:r w:rsidRPr="00773A6E">
        <w:rPr>
          <w:rFonts w:eastAsia="Times New Roman"/>
          <w:highlight w:val="white"/>
        </w:rPr>
        <w:t xml:space="preserve">This so-called ‘mega-drought’ has induced average streamflow deficits of 70% in the rivers </w:t>
      </w:r>
      <w:r w:rsidRPr="00773A6E">
        <w:rPr>
          <w:rFonts w:eastAsia="Times New Roman"/>
          <w:highlight w:val="white"/>
        </w:rPr>
        <w:lastRenderedPageBreak/>
        <w:t>located in the Valparaiso region and has affected the water regime by increasing the participation of glacier runoff contributions to the basin.</w:t>
      </w:r>
    </w:p>
    <w:p w14:paraId="549ABE18" w14:textId="0E58B096" w:rsidR="00A606ED" w:rsidRPr="00773A6E" w:rsidRDefault="00A606ED" w:rsidP="00A606ED">
      <w:pPr>
        <w:spacing w:before="240"/>
        <w:jc w:val="both"/>
        <w:rPr>
          <w:rFonts w:eastAsia="Times New Roman"/>
          <w:highlight w:val="white"/>
        </w:rPr>
      </w:pPr>
      <w:r w:rsidRPr="00773A6E">
        <w:rPr>
          <w:rFonts w:eastAsia="Times New Roman"/>
          <w:highlight w:val="white"/>
        </w:rPr>
        <w:t>The second reason refers to the water overexploitation in the Aconcagua basin along its entire course, given the high water demand by productive mining activities in the upper part of the basin and agricultural activities</w:t>
      </w:r>
      <w:r w:rsidR="007579A3">
        <w:rPr>
          <w:rFonts w:eastAsia="Times New Roman"/>
          <w:highlight w:val="white"/>
        </w:rPr>
        <w:t xml:space="preserve"> in the middle and lower parts </w:t>
      </w:r>
      <w:r w:rsidR="007579A3">
        <w:rPr>
          <w:rFonts w:eastAsia="Times New Roman"/>
          <w:highlight w:val="white"/>
        </w:rPr>
        <w:fldChar w:fldCharType="begin" w:fldLock="1"/>
      </w:r>
      <w:r w:rsidR="00A82EA7">
        <w:rPr>
          <w:rFonts w:eastAsia="Times New Roman"/>
          <w:highlight w:val="white"/>
        </w:rPr>
        <w:instrText>ADDIN CSL_CITATION {"citationItems":[{"id":"ITEM-1","itemData":{"author":[{"dropping-particle":"","family":"Carvallo","given":"Cristian Raggio","non-dropping-particle":"","parse-names":false,"suffix":""},{"dropping-particle":"","family":"González","given":"Patricio Herrera","non-dropping-particle":"","parse-names":false,"suffix":""}],"container-title":"Universidad de Valparaíso","id":"ITEM-1","issued":{"date-parts":[["2020"]]},"page":"1-26","title":"La gestión del agua en la región de valparaíso","type":"article-journal","volume":"3"},"uris":["http://www.mendeley.com/documents/?uuid=1ad1950a-f19d-4306-b0c4-4d0f350390c2","http://www.mendeley.com/documents/?uuid=de52ff1e-d877-47a7-81ee-bd198c7b3536"]}],"mendeley":{"formattedCitation":"(Carvallo &amp; González, 2020)","plainTextFormattedCitation":"(Carvallo &amp; González, 2020)","previouslyFormattedCitation":"(Carvallo &amp; González, 2020)"},"properties":{"noteIndex":0},"schema":"https://github.com/citation-style-language/schema/raw/master/csl-citation.json"}</w:instrText>
      </w:r>
      <w:r w:rsidR="007579A3">
        <w:rPr>
          <w:rFonts w:eastAsia="Times New Roman"/>
          <w:highlight w:val="white"/>
        </w:rPr>
        <w:fldChar w:fldCharType="separate"/>
      </w:r>
      <w:r w:rsidR="007579A3" w:rsidRPr="007579A3">
        <w:rPr>
          <w:rFonts w:eastAsia="Times New Roman"/>
          <w:noProof/>
          <w:highlight w:val="white"/>
        </w:rPr>
        <w:t>(Carvallo &amp; González, 2020)</w:t>
      </w:r>
      <w:r w:rsidR="007579A3">
        <w:rPr>
          <w:rFonts w:eastAsia="Times New Roman"/>
          <w:highlight w:val="white"/>
        </w:rPr>
        <w:fldChar w:fldCharType="end"/>
      </w:r>
      <w:r w:rsidR="007579A3">
        <w:rPr>
          <w:rFonts w:eastAsia="Times New Roman"/>
          <w:highlight w:val="white"/>
        </w:rPr>
        <w:t>.</w:t>
      </w:r>
    </w:p>
    <w:p w14:paraId="4F7B70FD" w14:textId="0017BECE" w:rsidR="00A606ED" w:rsidRPr="00773A6E" w:rsidRDefault="00A606ED" w:rsidP="00A606ED">
      <w:pPr>
        <w:spacing w:before="240"/>
        <w:jc w:val="both"/>
        <w:rPr>
          <w:rFonts w:eastAsia="Times New Roman"/>
          <w:highlight w:val="white"/>
        </w:rPr>
      </w:pPr>
      <w:r w:rsidRPr="00773A6E">
        <w:rPr>
          <w:rFonts w:eastAsia="Times New Roman"/>
          <w:highlight w:val="white"/>
        </w:rPr>
        <w:t xml:space="preserve">The low river flows have led ESVAL to increase groundwater collection, promoting the creation of 45 new </w:t>
      </w:r>
      <w:r w:rsidR="00F81302">
        <w:rPr>
          <w:rFonts w:eastAsia="Times New Roman"/>
          <w:highlight w:val="white"/>
        </w:rPr>
        <w:t xml:space="preserve">wells </w:t>
      </w:r>
      <w:r w:rsidRPr="00773A6E">
        <w:rPr>
          <w:rFonts w:eastAsia="Times New Roman"/>
          <w:highlight w:val="white"/>
        </w:rPr>
        <w:t>between 2011 and 2019 and purchasing raw water from third parties.</w:t>
      </w:r>
    </w:p>
    <w:p w14:paraId="4DAA84AF" w14:textId="77777777" w:rsidR="00A606ED" w:rsidRPr="00773A6E" w:rsidRDefault="00A606ED" w:rsidP="00A606ED">
      <w:pPr>
        <w:spacing w:before="240"/>
        <w:jc w:val="both"/>
        <w:rPr>
          <w:rFonts w:eastAsia="Times New Roman"/>
          <w:highlight w:val="white"/>
        </w:rPr>
      </w:pPr>
      <w:r w:rsidRPr="00773A6E">
        <w:rPr>
          <w:rFonts w:eastAsia="Times New Roman"/>
          <w:highlight w:val="white"/>
        </w:rPr>
        <w:t>The spatial analysis of TWV is conducted at the finest resolution with relevant information available, which is at the census block scale, the smallest territorial unit with census information. The census block consists of a group of adjoining or separate dwellings, buildings, establishments, or properties delimited by geographical, cultural and natural features. In Gran Valparaíso, there are 10,042 census blocks with available information on which the TWV analysis is carried out.</w:t>
      </w:r>
    </w:p>
    <w:p w14:paraId="21B10132" w14:textId="77777777" w:rsidR="00A606ED" w:rsidRPr="00773A6E" w:rsidRDefault="00A606ED" w:rsidP="00A606ED">
      <w:pPr>
        <w:jc w:val="both"/>
        <w:rPr>
          <w:rFonts w:eastAsia="Times New Roman"/>
        </w:rPr>
      </w:pPr>
    </w:p>
    <w:p w14:paraId="1E87A9EB" w14:textId="2C3B700C" w:rsidR="00A606ED" w:rsidRDefault="00592FB1" w:rsidP="00A606ED">
      <w:pPr>
        <w:spacing w:after="160"/>
        <w:jc w:val="both"/>
        <w:rPr>
          <w:rFonts w:eastAsia="Times New Roman"/>
        </w:rPr>
      </w:pPr>
      <w:r w:rsidRPr="00760FF8">
        <w:rPr>
          <w:rFonts w:eastAsia="Times New Roman"/>
          <w:noProof/>
          <w:lang w:val="es-CL" w:eastAsia="es-CL"/>
        </w:rPr>
        <w:drawing>
          <wp:inline distT="0" distB="0" distL="0" distR="0" wp14:anchorId="068ECBD8" wp14:editId="1271A108">
            <wp:extent cx="5734050" cy="3819525"/>
            <wp:effectExtent l="0" t="0" r="0" b="0"/>
            <wp:docPr id="6"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4050" cy="3819525"/>
                    </a:xfrm>
                    <a:prstGeom prst="rect">
                      <a:avLst/>
                    </a:prstGeom>
                    <a:noFill/>
                    <a:ln>
                      <a:noFill/>
                    </a:ln>
                  </pic:spPr>
                </pic:pic>
              </a:graphicData>
            </a:graphic>
          </wp:inline>
        </w:drawing>
      </w:r>
    </w:p>
    <w:p w14:paraId="558E4C2D" w14:textId="77777777" w:rsidR="00A606ED" w:rsidRPr="00773A6E" w:rsidRDefault="00A606ED" w:rsidP="00EF4C0E">
      <w:pPr>
        <w:pStyle w:val="FigureorTableCaption"/>
        <w:jc w:val="both"/>
        <w:rPr>
          <w:b/>
        </w:rPr>
      </w:pPr>
      <w:r w:rsidRPr="00411594">
        <w:rPr>
          <w:b/>
          <w:highlight w:val="white"/>
        </w:rPr>
        <w:t>Figure 3</w:t>
      </w:r>
      <w:r w:rsidRPr="00773A6E">
        <w:t xml:space="preserve">. Gran Valparaíso Area, Aconcagua River, Los Aromos Reservoir, Surface and Underground Collections, Coverage of water utility Barracks and Census Blocks of Gran Valparaíso. </w:t>
      </w:r>
    </w:p>
    <w:p w14:paraId="4F0D2FD7" w14:textId="77777777" w:rsidR="00A606ED" w:rsidRPr="00773A6E" w:rsidRDefault="00A606ED" w:rsidP="00A606ED">
      <w:pPr>
        <w:pStyle w:val="Heading-Secondary"/>
      </w:pPr>
      <w:bookmarkStart w:id="2" w:name="_heading=h.tyjcwt" w:colFirst="0" w:colLast="0"/>
      <w:bookmarkEnd w:id="2"/>
      <w:r w:rsidRPr="00773A6E">
        <w:t>4.2</w:t>
      </w:r>
      <w:r w:rsidRPr="00773A6E">
        <w:rPr>
          <w:sz w:val="18"/>
          <w:szCs w:val="18"/>
        </w:rPr>
        <w:t xml:space="preserve"> </w:t>
      </w:r>
      <w:r w:rsidRPr="00773A6E">
        <w:t>Impact chain</w:t>
      </w:r>
    </w:p>
    <w:p w14:paraId="47F12E9C" w14:textId="77DD467E" w:rsidR="00A606ED" w:rsidRDefault="00A606ED" w:rsidP="00A606ED">
      <w:pPr>
        <w:spacing w:before="240" w:after="240"/>
        <w:jc w:val="both"/>
        <w:rPr>
          <w:rFonts w:eastAsia="Times New Roman"/>
        </w:rPr>
      </w:pPr>
      <w:r w:rsidRPr="00773A6E">
        <w:rPr>
          <w:rFonts w:eastAsia="Times New Roman"/>
        </w:rPr>
        <w:t xml:space="preserve"> As explained above, we follow an indicator-based methodological structure inspired by the work of IPCC Assessment Report 5 and GIZ climate change impact evaluation methodological guidelines </w:t>
      </w:r>
      <w:r w:rsidR="00111485">
        <w:rPr>
          <w:rFonts w:eastAsia="Times New Roman"/>
        </w:rPr>
        <w:fldChar w:fldCharType="begin" w:fldLock="1"/>
      </w:r>
      <w:r w:rsidR="00A82EA7">
        <w:rPr>
          <w:rFonts w:eastAsia="Times New Roman"/>
        </w:rPr>
        <w:instrText>ADDIN CSL_CITATION {"citationItems":[{"id":"ITEM-1","itemData":{"ISBN":"1107025060","author":[{"dropping-particle":"","family":"IPCC","given":"","non-dropping-particle":"","parse-names":false,"suffix":""}],"id":"ITEM-1","issued":{"date-parts":[["2012"]]},"publisher":"Cambridge University Press","title":"Managing the risks of extreme events and disasters to advance climate change adaptation: Special report of the intergovernmental panel on climate change","type":"book"},"uris":["http://www.mendeley.com/documents/?uuid=55253af5-9c6f-423b-b63c-95b7fde96e3c","http://www.mendeley.com/documents/?uuid=effe3a49-67fb-406e-98d5-e501bf9a7121"]},{"id":"ITEM-2","itemData":{"ISBN":"00107484","abstract":"Focuses on the integration of the concepts of death and sex in the literary works of writer Seamus Heaney. Relationship between myths and the mortuary of the past; Views of Heaney on apocalypse; Archeological and philological investigations conducted by Heaney.","author":[{"dropping-particle":"","family":"GIZ","given":"","non-dropping-particle":"","parse-names":false,"suffix":""},{"dropping-particle":"","family":"EURAC","given":"","non-dropping-particle":"","parse-names":false,"suffix":""}],"id":"ITEM-2","issued":{"date-parts":[["2017"]]},"number-of-pages":"1-68","title":"Risk Supplement to the Vulnerability Sourcebook. Guidance on how to apply the Vulnerability Sourcebook’s approach with the new IPCC AR5 concept of climate risk","type":"report"},"uris":["http://www.mendeley.com/documents/?uuid=a0108af3-036e-49ea-a69a-9a2fdebb5363","http://www.mendeley.com/documents/?uuid=1a44faca-cfef-4035-afba-994c132ccd58"]},{"id":"ITEM-3","itemData":{"abstract":"The Vulnerability Sourcebook provides step-by-step guidelines to conduct vulnerability assessments and to monitor changes in vulnerability over time. Repeating vulnerability assessments on a regular basis is a rather new approach and serves as a valuable tool for monitoring and evaluating the effectiveness of adaptation by showing whether a reduction in vulnerability has really been achieved.","author":[{"dropping-particle":"","family":"GIZ","given":"","non-dropping-particle":"","parse-names":false,"suffix":""}],"id":"ITEM-3","issued":{"date-parts":[["2017"]]},"number-of-pages":"180","title":"The Vulnerability Sourcebook Concept and guidelines for standardised vulnerability assessments","type":"report"},"uris":["http://www.mendeley.com/documents/?uuid=253df123-86f3-4943-b49e-6cf68e9a4395","http://www.mendeley.com/documents/?uuid=155f1411-1f41-4677-9814-223da3fe4b53"]}],"mendeley":{"formattedCitation":"(GIZ, 2017; GIZ &amp; EURAC, 2017; IPCC, 2012)","plainTextFormattedCitation":"(GIZ, 2017; GIZ &amp; EURAC, 2017; IPCC, 2012)","previouslyFormattedCitation":"(GIZ, 2017; GIZ &amp; EURAC, 2017; IPCC, 2012)"},"properties":{"noteIndex":0},"schema":"https://github.com/citation-style-language/schema/raw/master/csl-citation.json"}</w:instrText>
      </w:r>
      <w:r w:rsidR="00111485">
        <w:rPr>
          <w:rFonts w:eastAsia="Times New Roman"/>
        </w:rPr>
        <w:fldChar w:fldCharType="separate"/>
      </w:r>
      <w:r w:rsidR="00111485" w:rsidRPr="00111485">
        <w:rPr>
          <w:rFonts w:eastAsia="Times New Roman"/>
          <w:noProof/>
        </w:rPr>
        <w:t>(GIZ, 2017; GIZ &amp; EURAC, 2017; IPCC, 2012)</w:t>
      </w:r>
      <w:r w:rsidR="00111485">
        <w:rPr>
          <w:rFonts w:eastAsia="Times New Roman"/>
        </w:rPr>
        <w:fldChar w:fldCharType="end"/>
      </w:r>
      <w:r w:rsidRPr="00773A6E">
        <w:rPr>
          <w:rFonts w:eastAsia="Times New Roman"/>
        </w:rPr>
        <w:t xml:space="preserve">. To describe the territory’s sensitivity and response capacity facing hazards to urban water security, we estimated a set of indicators according to the vulnerability conditions identified in the literature and the information available for the study case (see table 1). </w:t>
      </w:r>
    </w:p>
    <w:p w14:paraId="7EE63526" w14:textId="25207515" w:rsidR="0084324D" w:rsidRPr="00773A6E" w:rsidRDefault="0084324D" w:rsidP="00A606ED">
      <w:pPr>
        <w:spacing w:before="240" w:after="240"/>
        <w:jc w:val="both"/>
        <w:rPr>
          <w:rFonts w:eastAsia="Times New Roman"/>
        </w:rPr>
      </w:pPr>
      <w:r>
        <w:rPr>
          <w:rFonts w:eastAsia="Times New Roman"/>
        </w:rPr>
        <w:lastRenderedPageBreak/>
        <w:t>T</w:t>
      </w:r>
      <w:r w:rsidRPr="00773A6E">
        <w:rPr>
          <w:rFonts w:eastAsia="Times New Roman"/>
        </w:rPr>
        <w:t xml:space="preserve">he exposure is defined considering the population, measured </w:t>
      </w:r>
      <w:r>
        <w:rPr>
          <w:rFonts w:eastAsia="Times New Roman"/>
        </w:rPr>
        <w:t>considering the</w:t>
      </w:r>
      <w:r w:rsidRPr="00773A6E">
        <w:rPr>
          <w:rFonts w:eastAsia="Times New Roman"/>
        </w:rPr>
        <w:t xml:space="preserve"> number of inhabitants (Inhab) and the population density per hectare (Inhab/Ha) present in the territorial unit. In this way, the potential effect of the TWV on a greater number of individuals or </w:t>
      </w:r>
      <w:r w:rsidR="00CE25FA" w:rsidRPr="00773A6E">
        <w:rPr>
          <w:rFonts w:eastAsia="Times New Roman"/>
        </w:rPr>
        <w:t>some high population density areas</w:t>
      </w:r>
      <w:r w:rsidRPr="00773A6E">
        <w:rPr>
          <w:rFonts w:eastAsia="Times New Roman"/>
        </w:rPr>
        <w:t xml:space="preserve"> is take into account.</w:t>
      </w:r>
    </w:p>
    <w:p w14:paraId="0A95F8E8" w14:textId="35BB011C" w:rsidR="00A606ED" w:rsidRPr="00773A6E" w:rsidRDefault="00A606ED" w:rsidP="00A606ED">
      <w:pPr>
        <w:spacing w:before="240" w:after="240"/>
        <w:jc w:val="both"/>
        <w:rPr>
          <w:rFonts w:eastAsia="Times New Roman"/>
        </w:rPr>
      </w:pPr>
      <w:r w:rsidRPr="00773A6E">
        <w:rPr>
          <w:rFonts w:eastAsia="Times New Roman"/>
        </w:rPr>
        <w:t>Sensitivity depends on several factors related to socio-</w:t>
      </w:r>
      <w:r w:rsidR="00CE25FA" w:rsidRPr="00773A6E">
        <w:rPr>
          <w:rFonts w:eastAsia="Times New Roman"/>
        </w:rPr>
        <w:t>demographic and</w:t>
      </w:r>
      <w:r w:rsidRPr="00773A6E">
        <w:rPr>
          <w:rFonts w:eastAsia="Times New Roman"/>
        </w:rPr>
        <w:t xml:space="preserve"> socio-economic conditions of the population and characteristics associated with the provision of water utility services conditions, among others.</w:t>
      </w:r>
    </w:p>
    <w:p w14:paraId="367A94C7" w14:textId="43F6A347" w:rsidR="00A606ED" w:rsidRPr="00773A6E" w:rsidRDefault="00A606ED" w:rsidP="00A606ED">
      <w:pPr>
        <w:spacing w:before="240" w:after="240"/>
        <w:jc w:val="both"/>
        <w:rPr>
          <w:rFonts w:eastAsia="Times New Roman"/>
        </w:rPr>
      </w:pPr>
      <w:r w:rsidRPr="00773A6E">
        <w:rPr>
          <w:rFonts w:eastAsia="Times New Roman"/>
        </w:rPr>
        <w:t xml:space="preserve">Regarding the socio-demographic characteristics, according to the literature, the presence of elderly (above 65 years) and childhood (under six years) populations should be considered because they are more prone to diseases caused by lack of water </w:t>
      </w:r>
      <w:r w:rsidR="00111485">
        <w:rPr>
          <w:rFonts w:eastAsia="Times New Roman"/>
        </w:rPr>
        <w:fldChar w:fldCharType="begin" w:fldLock="1"/>
      </w:r>
      <w:r w:rsidR="00A82EA7">
        <w:rPr>
          <w:rFonts w:eastAsia="Times New Roman"/>
        </w:rPr>
        <w:instrText>ADDIN CSL_CITATION {"citationItems":[{"id":"ITEM-1","itemData":{"author":[{"dropping-particle":"","family":"Laborde","given":"Amalia","non-dropping-particle":"","parse-names":false,"suffix":""},{"dropping-particle":"","family":"Tomasina","given":"Fernando","non-dropping-particle":"","parse-names":false,"suffix":""},{"dropping-particle":"","family":"Bianchi","given":"Fabrizio","non-dropping-particle":"","parse-names":false,"suffix":""},{"dropping-particle":"","family":"Bruné","given":"Marie-noel","non-dropping-particle":"","parse-names":false,"suffix":""},{"dropping-particle":"","family":"Buka","given":"Irena","non-dropping-particle":"","parse-names":false,"suffix":""},{"dropping-particle":"","family":"Comba","given":"Pietro","non-dropping-particle":"","parse-names":false,"suffix":""}],"id":"ITEM-1","issue":"3","issued":{"date-parts":[["2015"]]},"page":"201-210","title":"Review Children ’ s Health in Latin America : The Influence of Environmental Exposures","type":"article-journal","volume":"123"},"uris":["http://www.mendeley.com/documents/?uuid=4db90a07-14b7-4bf5-91f6-ed72f6e7ab0d","http://www.mendeley.com/documents/?uuid=7dcdedf2-1d54-403c-b002-efb7da013005"]},{"id":"ITEM-2","itemData":{"DOI":"10.1139/er-2017-0095","ISSN":"11818700","abstract":"The latest scientific advances on the impacts of climate change on the health of the elderly in East China were reviewed consulting peer-reviewed publications from 2000 to 2017. The direct impacts of climate change result from rising temperatures, heat waves, and increases in the frequency of complex extreme weather events such as windstorms, floods, and droughts. The health and social consequences of these events are far reaching, ranging from reduced labour productivity and heat-related deaths through to direct physical injury during extreme weather events, the spread of infectious diseases, and mental health effects following widespread flooding or prolonged drought. Research has indicated that climate change will have the greatest impact on vulnerable groups of people, including the elderly population. However, there is a dearth of empirical evidence, a lack of focus on vulnerable segments of the population (especially elderly), limited understanding of how health status will change in the future, and lack of acknowledgement of how different regions in China vary in terms of the consequences of climate change. The main risk in East China that climate change may exacerbate is flooding (sea level rise, coastal and riverine, flood risk). However in some regions of East China such as in the provinces of Anhui, Jiangsu, Hebei, and Shandong the biggest climate change risk is considered to be drought. Main health risks linked to climate change are evident as cardiovascular and respiratory diseases (heat stroke, exhaustion, and asthma), often caused by interactions between heat wave episodes and concurrent poor air quality.","author":[{"dropping-particle":"","family":"Kinay","given":"Pelin","non-dropping-particle":"","parse-names":false,"suffix":""},{"dropping-particle":"","family":"Morse","given":"Andrew P.","non-dropping-particle":"","parse-names":false,"suffix":""},{"dropping-particle":"V.","family":"Villanueva","given":"Elmer","non-dropping-particle":"","parse-names":false,"suffix":""},{"dropping-particle":"","family":"Morrissey","given":"Karyn","non-dropping-particle":"","parse-names":false,"suffix":""},{"dropping-particle":"","family":"Staddon","given":"Philip L.","non-dropping-particle":"","parse-names":false,"suffix":""}],"container-title":"Environmental Reviews","id":"ITEM-2","issue":"3","issued":{"date-parts":[["2019"]]},"page":"295-303","title":"Direct and indirect health impacts of climate change on the vulnerable elderly population in East China","type":"article-journal","volume":"27"},"uris":["http://www.mendeley.com/documents/?uuid=d71174a4-d3db-4001-b9b2-829347d84b77","http://www.mendeley.com/documents/?uuid=237463b5-36ba-423e-9c65-46dbec41ca7e"]},{"id":"ITEM-3","itemData":{"DOI":"10.1289/EHP3711","ISSN":"15529924","PMID":"30986088","abstract":"BACKGROUND: The effects of weather on diarrhea could influence the health impacts of climate change. Children have the highest diarrhea incidence, especially in India, where many lack safe water and sanitation. OBJECTIVES: In a prospective cohort of 1,284 children under 5 y of age from 900 households across 25 villages in rural Tamil Nadu, India, we examined whether high temperature and heavy rainfall was associated with increased all-cause diarrhea and water contamination. METHODS: Seven-day prevalence of diarrhea was assessed monthly for up to 12 visits from January 2008 to April 2009, and hydrogen sulfide (H2S) presence in drinking water, a fecal contamination indicator, was tested in a subset of households. We estimated associations between temperature and rainfall exposures and diarrhea and H2S using binomial regressions, adjusting for potential confounders, random effects for village, and autoregressive-1 error terms for study week. RESULTS: There were 259 cases of diarrhea. The prevalence of diarrhea during the 7 d before visits was 2.95 times higher (95% CI: 1.99, 4.39) when mean temperature in the week before the 7-d recall was in the hottest versus the coolest quartile of weekly mean temperature during 1 December 2007 to 15 April 2009. Diarrhea prevalence was 1.50 times higher when the 3 weeks before the diarrhea recall period included ≥1 d (vs. 0 d) with rainfall of &gt;16:82 mm (95% CI: 1.12, 2.02), and 2.60 times higher (95% CI: 1.55, 4.36) for heavy rain weeks following a 60-d dry period. The H2S prevalence in household water was not associated with heavy rain prior to sample collection. CONCLUSIONS: The results suggest that, in rural Tamil Nadu, heavy rainfall may wash pathogens that accumulate during dry weather into child contact. Higher temperatures were positively associated with diarrhea 1–3 weeks later. Our findings suggest that diarrhea morbidity could worsen under climate change without interventions to reduce enteric pathogen transmission through multiple pathways.","author":[{"dropping-particle":"","family":"Mertens","given":"Andrew","non-dropping-particle":"","parse-names":false,"suffix":""},{"dropping-particle":"","family":"Balakrishnan","given":"Kalpana","non-dropping-particle":"","parse-names":false,"suffix":""},{"dropping-particle":"","family":"Ramaswamy","given":"Padmavathi","non-dropping-particle":"","parse-names":false,"suffix":""},{"dropping-particle":"","family":"Rajkumar","given":"Paramasivan","non-dropping-particle":"","parse-names":false,"suffix":""},{"dropping-particle":"","family":"Ramaprabha","given":"Prabhakar","non-dropping-particle":"","parse-names":false,"suffix":""},{"dropping-particle":"","family":"Durairaj","given":"Natesan","non-dropping-particle":"","parse-names":false,"suffix":""},{"dropping-particle":"","family":"Hubbard","given":"Alan E.","non-dropping-particle":"","parse-names":false,"suffix":""},{"dropping-particle":"","family":"Khush","given":"Ranjiv","non-dropping-particle":"","parse-names":false,"suffix":""},{"dropping-particle":"","family":"Colford","given":"John M.","non-dropping-particle":"","parse-names":false,"suffix":""},{"dropping-particle":"","family":"Arnold","given":"Benjamin F.","non-dropping-particle":"","parse-names":false,"suffix":""}],"container-title":"Environmental Health Perspectives","id":"ITEM-3","issue":"4","issued":{"date-parts":[["2019","4"]]},"language":"eng","page":"47004","title":"Associations between high temperature, heavy rainfall, and diarrhea among young children in rural Tamil Nadu, India: A prospective cohort study","type":"article-journal","volume":"127"},"uris":["http://www.mendeley.com/documents/?uuid=364873a0-b30a-48b2-a594-6b6cb0dee2da","http://www.mendeley.com/documents/?uuid=e01097ff-62ad-4c8b-bf4f-88022648367d"]}],"mendeley":{"formattedCitation":"(Kinay et al., 2019; Laborde et al., 2015; Mertens et al., 2019)","plainTextFormattedCitation":"(Kinay et al., 2019; Laborde et al., 2015; Mertens et al., 2019)","previouslyFormattedCitation":"(Kinay et al., 2019; Laborde et al., 2015; Mertens et al., 2019)"},"properties":{"noteIndex":0},"schema":"https://github.com/citation-style-language/schema/raw/master/csl-citation.json"}</w:instrText>
      </w:r>
      <w:r w:rsidR="00111485">
        <w:rPr>
          <w:rFonts w:eastAsia="Times New Roman"/>
        </w:rPr>
        <w:fldChar w:fldCharType="separate"/>
      </w:r>
      <w:r w:rsidR="00111485" w:rsidRPr="00111485">
        <w:rPr>
          <w:rFonts w:eastAsia="Times New Roman"/>
          <w:noProof/>
        </w:rPr>
        <w:t>(Kinay et al., 2019; Laborde et al., 2015; Mertens et al., 2019)</w:t>
      </w:r>
      <w:r w:rsidR="00111485">
        <w:rPr>
          <w:rFonts w:eastAsia="Times New Roman"/>
        </w:rPr>
        <w:fldChar w:fldCharType="end"/>
      </w:r>
      <w:r w:rsidRPr="00773A6E">
        <w:rPr>
          <w:rFonts w:eastAsia="Times New Roman"/>
        </w:rPr>
        <w:t xml:space="preserve">. Moreover, in a water scarcity context, women-led households tend to be unable to carry out domestic and care tasks related to water use and usually have higher levels of poverty </w:t>
      </w:r>
      <w:r w:rsidR="00111485">
        <w:rPr>
          <w:rFonts w:eastAsia="Times New Roman"/>
        </w:rPr>
        <w:fldChar w:fldCharType="begin" w:fldLock="1"/>
      </w:r>
      <w:r w:rsidR="00A82EA7">
        <w:rPr>
          <w:rFonts w:eastAsia="Times New Roman"/>
        </w:rPr>
        <w:instrText>ADDIN CSL_CITATION {"citationItems":[{"id":"ITEM-1","itemData":{"DOI":"10.1080/17565529.2014.886989","ISSN":"17565537","abstract":"This field-based study applies a mixed methods approach that combines both qualitative and quantitative analyses to investigate the differences in women's vulnerability and adaptations to climate-related agricultural water scarcity in Ky Nam commune, Central Vietnam. The study highlights the heterogeneity of women as a group and their intersectional dynamics as they adapt to increasing agricultural water scarcity on their rural livelihoods. The findings show that social differences including gender, class, household headship, age and stage of life shape women's differentiated experiences in vulnerability in access to water, to forestland and credit; in turn mark their adaptation differentiation to climate-related agricultural water scarcity. It also stresses that existing development policies can cause inequality in resource access in practice, running the risk of further marginalizing certain groups of women, especially female heads of household. Meanwhile, the current National Target Program to Respond to Climate Change of Vietnam is blind to issues of women's differentiated vulnerability and adaptive capacity. This study suggests that if these current development and adaptation measures do not pay proper attention to differentiated gender experience, it is likely to exacerbate the vulnerabilities of those affected, particularly female heads of household, rather than help them. In addition, these development and climate programmes have to be redesigned to accommodate more context-specific policies instead of one-size-fits-all packages that will effectively address women's (and men's) differential needs and unequal relations and circumstances. © 2014 © 2014 Taylor &amp; Francis.","author":[{"dropping-particle":"","family":"Huynh","given":"Phuong T.A.","non-dropping-particle":"","parse-names":false,"suffix":""},{"dropping-particle":"","family":"Resurreccion","given":"Bernadette P.","non-dropping-particle":"","parse-names":false,"suffix":""}],"container-title":"Climate and Development","id":"ITEM-1","issue":"3","issued":{"date-parts":[["2014"]]},"page":"226-237","title":"Women's differentiated vulnerability and adaptations to climate-related agricultural water scarcity in rural Central Vietnam","type":"article-journal","volume":"6"},"uris":["http://www.mendeley.com/documents/?uuid=ded555e0-d569-45b3-a17d-6e5e4cb977ff","http://www.mendeley.com/documents/?uuid=b4c7d1b7-0bbe-45ed-8f29-b50f7d019f80"]},{"id":"ITEM-2","itemData":{"DOI":"10.1016/j.worlddev.2018.11.002","ISSN":"18735991","abstract":"We examine the long-term impacts of drought exposure on women born in 19 countries in sub-Saharan Africa, across four decades. We find that women who were exposed to drought conditions during their early childhood are significantly less wealthy as adults. These effects are confined to women born and raised in rural households, indicating that the impacts of rainfall are felt via changes in agricultural output. In addition to lower levels of wealth, women who experience droughts in infancy also receive fewer years of formal education and, in the case of extreme drought conditions, have reduced adult heights. Our results also suggest that drought exposure in infancy can have long-term, negative impacts on women's empowerment. Finally, we also show that these impacts may be transmitted to the women's offspring, with children of affected women more likely to be born at a low birth weight (weighing &lt;2.5 kg). To our knowledge, this represents the largest study to date both geographically and over time showing a strong relationship between early life rainfall conditions and adult outcomes, and the first to show that the impacts could span generations.","author":[{"dropping-particle":"","family":"Hyland","given":"Marie","non-dropping-particle":"","parse-names":false,"suffix":""},{"dropping-particle":"","family":"Russ","given":"Jason","non-dropping-particle":"","parse-names":false,"suffix":""}],"container-title":"World Development","id":"ITEM-2","issued":{"date-parts":[["2019"]]},"page":"30-45","publisher":"Elsevier Ltd","title":"Water as destiny – The long-term impacts of drought in sub-Saharan Africa","type":"article-journal","volume":"115"},"uris":["http://www.mendeley.com/documents/?uuid=f589f307-8112-4812-aead-28bd83b1565e","http://www.mendeley.com/documents/?uuid=894120d5-fdbd-4b6e-8302-a7abe3630700"]}],"mendeley":{"formattedCitation":"(Huynh &amp; Resurreccion, 2014; Hyland &amp; Russ, 2019)","plainTextFormattedCitation":"(Huynh &amp; Resurreccion, 2014; Hyland &amp; Russ, 2019)","previouslyFormattedCitation":"(Huynh &amp; Resurreccion, 2014; Hyland &amp; Russ, 2019)"},"properties":{"noteIndex":0},"schema":"https://github.com/citation-style-language/schema/raw/master/csl-citation.json"}</w:instrText>
      </w:r>
      <w:r w:rsidR="00111485">
        <w:rPr>
          <w:rFonts w:eastAsia="Times New Roman"/>
        </w:rPr>
        <w:fldChar w:fldCharType="separate"/>
      </w:r>
      <w:r w:rsidR="00111485" w:rsidRPr="00111485">
        <w:rPr>
          <w:rFonts w:eastAsia="Times New Roman"/>
          <w:noProof/>
        </w:rPr>
        <w:t>(Huynh &amp; Resurreccion, 2014; Hyland &amp; Russ, 2019)</w:t>
      </w:r>
      <w:r w:rsidR="00111485">
        <w:rPr>
          <w:rFonts w:eastAsia="Times New Roman"/>
        </w:rPr>
        <w:fldChar w:fldCharType="end"/>
      </w:r>
      <w:r w:rsidR="00111485">
        <w:rPr>
          <w:rFonts w:eastAsia="Times New Roman"/>
        </w:rPr>
        <w:t xml:space="preserve">. </w:t>
      </w:r>
      <w:r w:rsidRPr="00773A6E">
        <w:rPr>
          <w:rFonts w:eastAsia="Times New Roman"/>
        </w:rPr>
        <w:t xml:space="preserve">Minority groups such as ethnic minorities and migrants are especially affected by social and economic inequality, increasing the risk of facing living conditions without access to drinking water, health and hygiene services, among others </w:t>
      </w:r>
      <w:r w:rsidR="00111485">
        <w:rPr>
          <w:rFonts w:eastAsia="Times New Roman"/>
        </w:rPr>
        <w:fldChar w:fldCharType="begin" w:fldLock="1"/>
      </w:r>
      <w:r w:rsidR="00A82EA7">
        <w:rPr>
          <w:rFonts w:eastAsia="Times New Roman"/>
        </w:rPr>
        <w:instrText>ADDIN CSL_CITATION {"citationItems":[{"id":"ITEM-1","itemData":{"DOI":"10.3390/su11041042","ISSN":"20711050","abstract":"China is vulnerable to climate change. Developing the ability to assess social vulnerability and inequality amid climate change will be imperative to ensure that adjustment policies can be developed for various groups and build resilient livelihoods in China. This paper examines social vulnerability and inequality through a joint analysis of urban agglomerations. Based on a conceptual framework of social vulnerability from a network perspective, the social vulnerability index of individual cities is quantified with a projection pursuit cluster model, the social vulnerability index of cities in urban networks is calculated with the Baidu Index, and an inequality analysis is measured by the Theil index. We pilot this study in three urban agglomerations: the Jing-Jin-Ji region, the Yangtze River Delta region, and the Pearl River Delta. Our results show the following: (1) The indicator of \"GDP\" with the weight value reaching 0.42 has the most influence on social vulnerability. Three indicators, which are fully described herein-\"Children\", \"Illiterate\", and \"Higher education graduated\"-contribute much to social vulnerability index with values between 0.3 and 0.4. These three indicators should receive more attention in integrated risk management. (2) In the Jing-Jin-Ji region, the Theil indexes of two indicators, \"Ethnic minorities\" and \"Green\", exceed 0.65 and have the most influence on inequality. In the Yangtze River Delta, three indicators of \"Poor\", \"GDP\", and \"Green\" contribute much to inequality. In the Pearl River Delta, the inequalities of \"Green\", \"Houses with no tap water\" and \"Higher education graduated\" are high. These indicators give advance warning of potential problems, so adjustment is recommended for reducing inequality. (3) Though the connectivity structure of the Yangtze River Delta is more complicated and stronger than that of the other two agglomerations, its inequality of connectivity is higher than the others. (4) Connectivity is key for reducing social vulnerability, on the one hand, but can result in more inequality of social vulnerability, on the other hand. Therefore, it's crucial for government to attach more significance and provide more support to cities with a higher social vulnerability index.","author":[{"dropping-particle":"","family":"Ge","given":"Yi","non-dropping-particle":"","parse-names":false,"suffix":""},{"dropping-particle":"","family":"Yang","given":"Guangfei","non-dropping-particle":"","parse-names":false,"suffix":""},{"dropping-particle":"","family":"Chen","given":"Yi","non-dropping-particle":"","parse-names":false,"suffix":""},{"dropping-particle":"","family":"Dou","given":"Wen","non-dropping-particle":"","parse-names":false,"suffix":""}],"container-title":"Sustainability (Switzerland)","id":"ITEM-1","issue":"4","issued":{"date-parts":[["2019"]]},"page":"1-19","title":"Examining social vulnerability and inequality: A joint analysis through a connectivity lens in the urban agglomerations of China","type":"article-journal","volume":"11"},"uris":["http://www.mendeley.com/documents/?uuid=a307a110-593e-4a57-81c6-41ef45a66de1","http://www.mendeley.com/documents/?uuid=ddf708c7-b179-4bd6-84fb-e317570d750e"]},{"id":"ITEM-2","itemData":{"DOI":"10.1111/imig.12460","ISSN":"14682435","abstract":"As the most vulnerable climatic region in the country, Khulna City is increasingly experiencing climate-change-induced urban problems. For instance, occupancy by climate migrants (delete the term “illegal migrant”), drainage congestion, water logging and reduced fresh water availability are all increasing problems. In the last decade, the population in the city increased by more than 20 per cent due to migration from nearby climate vulnerable districts. This study explores the health disorders of climate migrants occupying the urban slums and squats of the Khulna City area. This study found that these climate migrants settled in the urban slums and squats and, as such, they do not have access to urban amenities such as clean drinking water, hygiene services, and health facilities. This study noted that these displaced people are at increased risk of health issues from unhygienic and overcrowded living conditions and from water and sanitation problems. They often suffer from different waterborne diseases, under-nutrition and micronutrient deficiencies. This study suggests that there is a need for better planning, preparation and training in Bangladesh to which migrants move, including better training in health and related services on how to recognize and respond to health problems that may be slow to manifest. Education and training also need to be provided for the migrants themselves, to help them adapt culturally and to enhance their skills and potential for employment.","author":[{"dropping-particle":"","family":"Rahaman","given":"Muhammad Abdur","non-dropping-particle":"","parse-names":false,"suffix":""},{"dropping-particle":"","family":"Rahman","given":"Mohammad Mahbubur","non-dropping-particle":"","parse-names":false,"suffix":""},{"dropping-particle":"","family":"Bahauddin","given":"Khalid Md","non-dropping-particle":"","parse-names":false,"suffix":""},{"dropping-particle":"","family":"Khan","given":"Shakil","non-dropping-particle":"","parse-names":false,"suffix":""},{"dropping-particle":"","family":"Hassan","given":"Shareful","non-dropping-particle":"","parse-names":false,"suffix":""}],"container-title":"International Migration","id":"ITEM-2","issue":"5","issued":{"date-parts":[["2018"]]},"page":"42-55","title":"Health Disorder of Climate Migrants in Khulna City: An Urban Slum Perspective","type":"article-journal","volume":"56"},"uris":["http://www.mendeley.com/documents/?uuid=ac0c9ee0-8a94-4f5a-9c34-10eda4c18ed2","http://www.mendeley.com/documents/?uuid=f46e4edd-5552-498a-8a52-e968da380d08"]}],"mendeley":{"formattedCitation":"(Ge et al., 2019; Rahaman et al., 2018)","plainTextFormattedCitation":"(Ge et al., 2019; Rahaman et al., 2018)","previouslyFormattedCitation":"(Ge et al., 2019; Rahaman et al., 2018)"},"properties":{"noteIndex":0},"schema":"https://github.com/citation-style-language/schema/raw/master/csl-citation.json"}</w:instrText>
      </w:r>
      <w:r w:rsidR="00111485">
        <w:rPr>
          <w:rFonts w:eastAsia="Times New Roman"/>
        </w:rPr>
        <w:fldChar w:fldCharType="separate"/>
      </w:r>
      <w:r w:rsidR="00111485" w:rsidRPr="00111485">
        <w:rPr>
          <w:rFonts w:eastAsia="Times New Roman"/>
          <w:noProof/>
        </w:rPr>
        <w:t>(Ge et al., 2019; Rahaman et al., 2018)</w:t>
      </w:r>
      <w:r w:rsidR="00111485">
        <w:rPr>
          <w:rFonts w:eastAsia="Times New Roman"/>
        </w:rPr>
        <w:fldChar w:fldCharType="end"/>
      </w:r>
      <w:r w:rsidRPr="00773A6E">
        <w:rPr>
          <w:rFonts w:eastAsia="Times New Roman"/>
        </w:rPr>
        <w:t xml:space="preserve">. Similar is the case for overcrowded housing </w:t>
      </w:r>
      <w:r w:rsidR="00111485">
        <w:rPr>
          <w:rFonts w:eastAsia="Times New Roman"/>
        </w:rPr>
        <w:fldChar w:fldCharType="begin" w:fldLock="1"/>
      </w:r>
      <w:r w:rsidR="00A82EA7">
        <w:rPr>
          <w:rFonts w:eastAsia="Times New Roman"/>
        </w:rPr>
        <w:instrText>ADDIN CSL_CITATION {"citationItems":[{"id":"ITEM-1","itemData":{"DOI":"10.1177/0956247815596502","ISSN":"17460301","abstract":"Urban populations living in informal settlements are inherently vulnerable to climate change, as informal settlements are characterized by overcrowding, poor-quality housing, lack of basic infrastructure, and poverty. Nevertheless, evidence of the associations among weather or climate and health in these populations is lacking, which severely constrains the design of climate change and disaster risk reduction adaptation strategies. To help fill this gap, this paper is a guide for researchers working on climate and health in informal settlements that summarizes key epidemiological methods and study designs commonly used in environmental health research. We focus on designs that have modest data requirements and that have been used successfully in resource-poor settings. The final section of the paper gives an overview of the current state of evidence about climate change and weather hazards in urban areas, as this is one of the main concerns for policymakers.","author":[{"dropping-particle":"","family":"Scovronick","given":"Noah","non-dropping-particle":"","parse-names":false,"suffix":""},{"dropping-particle":"","family":"Lloyd","given":"Simon J.","non-dropping-particle":"","parse-names":false,"suffix":""},{"dropping-particle":"","family":"Kovats","given":"R. Sari","non-dropping-particle":"","parse-names":false,"suffix":""}],"container-title":"Environment and Urbanization","id":"ITEM-1","issue":"2","issued":{"date-parts":[["2015"]]},"page":"657-678","title":"Climate and health in informal urban settlements","type":"article-journal","volume":"27"},"uris":["http://www.mendeley.com/documents/?uuid=534330a7-ea2d-40d9-b52c-31571478a61c","http://www.mendeley.com/documents/?uuid=1f864a84-b372-4525-a251-10fc8f371505"]},{"id":"ITEM-2","itemData":{"DOI":"10.1002/wcc.601","ISSN":"17577799","abstract":"Climate change affects almost all aspects of human life, including health. This is particularly true in densely populated and low lying deltas such as Bangladesh. However, the climate-health nexus is a relatively poorly explored domain of research, which is a cause for concern given the country's intrinsic vulnerability to climatic impacts. The impact of climate change on human health and well-being can be manifested through different pathways and can be categorized as being direct or indirect, mediated through complex biophysical and social dynamics. The direct effects of climate change that have been observed in Bangladesh include morbidity and mortality due to heat stress, cyclones, floods, droughts and other weather extremes at different spatio-temporal scales. The indirect effects adopt more complex routes which includes, threatening food and water security due to salinity intrusion, and spread of infectious diseases due to changes in vector and pathogen ecology. Social dynamics in Bangladesh, such as those related to gender roles, poverty and power relations, also influence how the effects of climate change are experienced by different segments of the society. The Government of Bangladesh has a number of measures already in place, efforts that have been complemented by local interventions. Evidence to take robust health policy decisions related to climate change is limited and scattered, while there is a lack of multidisciplinary research efforts. Considering these limitations, generating and summarizing scientific evidence is vital for informing a resilient health system against future public health concerns in climate vulnerable countries such as Bangladesh and in other low-income regions. This article is categorized under: Assessing Impacts of Climate Change &gt; Evaluating Future Impacts of Climate Change.","author":[{"dropping-particle":"","family":"Rahman","given":"Mohammed M.","non-dropping-particle":"","parse-names":false,"suffix":""},{"dropping-particle":"","family":"Ahmad","given":"Sate","non-dropping-particle":"","parse-names":false,"suffix":""},{"dropping-particle":"","family":"Mahmud","given":"Ayesha S.","non-dropping-particle":"","parse-names":false,"suffix":""},{"dropping-particle":"","family":"Hassan-uz-Zaman","given":"Md","non-dropping-particle":"","parse-names":false,"suffix":""},{"dropping-particle":"","family":"Nahian","given":"Mahin A.","non-dropping-particle":"","parse-names":false,"suffix":""},{"dropping-particle":"","family":"Ahmed","given":"Ali","non-dropping-particle":"","parse-names":false,"suffix":""},{"dropping-particle":"","family":"Nahar","given":"Quamrun","non-dropping-particle":"","parse-names":false,"suffix":""},{"dropping-particle":"","family":"Streatfield","given":"Peter K.","non-dropping-particle":"","parse-names":false,"suffix":""}],"container-title":"Wiley Interdisciplinary Reviews: Climate Change","id":"ITEM-2","issue":"5","issued":{"date-parts":[["2019"]]},"page":"1-14","title":"Health consequences of climate change in Bangladesh: An overview of the evidence, knowledge gaps and challenges","type":"article-journal","volume":"10"},"uris":["http://www.mendeley.com/documents/?uuid=75061b7a-95fc-40d9-8169-d8c78dec61bb","http://www.mendeley.com/documents/?uuid=1d8c18bf-414d-4fb0-b68f-6c6080784358"]}],"mendeley":{"formattedCitation":"(Rahman et al., 2019; Scovronick et al., 2015)","plainTextFormattedCitation":"(Rahman et al., 2019; Scovronick et al., 2015)","previouslyFormattedCitation":"(Rahman et al., 2019; Scovronick et al., 2015)"},"properties":{"noteIndex":0},"schema":"https://github.com/citation-style-language/schema/raw/master/csl-citation.json"}</w:instrText>
      </w:r>
      <w:r w:rsidR="00111485">
        <w:rPr>
          <w:rFonts w:eastAsia="Times New Roman"/>
        </w:rPr>
        <w:fldChar w:fldCharType="separate"/>
      </w:r>
      <w:r w:rsidR="00103696" w:rsidRPr="00103696">
        <w:rPr>
          <w:rFonts w:eastAsia="Times New Roman"/>
          <w:noProof/>
        </w:rPr>
        <w:t>(Rahman et al., 2019; Scovronick et al., 2015)</w:t>
      </w:r>
      <w:r w:rsidR="00111485">
        <w:rPr>
          <w:rFonts w:eastAsia="Times New Roman"/>
        </w:rPr>
        <w:fldChar w:fldCharType="end"/>
      </w:r>
      <w:r w:rsidRPr="00773A6E">
        <w:rPr>
          <w:rFonts w:eastAsia="Times New Roman"/>
        </w:rPr>
        <w:t>.</w:t>
      </w:r>
    </w:p>
    <w:p w14:paraId="17AA6E7D" w14:textId="3074E0D9" w:rsidR="00A606ED" w:rsidRPr="00773A6E" w:rsidRDefault="00A606ED" w:rsidP="00A606ED">
      <w:pPr>
        <w:spacing w:before="240" w:after="240"/>
        <w:jc w:val="both"/>
        <w:rPr>
          <w:rFonts w:eastAsia="Times New Roman"/>
        </w:rPr>
      </w:pPr>
      <w:r w:rsidRPr="00773A6E">
        <w:rPr>
          <w:rFonts w:eastAsia="Times New Roman"/>
        </w:rPr>
        <w:t xml:space="preserve">The economic poverty of the population is relevant in that it reduces the possibility of opting for improvements in drinking water access (in terms of infrastructure or devices) </w:t>
      </w:r>
      <w:r w:rsidR="00111485">
        <w:rPr>
          <w:rFonts w:eastAsia="Times New Roman"/>
        </w:rPr>
        <w:fldChar w:fldCharType="begin" w:fldLock="1"/>
      </w:r>
      <w:r w:rsidR="00A82EA7">
        <w:rPr>
          <w:rFonts w:eastAsia="Times New Roman"/>
        </w:rPr>
        <w:instrText>ADDIN CSL_CITATION {"citationItems":[{"id":"ITEM-1","itemData":{"DOI":"10.1002/ajhb.23368","ISSN":"15206300","PMID":"31769124","abstract":"Objectives: Over half of the world's population (4 billion people) experience severe water scarcity at least one month per year, while half a billion people experience severe water scarcity throughout the year. Despite progress from national and global interventions, a staggering proportion of the Global South remains water insecure. Rapid urban growth and associated demographic changes, climate change, and governance failure have also fostered the growth and expansion of urban informal settlements and slums where widespread poverty and environmental hazards exacerbate the impact of water insecurity on health. This article reflects on the interactions between water insecurity and urban poverty in the Global South across four categories of health outcomes: gastrointestinal diseases, mosquito-borne diseases, injuries, and mental illness. These examples highlight the mechanisms through which urban poverty exacerbates the adverse health effects of water insecurity. Methods: The four selected health outcomes were chosen a priori to represent two communicable conditions with well-developed literatures, and two noncommunicable conditions with newer literatures that have emerged over the last decade. We conducted a narrative literature review of scholarly and gray literature appearing between January 2000 and April 2019 using several online scholarly databases. Results: Gastrointestinal diseases, mosquito-borne diseases, injuries, and mental illness all exemplified the relationship between water insecurity and urban poverty through human biological pathways. For each of the four health categories, we identified frontiers for human biology research contributions to the water-poverty-health nexus. Conclusions: We discuss our findings in the context of three crosscutting themes that merit innovative research approaches: stressor interactions and trade-offs, exposure thresholds, and intervention efficacy. We reiterate that the global burden of disease associated with water insecurity cannot be addressed in isolation from efforts to alleviate extreme poverty.","author":[{"dropping-particle":"","family":"Adams","given":"Ellis A.","non-dropping-particle":"","parse-names":false,"suffix":""},{"dropping-particle":"","family":"Stoler","given":"Justin","non-dropping-particle":"","parse-names":false,"suffix":""},{"dropping-particle":"","family":"Adams","given":"Yenupini","non-dropping-particle":"","parse-names":false,"suffix":""}],"container-title":"American Journal of Human Biology","id":"ITEM-1","issue":"1","issued":{"date-parts":[["2020"]]},"page":"1-12","title":"Water insecurity and urban poverty in the Global South: Implications for health and human biology","type":"article-journal","volume":"32"},"uris":["http://www.mendeley.com/documents/?uuid=0d55f94b-e47e-47b4-b43d-5634241b26f2","http://www.mendeley.com/documents/?uuid=b9b4ae86-3510-4271-be8c-4e7d929a7cb8"]}],"mendeley":{"formattedCitation":"(Adams et al., 2020)","plainTextFormattedCitation":"(Adams et al., 2020)","previouslyFormattedCitation":"(Adams et al., 2020)"},"properties":{"noteIndex":0},"schema":"https://github.com/citation-style-language/schema/raw/master/csl-citation.json"}</w:instrText>
      </w:r>
      <w:r w:rsidR="00111485">
        <w:rPr>
          <w:rFonts w:eastAsia="Times New Roman"/>
        </w:rPr>
        <w:fldChar w:fldCharType="separate"/>
      </w:r>
      <w:r w:rsidR="00111485" w:rsidRPr="00111485">
        <w:rPr>
          <w:rFonts w:eastAsia="Times New Roman"/>
          <w:noProof/>
        </w:rPr>
        <w:t>(Adams et al., 2020)</w:t>
      </w:r>
      <w:r w:rsidR="00111485">
        <w:rPr>
          <w:rFonts w:eastAsia="Times New Roman"/>
        </w:rPr>
        <w:fldChar w:fldCharType="end"/>
      </w:r>
      <w:r w:rsidR="0047718A">
        <w:rPr>
          <w:rFonts w:eastAsia="Times New Roman"/>
        </w:rPr>
        <w:t xml:space="preserve"> </w:t>
      </w:r>
      <w:r w:rsidRPr="00773A6E">
        <w:rPr>
          <w:rFonts w:eastAsia="Times New Roman"/>
        </w:rPr>
        <w:t>or choosing alternative mechanisms such as the purchase of bottled water,</w:t>
      </w:r>
      <w:r w:rsidR="00103696">
        <w:rPr>
          <w:rFonts w:eastAsia="Times New Roman"/>
        </w:rPr>
        <w:t xml:space="preserve"> exacerbating their sensitivity.</w:t>
      </w:r>
    </w:p>
    <w:p w14:paraId="32B45984" w14:textId="2A53D1DC" w:rsidR="00103696" w:rsidRDefault="00A606ED" w:rsidP="00A606ED">
      <w:pPr>
        <w:spacing w:before="240" w:after="240"/>
        <w:jc w:val="both"/>
        <w:rPr>
          <w:rFonts w:eastAsia="Times New Roman"/>
        </w:rPr>
      </w:pPr>
      <w:r w:rsidRPr="00773A6E">
        <w:rPr>
          <w:rFonts w:eastAsia="Times New Roman"/>
        </w:rPr>
        <w:t>Concerning the coverage and access to drinking water, we use a series of indicators as a proxy for lack of water access: 1) urban households that are outside the ESVAL covera</w:t>
      </w:r>
      <w:r w:rsidR="00103696">
        <w:rPr>
          <w:rFonts w:eastAsia="Times New Roman"/>
        </w:rPr>
        <w:t>ge area</w:t>
      </w:r>
      <w:r w:rsidR="0047718A">
        <w:rPr>
          <w:rFonts w:eastAsia="Times New Roman"/>
        </w:rPr>
        <w:t xml:space="preserve"> </w:t>
      </w:r>
      <w:r w:rsidR="00103696">
        <w:rPr>
          <w:rFonts w:eastAsia="Times New Roman"/>
        </w:rPr>
        <w:fldChar w:fldCharType="begin" w:fldLock="1"/>
      </w:r>
      <w:r w:rsidR="00A82EA7">
        <w:rPr>
          <w:rFonts w:eastAsia="Times New Roman"/>
        </w:rPr>
        <w:instrText>ADDIN CSL_CITATION {"citationItems":[{"id":"ITEM-1","itemData":{"DOI":"10.3390/ijerph13111051","ISBN":"4646222892","ISSN":"16604601","PMID":"27801802","abstract":"Water-related impacts due to change in climatic conditions ranging from water scarcity to intense floods and storms are increasing in developing countries like Pakistan. Water quality and waterborne diseases like hepatitis, cholera, typhoid, malaria and dengue fever are increasing due to chaotic urbanization, industrialization, poor hygienic conditions, and inappropriate water management. The morbidity rate is high due to lack of health care facilities, especially in developing countries. Organizations linked to the Government of Pakistan (e.g., Ministry of Environment, Ministry of Climate Change, Planning and Development, Ministry of Forest, Irrigation and Public Health, Pakistan Meteorological Department, National Disaster Management, Pakistan Agricultural Research Centre, Pakistan Council for Research in Water Resources, and Global Change Impact Study Centre), United Nation organizations, provincial government departments, non-governmental organizations (e.g., Global Facility and Disaster Reduction), research centers linked to universities, and international organizations (International Institute for Sustainable Development, Food and Agriculture, Global Climate Fund and World Bank) are trying to reduce the water-related impacts of climate change, but due to lack of public awareness and health care infrastructure, the death rate is steadily increasing. This paper critically reviews the scientific studies and reports both at national and at international level benefiting generalists concerned with environmental and public health challenges. The article underlines the urgent need for water conservation, risk management, and the development of mitigation measures to cope with the water-related impacts of climate change on agriculture and subsequently on public health. Novel solutions and bioremediation methods have been presented to control environmental pollution and to promote awareness among the scientific community. The focus is on diverse strategies to handle the forthcoming challenges associated with water resources management.","author":[{"dropping-particle":"","family":"Ahmed","given":"Toqeer","non-dropping-particle":"","parse-names":false,"suffix":""},{"dropping-particle":"","family":"Scholz","given":"Miklas","non-dropping-particle":"","parse-names":false,"suffix":""},{"dropping-particle":"","family":"Al-Faraj","given":"Furat","non-dropping-particle":"","parse-names":false,"suffix":""},{"dropping-particle":"","family":"Niaz","given":"Wajeeha","non-dropping-particle":"","parse-names":false,"suffix":""}],"container-title":"International Journal of Environmental Research and Public Health","id":"ITEM-1","issue":"11","issued":{"date-parts":[["2016"]]},"page":"1-16","title":"Water-related impacts of climate change on agriculture and subsequently on public health: A review for generalists with particular reference to Pakistan","type":"article-journal","volume":"13"},"uris":["http://www.mendeley.com/documents/?uuid=c3271644-4967-4fe7-9e11-0f9e7cd2dc15","http://www.mendeley.com/documents/?uuid=41e52184-b03f-4009-97b2-506e84d007ee"]}],"mendeley":{"formattedCitation":"(Ahmed et al., 2016)","plainTextFormattedCitation":"(Ahmed et al., 2016)","previouslyFormattedCitation":"(Ahmed et al., 2016)"},"properties":{"noteIndex":0},"schema":"https://github.com/citation-style-language/schema/raw/master/csl-citation.json"}</w:instrText>
      </w:r>
      <w:r w:rsidR="00103696">
        <w:rPr>
          <w:rFonts w:eastAsia="Times New Roman"/>
        </w:rPr>
        <w:fldChar w:fldCharType="separate"/>
      </w:r>
      <w:r w:rsidR="00103696" w:rsidRPr="00103696">
        <w:rPr>
          <w:rFonts w:eastAsia="Times New Roman"/>
          <w:noProof/>
        </w:rPr>
        <w:t>(Ahmed et al., 2016)</w:t>
      </w:r>
      <w:r w:rsidR="00103696">
        <w:rPr>
          <w:rFonts w:eastAsia="Times New Roman"/>
        </w:rPr>
        <w:fldChar w:fldCharType="end"/>
      </w:r>
      <w:r w:rsidRPr="00773A6E">
        <w:rPr>
          <w:rFonts w:eastAsia="Times New Roman"/>
        </w:rPr>
        <w:t xml:space="preserve">, (2) homes provided with cistern trucks, affected by the intermittency of said supply and the potential transmission of diseases that can put people's lives at risk </w:t>
      </w:r>
      <w:r w:rsidR="00103696">
        <w:rPr>
          <w:rFonts w:eastAsia="Times New Roman"/>
        </w:rPr>
        <w:fldChar w:fldCharType="begin" w:fldLock="1"/>
      </w:r>
      <w:r w:rsidR="00A82EA7">
        <w:rPr>
          <w:rFonts w:eastAsia="Times New Roman"/>
        </w:rPr>
        <w:instrText>ADDIN CSL_CITATION {"citationItems":[{"id":"ITEM-1","itemData":{"author":[{"dropping-particle":"","family":"Mohan Kumar","given":"Ms","non-dropping-particle":"","parse-names":false,"suffix":""},{"dropping-particle":"","family":"Manohar","given":"Usha","non-dropping-particle":"","parse-names":false,"suffix":""},{"dropping-particle":"","family":"Pallavi","given":"M R M","non-dropping-particle":"","parse-names":false,"suffix":""},{"dropping-particle":"","family":"Rajakumar","given":"Anjana","non-dropping-particle":"","parse-names":false,"suffix":""}],"container-title":"Journal of the Indian Institute of Science","id":"ITEM-1","issued":{"date-parts":[["2013"]]},"page":"295-318","title":"Urban Water Supply and Management","type":"article-journal","volume":"93"},"uris":["http://www.mendeley.com/documents/?uuid=14a1401d-4414-4d6e-8c88-fa858177b48c","http://www.mendeley.com/documents/?uuid=19575dbf-1a45-48f2-82f2-2ee2d7742229"]},{"id":"ITEM-2","itemData":{"DOI":"10.1016/j.jrurstud.2016.05.009","ISSN":"07430167","abstract":"Large scale renewable energy developments, although seen as environmentally good, also have the potential to damage a community's well-being if the distribution of outcomes of the development, both good and bad, is unfair. Inequality in the distribution of benefits and costs, especially when some sections of a community benefit at the expense of others, can divide communities, damage relationships, and result in conflicts. In recent years, a considerable number of empirical studies examining the controversies over distributional inequalities in renewable energy practices have emerged. However, most of them have focused on the developed world; there has been little research in the context of the Global South, where large scale and rapid development of solar energy especially is anticipated to contribute to economic development and relieve energy poverty. This paper provides an empirical case study of 'Charanka Solar Park' in the Indian state of Gujarat. The objective is to qualitatively analyse the distributional concerns in the implementation of the large scale solar park, developed in a remote rural location. The research illustrates how the benefits of renewable energy development tend to accrue at regional and national level whilst local host communities bear adverse consequences. Distributional inequalities also occurred at the local scale in Charanka, where while the upper caste and economically better of sectors of the community were able to take opportunities, while vulnerable pastoralists and small farmers suffered the most from loss of land resources and associated livelihoods. Thus, the uneven distribution of benefits arising from the solar park development reinforced and deepened existing inequalities. The paper concludes by discussing how distributional injustice in such developments might be ameliorated in the future.","author":[{"dropping-particle":"","family":"Yenneti","given":"Komali","non-dropping-particle":"","parse-names":false,"suffix":""},{"dropping-particle":"","family":"Day","given":"Rosie","non-dropping-particle":"","parse-names":false,"suffix":""}],"container-title":"Journal of Rural Studies","id":"ITEM-2","issued":{"date-parts":[["2016"]]},"page":"35-46","title":"Distributional justice in solar energy implementation in India: The case of Charanka solar park","type":"article-journal","volume":"46"},"uris":["http://www.mendeley.com/documents/?uuid=4477cf64-0e28-4eec-a06e-01d6633a14a8","http://www.mendeley.com/documents/?uuid=4010c3d1-a7b5-41fa-9a21-b7d8ea24466b"]}],"mendeley":{"formattedCitation":"(Mohan Kumar et al., 2013; Yenneti &amp; Day, 2016)","plainTextFormattedCitation":"(Mohan Kumar et al., 2013; Yenneti &amp; Day, 2016)","previouslyFormattedCitation":"(Mohan Kumar et al., 2013; Yenneti &amp; Day, 2016)"},"properties":{"noteIndex":0},"schema":"https://github.com/citation-style-language/schema/raw/master/csl-citation.json"}</w:instrText>
      </w:r>
      <w:r w:rsidR="00103696">
        <w:rPr>
          <w:rFonts w:eastAsia="Times New Roman"/>
        </w:rPr>
        <w:fldChar w:fldCharType="separate"/>
      </w:r>
      <w:r w:rsidR="00103696" w:rsidRPr="00103696">
        <w:rPr>
          <w:rFonts w:eastAsia="Times New Roman"/>
          <w:noProof/>
        </w:rPr>
        <w:t>(Mohan Kumar et al., 2013; Yenneti &amp; Day, 2016)</w:t>
      </w:r>
      <w:r w:rsidR="00103696">
        <w:rPr>
          <w:rFonts w:eastAsia="Times New Roman"/>
        </w:rPr>
        <w:fldChar w:fldCharType="end"/>
      </w:r>
      <w:r w:rsidRPr="00773A6E">
        <w:rPr>
          <w:rFonts w:eastAsia="Times New Roman"/>
        </w:rPr>
        <w:t xml:space="preserve">, (3) the presence and area of ​​informal human settlements, whose lack of legal protection further limits access to water supply sources </w:t>
      </w:r>
      <w:r w:rsidR="00103696">
        <w:rPr>
          <w:rFonts w:eastAsia="Times New Roman"/>
        </w:rPr>
        <w:fldChar w:fldCharType="begin" w:fldLock="1"/>
      </w:r>
      <w:r w:rsidR="00A82EA7">
        <w:rPr>
          <w:rFonts w:eastAsia="Times New Roman"/>
        </w:rPr>
        <w:instrText>ADDIN CSL_CITATION {"citationItems":[{"id":"ITEM-1","itemData":{"DOI":"10.1016/j.scitotenv.2017.06.157","ISSN":"18791026","PMID":"28704674","abstract":"For the next decade, the global water crisis remains the risk of highest concern, and ranks ahead of climate change, extreme weather events, food crises and social instability. Across the globe, nearly one in ten people is without access to an improved drinking water source. Least Developed Countries (LDCs) especially in sub-Saharan Africa (SSA) are the most affected, having disproportionately more of the global population without access to clean water than other major regions. Population growth, changing lifestyles, increasing pollution and accelerating urbanization will continue to widen the gap between the demand for water and available supply especially in urban areas, and disproportionately affect informal settlements, where the majority of SSA's urban population resides. Distribution and allocation of water will be affected by climate-induced water stresses, poor institutions, ineffective governance, and weak political will to address scarcity and mediate uncertainties in future supply. While attempts have been made by many scientists to examine different dimensions of water scarcity and urban population dynamics, there are few comprehensive reviews, especially focused on the particular situation in Sub-Saharan Africa. This paper contributes to interdisciplinary understanding of urban water supply by distilling and integrating relevant empirical knowledge on urban dynamics and water issues in SSA, focusing on progress made and associated challenges. It then points out future research directions including the need to understand how alternatives to centralized water policies may help deliver sustainable water supply to cities and informal settlements in the region.","author":[{"dropping-particle":"","family":"Santos","given":"S.","non-dropping-particle":"Dos","parse-names":false,"suffix":""},{"dropping-particle":"","family":"Adams","given":"E. A.","non-dropping-particle":"","parse-names":false,"suffix":""},{"dropping-particle":"","family":"Neville","given":"G.","non-dropping-particle":"","parse-names":false,"suffix":""},{"dropping-particle":"","family":"Wada","given":"Y.","non-dropping-particle":"","parse-names":false,"suffix":""},{"dropping-particle":"","family":"Sherbinin","given":"A.","non-dropping-particle":"de","parse-names":false,"suffix":""},{"dropping-particle":"","family":"Mullin Bernhardt","given":"E.","non-dropping-particle":"","parse-names":false,"suffix":""},{"dropping-particle":"","family":"Adamo","given":"S. B.","non-dropping-particle":"","parse-names":false,"suffix":""}],"container-title":"Science of the Total Environment","id":"ITEM-1","issued":{"date-parts":[["2017"]]},"page":"497-508","publisher":"Elsevier B.V.","title":"Urban growth and water access in sub-Saharan Africa: Progress, challenges, and emerging research directions","type":"article-journal","volume":"607-608"},"uris":["http://www.mendeley.com/documents/?uuid=5a439688-a597-48a9-8f4a-d029d3252f9a","http://www.mendeley.com/documents/?uuid=f55999cb-8eea-476d-bef8-e7c71262e88a"]}],"mendeley":{"formattedCitation":"(S. Dos Santos et al., 2017)","plainTextFormattedCitation":"(S. Dos Santos et al., 2017)","previouslyFormattedCitation":"(S. Dos Santos et al., 2017)"},"properties":{"noteIndex":0},"schema":"https://github.com/citation-style-language/schema/raw/master/csl-citation.json"}</w:instrText>
      </w:r>
      <w:r w:rsidR="00103696">
        <w:rPr>
          <w:rFonts w:eastAsia="Times New Roman"/>
        </w:rPr>
        <w:fldChar w:fldCharType="separate"/>
      </w:r>
      <w:r w:rsidR="00C060B1" w:rsidRPr="00C060B1">
        <w:rPr>
          <w:rFonts w:eastAsia="Times New Roman"/>
          <w:noProof/>
        </w:rPr>
        <w:t>(S. Dos Santos et al., 2017)</w:t>
      </w:r>
      <w:r w:rsidR="00103696">
        <w:rPr>
          <w:rFonts w:eastAsia="Times New Roman"/>
        </w:rPr>
        <w:fldChar w:fldCharType="end"/>
      </w:r>
      <w:r w:rsidR="00103696">
        <w:rPr>
          <w:rFonts w:eastAsia="Times New Roman"/>
        </w:rPr>
        <w:t>.</w:t>
      </w:r>
    </w:p>
    <w:p w14:paraId="18C097FA" w14:textId="5C43A42D" w:rsidR="00A606ED" w:rsidRPr="00773A6E" w:rsidRDefault="00A606ED" w:rsidP="00A606ED">
      <w:pPr>
        <w:spacing w:before="240" w:after="240"/>
        <w:jc w:val="both"/>
        <w:rPr>
          <w:rFonts w:eastAsia="Times New Roman"/>
        </w:rPr>
      </w:pPr>
      <w:r w:rsidRPr="00773A6E">
        <w:rPr>
          <w:rFonts w:eastAsia="Times New Roman"/>
        </w:rPr>
        <w:t xml:space="preserve">Regarding the quality and continuity of the water supply service, indicators associated with the average water consumed in different periods of the year, the seasonality of consumption and unexpected service interruptions were considered. Substantial variations in demand, especially in summer, require a greater adaptation capacity of the system and additional water sources to cover this seasonal demand, which exposes the system to losses in service continuity or low pressure </w:t>
      </w:r>
      <w:r w:rsidR="00103696">
        <w:rPr>
          <w:rFonts w:eastAsia="Times New Roman"/>
        </w:rPr>
        <w:fldChar w:fldCharType="begin" w:fldLock="1"/>
      </w:r>
      <w:r w:rsidR="00E700C0">
        <w:rPr>
          <w:rFonts w:eastAsia="Times New Roman"/>
        </w:rPr>
        <w:instrText>ADDIN CSL_CITATION {"citationItems":[{"id":"ITEM-1","itemData":{"DOI":"10.1126/sciadv.1500323","ISSN":"23752548","PMID":"26933676","abstract":"Freshwater scarcity is increasingly perceived as a global systemic risk. Previous global water scarcity assessments, measuring water scarcity annually, have underestimated experienced water scarcity by failing to capture the seasonal fluctuations in water consumption and availability. We assess blue water scarcity globally at a high spatial resolution on a monthly basis. We find that two-thirds of the global population (4.0 billion people) live under conditions of severe water scarcity at least 1 month of the year. Nearly half of those people live in India and China. Half a billion people in the world face severe water scarcity all year round. Putting caps to water consumption by river basin, increasing water-use efficiencies, and better sharing of the limited freshwater resources will be key in reducing the threat posed by water scarcity on biodiversity and human welfare.","author":[{"dropping-particle":"","family":"Mekonnen","given":"Mesfin M.","non-dropping-particle":"","parse-names":false,"suffix":""},{"dropping-particle":"","family":"Hoekstra","given":"Arjen Y.","non-dropping-particle":"","parse-names":false,"suffix":""}],"container-title":"Science Advances","id":"ITEM-1","issue":"2","issued":{"date-parts":[["2016"]]},"page":"1-7","title":"Sustainability: Four billion people facing severe water scarcity","type":"article-journal","volume":"2"},"uris":["http://www.mendeley.com/documents/?uuid=b611d6c5-b6a5-46bd-9e1f-d348edc315f9","http://www.mendeley.com/documents/?uuid=0f16f28d-c29c-41bb-a3bd-625d5950e328"]}],"mendeley":{"formattedCitation":"(Mekonnen &amp; Hoekstra, 2016)","plainTextFormattedCitation":"(Mekonnen &amp; Hoekstra, 2016)","previouslyFormattedCitation":"(Mekonnen &amp; Hoekstra, 2016)"},"properties":{"noteIndex":0},"schema":"https://github.com/citation-style-language/schema/raw/master/csl-citation.json"}</w:instrText>
      </w:r>
      <w:r w:rsidR="00103696">
        <w:rPr>
          <w:rFonts w:eastAsia="Times New Roman"/>
        </w:rPr>
        <w:fldChar w:fldCharType="separate"/>
      </w:r>
      <w:r w:rsidR="00103696" w:rsidRPr="00103696">
        <w:rPr>
          <w:rFonts w:eastAsia="Times New Roman"/>
          <w:noProof/>
        </w:rPr>
        <w:t>(Mekonnen &amp; Hoekstra, 2016)</w:t>
      </w:r>
      <w:r w:rsidR="00103696">
        <w:rPr>
          <w:rFonts w:eastAsia="Times New Roman"/>
        </w:rPr>
        <w:fldChar w:fldCharType="end"/>
      </w:r>
      <w:r w:rsidR="00103696">
        <w:rPr>
          <w:rFonts w:eastAsia="Times New Roman"/>
        </w:rPr>
        <w:t>.</w:t>
      </w:r>
    </w:p>
    <w:p w14:paraId="4B5AD599" w14:textId="77016FC1" w:rsidR="00C060B1" w:rsidRPr="00773A6E" w:rsidRDefault="00A606ED" w:rsidP="00A606ED">
      <w:pPr>
        <w:spacing w:before="240" w:after="240"/>
        <w:jc w:val="both"/>
        <w:rPr>
          <w:rFonts w:eastAsia="Times New Roman"/>
        </w:rPr>
      </w:pPr>
      <w:r w:rsidRPr="00773A6E">
        <w:rPr>
          <w:rFonts w:eastAsia="Times New Roman"/>
        </w:rPr>
        <w:t xml:space="preserve">Additionally, the presence of public services essential for the wellbeing and health of the population, such as hospitals, shelters, assistance centers, courts and municipalities, among others, which may see their functionality diminished in the event of a supply cut, increases the vulnerability of the area circumscribed to said service </w:t>
      </w:r>
      <w:r w:rsidR="00C060B1">
        <w:rPr>
          <w:rFonts w:eastAsia="Times New Roman"/>
        </w:rPr>
        <w:fldChar w:fldCharType="begin" w:fldLock="1"/>
      </w:r>
      <w:r w:rsidR="00A82EA7">
        <w:rPr>
          <w:rFonts w:eastAsia="Times New Roman"/>
        </w:rPr>
        <w:instrText>ADDIN CSL_CITATION {"citationItems":[{"id":"ITEM-1","itemData":{"DOI":"10.4000/bifea.2543","author":[{"dropping-particle":"","family":"D'Ercole","given":"Robert","non-dropping-particle":"","parse-names":false,"suffix":""},{"dropping-particle":"","family":"Metzger","given":"Pascale","non-dropping-particle":"","parse-names":false,"suffix":""}],"container-title":"Bulletin de l’Institut français d’études andines","id":"ITEM-1","issued":{"date-parts":[["2009"]]},"page":"893-915","title":"Las dimensiones espaciales del manejo de crisis. Interés de la investigación y aplicación en Quito","type":"article-journal","volume":"38"},"uris":["http://www.mendeley.com/documents/?uuid=0171552b-e385-4fae-9641-8206050876ed","http://www.mendeley.com/documents/?uuid=1f0fa53b-e1d4-43e8-a446-e45628c295bb"]}],"mendeley":{"formattedCitation":"(D’Ercole &amp; Metzger, 2009)","plainTextFormattedCitation":"(D’Ercole &amp; Metzger, 2009)","previouslyFormattedCitation":"(D’Ercole &amp; Metzger, 2009)"},"properties":{"noteIndex":0},"schema":"https://github.com/citation-style-language/schema/raw/master/csl-citation.json"}</w:instrText>
      </w:r>
      <w:r w:rsidR="00C060B1">
        <w:rPr>
          <w:rFonts w:eastAsia="Times New Roman"/>
        </w:rPr>
        <w:fldChar w:fldCharType="separate"/>
      </w:r>
      <w:r w:rsidR="00C060B1" w:rsidRPr="00C060B1">
        <w:rPr>
          <w:rFonts w:eastAsia="Times New Roman"/>
          <w:noProof/>
        </w:rPr>
        <w:t>(D’Ercole &amp; Metzger, 2009)</w:t>
      </w:r>
      <w:r w:rsidR="00C060B1">
        <w:rPr>
          <w:rFonts w:eastAsia="Times New Roman"/>
        </w:rPr>
        <w:fldChar w:fldCharType="end"/>
      </w:r>
      <w:r w:rsidRPr="00773A6E">
        <w:rPr>
          <w:rFonts w:eastAsia="Times New Roman"/>
        </w:rPr>
        <w:t xml:space="preserve">. Finally, territories that depend mainly on surface water production are more sensitive since meteorological drought affects them more quickly than groundwater sources </w:t>
      </w:r>
      <w:r w:rsidR="00C060B1">
        <w:rPr>
          <w:rFonts w:eastAsia="Times New Roman"/>
        </w:rPr>
        <w:fldChar w:fldCharType="begin" w:fldLock="1"/>
      </w:r>
      <w:r w:rsidR="00A82EA7">
        <w:rPr>
          <w:rFonts w:eastAsia="Times New Roman"/>
        </w:rPr>
        <w:instrText>ADDIN CSL_CITATION {"citationItems":[{"id":"ITEM-1","itemData":{"DOI":"10.1007/s12524-010-0050-6","ISBN":"1252401000","ISSN":"0255660X","abstract":"The importance of groundwater is growing based on an increase in need and decrease in the availability of fresh surface water sources and adequate rainfall. Remote Sensing and Geographic Information System (GIS) has become one of the leading tools in the field of hydrogeological science, which helps in assessing, monitoring and conserving groundwater resources. This paper describes the results of a groundwater potentiality and quality assessment conducted in Koduvan Ár sub-watershed of Meenachil river basin, Kottayam district of Kerala state, in the Republic of India. Shallow groundwater is the main source of drinking water in urban and rural areas, but reliable spatial data on its potentiality and quality are currently insufficient for developing the water-supply systems with standard designs. The methodology used in the present study includes an integrated approach of remote sensing and GIS for the construction of groundwater potentiality map and the assessment of water quality of identified wells. Different spatial data layers such as, geomorphology, lithology, slope and land use/ land cover are generated and the interrelationship between these layers were analyzed to identify and assess the groundwater potentiality of the area. The final result depicts the favourable prospective zones in the study area with its quality parameters and can be helpful to formulate recommendations to reduce the water scarcity and quality risks for public health. © 2011 Indian Society of Remote Sensing.","author":[{"dropping-particle":"","family":"Rekha","given":"V. B.","non-dropping-particle":"","parse-names":false,"suffix":""},{"dropping-particle":"","family":"Thomas","given":"A. P.","non-dropping-particle":"","parse-names":false,"suffix":""},{"dropping-particle":"","family":"Suma","given":"M.","non-dropping-particle":"","parse-names":false,"suffix":""},{"dropping-particle":"","family":"Vijith","given":"H.","non-dropping-particle":"","parse-names":false,"suffix":""}],"container-title":"Journal of the Indian Society of Remote Sensing","id":"ITEM-1","issue":"1","issued":{"date-parts":[["2011"]]},"page":"63-71","title":"An Integration of Spatial Information Technology for Groundwater Potential and Quality Investigations in Koduvan Ár Sub-Watershed of Meenachil River Basin, Kerala, India","type":"article-journal","volume":"39"},"uris":["http://www.mendeley.com/documents/?uuid=8c3fb632-91b7-4193-ab55-d1c665cd6d77","http://www.mendeley.com/documents/?uuid=fcead6ba-6161-4b85-b081-61cfbcec7906"]},{"id":"ITEM-2","itemData":{"DOI":"10.1016/j.scitotenv.2016.08.053","ISSN":"18791026","abstract":"Climate change will likely increase pressure on the water balances of Mediterranean basins due to decreasing precipitation and rising temperatures. To overcome the issue of data scarcity the hydrological relevant variables total runoff, surface evaporation, precipitation and air temperature are taken from climate model simulations. The ensemble applied in this study consists of 22 simulations, derived from different combinations of four General Circulation Models (GCMs) forcing different Regional Climate Models (RCMs) and two Representative Concentration Pathways (RCPs) at ~ 12 km horizontal resolution provided through the EURO-CORDEX initiative. Four river basins (Adige, Ebro, Evrotas and Sava) are selected and climate change signals for the future period 2035–2065 as compared to the reference period 1981–2010 are investigated. Decreased runoff and evaporation indicate increased water scarcity over the Ebro and the Evrotas, as well as the southern parts of the Adige and the Sava, resulting from a temperature increase of 1–3° and precipitation decrease of up to 30%. Most severe changes are projected for the summer months indicating further pressure on the river basins already at least partly characterized by flow intermittency. The widely used Falkenmark indicator is presented and confirms this tendency and shows the necessity for spatially distributed analysis and high resolution projections. Related uncertainties are addressed by the means of a variance decomposition and model agreement to determine the robustness of the projections. The study highlights the importance of high resolution climate projections and represents a feasible approach to assess climate impacts on water scarcity also in regions that suffer from data scarcity.","author":[{"dropping-particle":"","family":"Gampe","given":"David","non-dropping-particle":"","parse-names":false,"suffix":""},{"dropping-particle":"","family":"Nikulin","given":"Grigory","non-dropping-particle":"","parse-names":false,"suffix":""},{"dropping-particle":"","family":"Ludwig","given":"Ralf","non-dropping-particle":"","parse-names":false,"suffix":""}],"container-title":"Science of the Total Environment","id":"ITEM-2","issued":{"date-parts":[["2016"]]},"page":"1503-1518","publisher":"Elsevier B.V.","title":"Using an ensemble of regional climate models to assess climate change impacts on water scarcity in European river basins","type":"article-journal","volume":"573"},"uris":["http://www.mendeley.com/documents/?uuid=5ec22889-5f25-4582-a86a-6256d2587ed3","http://www.mendeley.com/documents/?uuid=43db2e3a-4c9f-482e-8b2e-0f5102d4831b"]}],"mendeley":{"formattedCitation":"(Gampe et al., 2016; Rekha et al., 2011)","plainTextFormattedCitation":"(Gampe et al., 2016; Rekha et al., 2011)","previouslyFormattedCitation":"(Gampe et al., 2016; Rekha et al., 2011)"},"properties":{"noteIndex":0},"schema":"https://github.com/citation-style-language/schema/raw/master/csl-citation.json"}</w:instrText>
      </w:r>
      <w:r w:rsidR="00C060B1">
        <w:rPr>
          <w:rFonts w:eastAsia="Times New Roman"/>
        </w:rPr>
        <w:fldChar w:fldCharType="separate"/>
      </w:r>
      <w:r w:rsidR="00C060B1" w:rsidRPr="00C060B1">
        <w:rPr>
          <w:rFonts w:eastAsia="Times New Roman"/>
          <w:noProof/>
        </w:rPr>
        <w:t>(Gampe et al., 2016; Rekha et al., 2011)</w:t>
      </w:r>
      <w:r w:rsidR="00C060B1">
        <w:rPr>
          <w:rFonts w:eastAsia="Times New Roman"/>
        </w:rPr>
        <w:fldChar w:fldCharType="end"/>
      </w:r>
    </w:p>
    <w:p w14:paraId="390514B5" w14:textId="08FFA617" w:rsidR="00A606ED" w:rsidRPr="00773A6E" w:rsidRDefault="00A606ED" w:rsidP="00A606ED">
      <w:pPr>
        <w:spacing w:before="240" w:after="240"/>
        <w:jc w:val="both"/>
        <w:rPr>
          <w:rFonts w:eastAsia="Times New Roman"/>
        </w:rPr>
      </w:pPr>
      <w:r w:rsidRPr="00773A6E">
        <w:rPr>
          <w:rFonts w:eastAsia="Times New Roman"/>
        </w:rPr>
        <w:t xml:space="preserve">The response capacity analysis is mainly associated to the system’s flexibility, understood as the ability to adapt to the lack of water and could be </w:t>
      </w:r>
      <w:r w:rsidR="0084324D" w:rsidRPr="00773A6E">
        <w:rPr>
          <w:rFonts w:eastAsia="Times New Roman"/>
        </w:rPr>
        <w:t>characterized</w:t>
      </w:r>
      <w:r w:rsidRPr="00773A6E">
        <w:rPr>
          <w:rFonts w:eastAsia="Times New Roman"/>
        </w:rPr>
        <w:t xml:space="preserve"> by </w:t>
      </w:r>
      <w:r w:rsidR="00265466">
        <w:rPr>
          <w:rFonts w:eastAsia="Times New Roman"/>
        </w:rPr>
        <w:t xml:space="preserve">the </w:t>
      </w:r>
      <w:r w:rsidRPr="00773A6E">
        <w:rPr>
          <w:rFonts w:eastAsia="Times New Roman"/>
        </w:rPr>
        <w:t xml:space="preserve">diversity of sources, planning for droughts and climate change and hours of  distribution system’s autonomy, among others </w:t>
      </w:r>
      <w:r w:rsidR="00103696">
        <w:rPr>
          <w:rFonts w:eastAsia="Times New Roman"/>
        </w:rPr>
        <w:fldChar w:fldCharType="begin" w:fldLock="1"/>
      </w:r>
      <w:r w:rsidR="00E700C0">
        <w:rPr>
          <w:rFonts w:eastAsia="Times New Roman"/>
        </w:rPr>
        <w:instrText>ADDIN CSL_CITATION {"citationItems":[{"id":"ITEM-1","itemData":{"DOI":"10.1016/j.watres.2020.116411","ISSN":"18792448","PMID":"32949887","abstract":"Cities are wrestling with the practical challenges of transitioning urban water services to become water sensitive; capable of enhancing liveability, sustainability, resilience and productivity in the face of climate change, rapid urbanisation, degraded ecosystems and ageing infrastructure. Indicators can be valuable for guiding actions for improvement, but there is not yet an established index that measures the full suite of attributes that constitute water sensitive performance. This paper therefore presents the Water Sensitive Cities (WSC) Index, a new benchmarking and diagnostic tool to assess the water sensitivity of a municipal or metropolitan city, set aspirational targets and inform management responses to improve water sensitive practices. Its 34 indicators are organised into seven goals: ensure good water sensitive governance, increase community capital, achieve equity of essential services, improve productivity and resource efficiency, improve ecological health, ensure quality urban spaces, and promote adaptive infrastructure. The WSC Index design is a quantitative framework based on qualitative rating descriptions and a participatory assessment methodology, enabling local contextual interpretations of the indicators while maintaining a robust universal framework for city comparison and benchmarking. The paper demonstrates its application on three illustrative cases. Rapid uptake of the WSC Index in Australia highlights its value in helping stakeholders develop collective commitment and evidence-based priorities for action to accelerate their city's water sensitive transition. Early testing in cities in Asia, the Pacific and South Africa has also showed the potential of the WSC Index internationally.","author":[{"dropping-particle":"","family":"Rogers","given":"B. C.","non-dropping-particle":"","parse-names":false,"suffix":""},{"dropping-particle":"","family":"Dunn","given":"G.","non-dropping-particle":"","parse-names":false,"suffix":""},{"dropping-particle":"","family":"Hammer","given":"K.","non-dropping-particle":"","parse-names":false,"suffix":""},{"dropping-particle":"","family":"Novalia","given":"W.","non-dropping-particle":"","parse-names":false,"suffix":""},{"dropping-particle":"","family":"Haan","given":"F. J.","non-dropping-particle":"de","parse-names":false,"suffix":""},{"dropping-particle":"","family":"Brown","given":"L.","non-dropping-particle":"","parse-names":false,"suffix":""},{"dropping-particle":"","family":"Brown","given":"R. R.","non-dropping-particle":"","parse-names":false,"suffix":""},{"dropping-particle":"","family":"Lloyd","given":"S.","non-dropping-particle":"","parse-names":false,"suffix":""},{"dropping-particle":"","family":"Urich","given":"C.","non-dropping-particle":"","parse-names":false,"suffix":""},{"dropping-particle":"","family":"Wong","given":"T. H.F.","non-dropping-particle":"","parse-names":false,"suffix":""},{"dropping-particle":"","family":"Chesterfield","given":"C.","non-dropping-particle":"","parse-names":false,"suffix":""}],"container-title":"Water Research","id":"ITEM-1","issued":{"date-parts":[["2020"]]},"page":"116411","publisher":"Elsevier Ltd","title":"Water Sensitive Cities Index: A diagnostic tool to assess water sensitivity and guide management actions","type":"article-journal","volume":"186"},"uris":["http://www.mendeley.com/documents/?uuid=456d8938-de6f-4375-b160-99d6070c85b4","http://www.mendeley.com/documents/?uuid=43004bf5-6a24-4494-a08e-f8461dc47675"]},{"id":"ITEM-2","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Policy","id":"ITEM-2","issue":"September 2017","issued":{"date-parts":[["2018"]]},"page":"33-45","publisher":"Elsevier","title":"Urban water security indicators: Development and pilot","type":"article-journal","volume":"83"},"uris":["http://www.mendeley.com/documents/?uuid=e7afa2e0-9e23-40fc-9cf3-be2b7d571e34"]}],"mendeley":{"formattedCitation":"(Jensen &amp; Wu, 2018; Rogers et al., 2020)","plainTextFormattedCitation":"(Jensen &amp; Wu, 2018; Rogers et al., 2020)","previouslyFormattedCitation":"(Jensen &amp; Wu, 2018; Rogers et al., 2020)"},"properties":{"noteIndex":0},"schema":"https://github.com/citation-style-language/schema/raw/master/csl-citation.json"}</w:instrText>
      </w:r>
      <w:r w:rsidR="00103696">
        <w:rPr>
          <w:rFonts w:eastAsia="Times New Roman"/>
        </w:rPr>
        <w:fldChar w:fldCharType="separate"/>
      </w:r>
      <w:r w:rsidR="00EC2386" w:rsidRPr="00EC2386">
        <w:rPr>
          <w:rFonts w:eastAsia="Times New Roman"/>
          <w:noProof/>
        </w:rPr>
        <w:t>(Jensen &amp; Wu, 2018; Rogers et al., 2020)</w:t>
      </w:r>
      <w:r w:rsidR="00103696">
        <w:rPr>
          <w:rFonts w:eastAsia="Times New Roman"/>
        </w:rPr>
        <w:fldChar w:fldCharType="end"/>
      </w:r>
      <w:r w:rsidRPr="00773A6E">
        <w:rPr>
          <w:rFonts w:eastAsia="Times New Roman"/>
        </w:rPr>
        <w:t>(see table 2).</w:t>
      </w:r>
    </w:p>
    <w:p w14:paraId="12F82BC3" w14:textId="076DC6AF" w:rsidR="00A606ED" w:rsidRPr="00773A6E" w:rsidRDefault="00A606ED" w:rsidP="00A606ED">
      <w:pPr>
        <w:spacing w:before="240" w:after="240"/>
        <w:jc w:val="both"/>
        <w:rPr>
          <w:rFonts w:eastAsia="Times New Roman"/>
        </w:rPr>
      </w:pPr>
      <w:r w:rsidRPr="00773A6E">
        <w:rPr>
          <w:rFonts w:eastAsia="Times New Roman"/>
        </w:rPr>
        <w:t xml:space="preserve">The number and capacity of alternative supply sources, as well as the autonomy of the distribution system (Jensen &amp; Wu, 2018), are considered indicators of the system's short-term flexibility to respond to shocks that abruptly interrupt the service. On the other </w:t>
      </w:r>
      <w:r w:rsidR="0084324D" w:rsidRPr="00773A6E">
        <w:rPr>
          <w:rFonts w:eastAsia="Times New Roman"/>
        </w:rPr>
        <w:t>hand, the</w:t>
      </w:r>
      <w:r w:rsidRPr="00773A6E">
        <w:rPr>
          <w:rFonts w:eastAsia="Times New Roman"/>
        </w:rPr>
        <w:t xml:space="preserve"> diversity of catchment sources (Jensen &amp; Wu; 2018) and water loss in the system indicators are used to evaluate the system's flexibility in the medium and long term. The increases in population and the effects of climate change will impact the effectiveness of the water supply system in providing the service that the population requires.</w:t>
      </w:r>
    </w:p>
    <w:p w14:paraId="133E85F9" w14:textId="1E1D7CAC" w:rsidR="00A606ED" w:rsidRPr="00411594" w:rsidRDefault="00A606ED" w:rsidP="006C4954">
      <w:pPr>
        <w:pStyle w:val="FigureorTableCaption"/>
      </w:pPr>
      <w:r w:rsidRPr="00411594">
        <w:rPr>
          <w:b/>
        </w:rPr>
        <w:t>Table 1</w:t>
      </w:r>
      <w:r w:rsidRPr="00773A6E">
        <w:t>: Indicators used for the sensitivity index</w:t>
      </w:r>
    </w:p>
    <w:tbl>
      <w:tblPr>
        <w:tblW w:w="9776" w:type="dxa"/>
        <w:tblBorders>
          <w:top w:val="single" w:sz="4" w:space="0" w:color="7F7F7F"/>
          <w:bottom w:val="single" w:sz="4" w:space="0" w:color="7F7F7F"/>
        </w:tblBorders>
        <w:tblLayout w:type="fixed"/>
        <w:tblLook w:val="04A0" w:firstRow="1" w:lastRow="0" w:firstColumn="1" w:lastColumn="0" w:noHBand="0" w:noVBand="1"/>
      </w:tblPr>
      <w:tblGrid>
        <w:gridCol w:w="1337"/>
        <w:gridCol w:w="1730"/>
        <w:gridCol w:w="3533"/>
        <w:gridCol w:w="980"/>
        <w:gridCol w:w="1559"/>
        <w:gridCol w:w="637"/>
      </w:tblGrid>
      <w:tr w:rsidR="00A606ED" w14:paraId="322E38E9" w14:textId="77777777" w:rsidTr="00265466">
        <w:trPr>
          <w:trHeight w:val="480"/>
        </w:trPr>
        <w:tc>
          <w:tcPr>
            <w:tcW w:w="1337" w:type="dxa"/>
          </w:tcPr>
          <w:p w14:paraId="60A66710" w14:textId="77777777" w:rsidR="00A606ED" w:rsidRDefault="00A606ED" w:rsidP="00265466">
            <w:pPr>
              <w:jc w:val="center"/>
              <w:rPr>
                <w:sz w:val="18"/>
                <w:szCs w:val="18"/>
              </w:rPr>
            </w:pPr>
            <w:r>
              <w:rPr>
                <w:sz w:val="18"/>
                <w:szCs w:val="18"/>
              </w:rPr>
              <w:t>Subdimension</w:t>
            </w:r>
          </w:p>
        </w:tc>
        <w:tc>
          <w:tcPr>
            <w:tcW w:w="1730" w:type="dxa"/>
          </w:tcPr>
          <w:p w14:paraId="6ACCC732" w14:textId="77777777" w:rsidR="00A606ED" w:rsidRDefault="00A606ED" w:rsidP="00265466">
            <w:pPr>
              <w:jc w:val="center"/>
              <w:rPr>
                <w:sz w:val="18"/>
                <w:szCs w:val="18"/>
              </w:rPr>
            </w:pPr>
            <w:r>
              <w:rPr>
                <w:sz w:val="18"/>
                <w:szCs w:val="18"/>
              </w:rPr>
              <w:t>Indicator</w:t>
            </w:r>
          </w:p>
        </w:tc>
        <w:tc>
          <w:tcPr>
            <w:tcW w:w="3533" w:type="dxa"/>
          </w:tcPr>
          <w:p w14:paraId="4D02C911" w14:textId="77777777" w:rsidR="00A606ED" w:rsidRDefault="00A606ED" w:rsidP="00265466">
            <w:pPr>
              <w:jc w:val="center"/>
              <w:rPr>
                <w:sz w:val="18"/>
                <w:szCs w:val="18"/>
              </w:rPr>
            </w:pPr>
            <w:r>
              <w:rPr>
                <w:sz w:val="18"/>
                <w:szCs w:val="18"/>
              </w:rPr>
              <w:t>Description</w:t>
            </w:r>
          </w:p>
        </w:tc>
        <w:tc>
          <w:tcPr>
            <w:tcW w:w="980" w:type="dxa"/>
          </w:tcPr>
          <w:p w14:paraId="7EE86D69" w14:textId="77777777" w:rsidR="00A606ED" w:rsidRDefault="00A606ED" w:rsidP="00265466">
            <w:pPr>
              <w:jc w:val="center"/>
              <w:rPr>
                <w:sz w:val="18"/>
                <w:szCs w:val="18"/>
              </w:rPr>
            </w:pPr>
            <w:r>
              <w:rPr>
                <w:sz w:val="18"/>
                <w:szCs w:val="18"/>
              </w:rPr>
              <w:t>Spatial resolution</w:t>
            </w:r>
          </w:p>
        </w:tc>
        <w:tc>
          <w:tcPr>
            <w:tcW w:w="1559" w:type="dxa"/>
          </w:tcPr>
          <w:p w14:paraId="35BA45FD" w14:textId="77777777" w:rsidR="00A606ED" w:rsidRDefault="00A606ED" w:rsidP="00265466">
            <w:pPr>
              <w:jc w:val="center"/>
              <w:rPr>
                <w:sz w:val="18"/>
                <w:szCs w:val="18"/>
              </w:rPr>
            </w:pPr>
            <w:r>
              <w:rPr>
                <w:sz w:val="18"/>
                <w:szCs w:val="18"/>
              </w:rPr>
              <w:t>Data Source</w:t>
            </w:r>
          </w:p>
        </w:tc>
        <w:tc>
          <w:tcPr>
            <w:tcW w:w="637" w:type="dxa"/>
          </w:tcPr>
          <w:p w14:paraId="461BC3AA" w14:textId="77777777" w:rsidR="00A606ED" w:rsidRDefault="00A606ED" w:rsidP="00265466">
            <w:pPr>
              <w:jc w:val="center"/>
              <w:rPr>
                <w:sz w:val="18"/>
                <w:szCs w:val="18"/>
              </w:rPr>
            </w:pPr>
            <w:r>
              <w:rPr>
                <w:sz w:val="18"/>
                <w:szCs w:val="18"/>
              </w:rPr>
              <w:t>Year</w:t>
            </w:r>
          </w:p>
        </w:tc>
      </w:tr>
      <w:tr w:rsidR="00A606ED" w14:paraId="0510E746" w14:textId="77777777" w:rsidTr="00265466">
        <w:trPr>
          <w:trHeight w:val="480"/>
        </w:trPr>
        <w:tc>
          <w:tcPr>
            <w:tcW w:w="1337" w:type="dxa"/>
            <w:vMerge w:val="restart"/>
          </w:tcPr>
          <w:p w14:paraId="324A088E" w14:textId="77777777" w:rsidR="00A606ED" w:rsidRDefault="00A606ED" w:rsidP="00265466">
            <w:pPr>
              <w:rPr>
                <w:sz w:val="18"/>
                <w:szCs w:val="18"/>
              </w:rPr>
            </w:pPr>
            <w:r>
              <w:rPr>
                <w:sz w:val="18"/>
                <w:szCs w:val="18"/>
              </w:rPr>
              <w:t>Socioeconomic</w:t>
            </w:r>
          </w:p>
        </w:tc>
        <w:tc>
          <w:tcPr>
            <w:tcW w:w="1730" w:type="dxa"/>
          </w:tcPr>
          <w:p w14:paraId="5D36F51E" w14:textId="77777777" w:rsidR="00A606ED" w:rsidRDefault="00A606ED" w:rsidP="00265466">
            <w:pPr>
              <w:rPr>
                <w:sz w:val="18"/>
                <w:szCs w:val="18"/>
              </w:rPr>
            </w:pPr>
            <w:r>
              <w:rPr>
                <w:sz w:val="18"/>
                <w:szCs w:val="18"/>
              </w:rPr>
              <w:t>Education level</w:t>
            </w:r>
          </w:p>
        </w:tc>
        <w:tc>
          <w:tcPr>
            <w:tcW w:w="3533" w:type="dxa"/>
          </w:tcPr>
          <w:p w14:paraId="20666F52" w14:textId="77777777" w:rsidR="00A606ED" w:rsidRPr="00773A6E" w:rsidRDefault="00A606ED" w:rsidP="00265466">
            <w:pPr>
              <w:rPr>
                <w:sz w:val="18"/>
                <w:szCs w:val="18"/>
              </w:rPr>
            </w:pPr>
            <w:r w:rsidRPr="00773A6E">
              <w:rPr>
                <w:sz w:val="18"/>
                <w:szCs w:val="18"/>
              </w:rPr>
              <w:t>Proportion of households with a low educational level (&lt;8 years) of the household lead</w:t>
            </w:r>
          </w:p>
        </w:tc>
        <w:tc>
          <w:tcPr>
            <w:tcW w:w="980" w:type="dxa"/>
          </w:tcPr>
          <w:p w14:paraId="14C95417" w14:textId="77777777" w:rsidR="00A606ED" w:rsidRDefault="00A606ED" w:rsidP="00265466">
            <w:pPr>
              <w:rPr>
                <w:sz w:val="18"/>
                <w:szCs w:val="18"/>
              </w:rPr>
            </w:pPr>
            <w:r>
              <w:rPr>
                <w:sz w:val="18"/>
                <w:szCs w:val="18"/>
              </w:rPr>
              <w:t>Census zone</w:t>
            </w:r>
          </w:p>
        </w:tc>
        <w:tc>
          <w:tcPr>
            <w:tcW w:w="1559" w:type="dxa"/>
          </w:tcPr>
          <w:p w14:paraId="0AABABC8" w14:textId="38D11EAE" w:rsidR="00A606ED" w:rsidRPr="006F5566" w:rsidRDefault="006F5566" w:rsidP="006F5566">
            <w:pPr>
              <w:rPr>
                <w:sz w:val="18"/>
                <w:szCs w:val="18"/>
                <w:lang w:val="es-CL"/>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2017","type":"webpage"},"uris":["http://www.mendeley.com/documents/?uuid=5584a408-2593-4a20-901c-9381227880ab","http://www.mendeley.com/documents/?uuid=965cd14a-97f6-467e-b439-13eb3fa82d31"]}],"mendeley":{"formattedCitation":"(INE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76E9DEAF" w14:textId="77777777" w:rsidR="00A606ED" w:rsidRDefault="00A606ED" w:rsidP="00265466">
            <w:pPr>
              <w:jc w:val="right"/>
              <w:rPr>
                <w:sz w:val="18"/>
                <w:szCs w:val="18"/>
              </w:rPr>
            </w:pPr>
            <w:r>
              <w:rPr>
                <w:sz w:val="18"/>
                <w:szCs w:val="18"/>
              </w:rPr>
              <w:t>2017</w:t>
            </w:r>
          </w:p>
        </w:tc>
      </w:tr>
      <w:tr w:rsidR="00A606ED" w14:paraId="1656ECF0" w14:textId="77777777" w:rsidTr="00265466">
        <w:trPr>
          <w:trHeight w:val="480"/>
        </w:trPr>
        <w:tc>
          <w:tcPr>
            <w:tcW w:w="1337" w:type="dxa"/>
            <w:vMerge/>
          </w:tcPr>
          <w:p w14:paraId="74851A1B" w14:textId="77777777" w:rsidR="00A606ED" w:rsidRDefault="00A606ED" w:rsidP="00265466">
            <w:pPr>
              <w:widowControl w:val="0"/>
              <w:pBdr>
                <w:top w:val="nil"/>
                <w:left w:val="nil"/>
                <w:bottom w:val="nil"/>
                <w:right w:val="nil"/>
                <w:between w:val="nil"/>
              </w:pBdr>
              <w:spacing w:line="276" w:lineRule="auto"/>
              <w:rPr>
                <w:sz w:val="18"/>
                <w:szCs w:val="18"/>
              </w:rPr>
            </w:pPr>
          </w:p>
        </w:tc>
        <w:tc>
          <w:tcPr>
            <w:tcW w:w="1730" w:type="dxa"/>
          </w:tcPr>
          <w:p w14:paraId="3147680F" w14:textId="77777777" w:rsidR="00A606ED" w:rsidRDefault="00A606ED" w:rsidP="00265466">
            <w:pPr>
              <w:rPr>
                <w:sz w:val="18"/>
                <w:szCs w:val="18"/>
              </w:rPr>
            </w:pPr>
            <w:r>
              <w:rPr>
                <w:sz w:val="18"/>
                <w:szCs w:val="18"/>
              </w:rPr>
              <w:t>Income Poverty</w:t>
            </w:r>
          </w:p>
        </w:tc>
        <w:tc>
          <w:tcPr>
            <w:tcW w:w="3533" w:type="dxa"/>
          </w:tcPr>
          <w:p w14:paraId="1B6FD0CE" w14:textId="77777777" w:rsidR="00A606ED" w:rsidRPr="00773A6E" w:rsidRDefault="00A606ED" w:rsidP="00265466">
            <w:pPr>
              <w:rPr>
                <w:sz w:val="18"/>
                <w:szCs w:val="18"/>
              </w:rPr>
            </w:pPr>
            <w:r w:rsidRPr="00773A6E">
              <w:rPr>
                <w:sz w:val="18"/>
                <w:szCs w:val="18"/>
              </w:rPr>
              <w:t>Proportion of households under the Chilean poverty line.</w:t>
            </w:r>
          </w:p>
        </w:tc>
        <w:tc>
          <w:tcPr>
            <w:tcW w:w="980" w:type="dxa"/>
          </w:tcPr>
          <w:p w14:paraId="2BAA4202" w14:textId="77777777" w:rsidR="00A606ED" w:rsidRDefault="00A606ED" w:rsidP="00265466">
            <w:pPr>
              <w:rPr>
                <w:sz w:val="18"/>
                <w:szCs w:val="18"/>
              </w:rPr>
            </w:pPr>
            <w:r>
              <w:rPr>
                <w:sz w:val="18"/>
                <w:szCs w:val="18"/>
              </w:rPr>
              <w:t>Census zone</w:t>
            </w:r>
          </w:p>
        </w:tc>
        <w:tc>
          <w:tcPr>
            <w:tcW w:w="1559" w:type="dxa"/>
          </w:tcPr>
          <w:p w14:paraId="3DB31208" w14:textId="66EFD9A5" w:rsidR="00A606ED" w:rsidRDefault="008F2A65" w:rsidP="00265466">
            <w:pPr>
              <w:rPr>
                <w:sz w:val="18"/>
                <w:szCs w:val="18"/>
              </w:rPr>
            </w:pPr>
            <w:r>
              <w:rPr>
                <w:sz w:val="18"/>
                <w:szCs w:val="18"/>
              </w:rPr>
              <w:t>(</w:t>
            </w:r>
            <w:r w:rsidR="00A606ED">
              <w:rPr>
                <w:sz w:val="18"/>
                <w:szCs w:val="18"/>
              </w:rPr>
              <w:t>Muñoz et al., 2019</w:t>
            </w:r>
            <w:r>
              <w:rPr>
                <w:sz w:val="18"/>
                <w:szCs w:val="18"/>
              </w:rPr>
              <w:t>)</w:t>
            </w:r>
          </w:p>
        </w:tc>
        <w:tc>
          <w:tcPr>
            <w:tcW w:w="637" w:type="dxa"/>
          </w:tcPr>
          <w:p w14:paraId="19C78571" w14:textId="77777777" w:rsidR="00A606ED" w:rsidRDefault="00A606ED" w:rsidP="00265466">
            <w:pPr>
              <w:jc w:val="right"/>
              <w:rPr>
                <w:sz w:val="18"/>
                <w:szCs w:val="18"/>
              </w:rPr>
            </w:pPr>
            <w:r>
              <w:rPr>
                <w:sz w:val="18"/>
                <w:szCs w:val="18"/>
              </w:rPr>
              <w:t>2018</w:t>
            </w:r>
          </w:p>
        </w:tc>
      </w:tr>
      <w:tr w:rsidR="006F5566" w14:paraId="195B1EFE" w14:textId="77777777" w:rsidTr="00265466">
        <w:trPr>
          <w:trHeight w:val="480"/>
        </w:trPr>
        <w:tc>
          <w:tcPr>
            <w:tcW w:w="1337" w:type="dxa"/>
            <w:vMerge w:val="restart"/>
          </w:tcPr>
          <w:p w14:paraId="1FCC5F19" w14:textId="77777777" w:rsidR="006F5566" w:rsidRDefault="006F5566" w:rsidP="006F5566">
            <w:pPr>
              <w:rPr>
                <w:sz w:val="18"/>
                <w:szCs w:val="18"/>
              </w:rPr>
            </w:pPr>
            <w:r>
              <w:rPr>
                <w:sz w:val="18"/>
                <w:szCs w:val="18"/>
              </w:rPr>
              <w:lastRenderedPageBreak/>
              <w:t>Demographic</w:t>
            </w:r>
          </w:p>
        </w:tc>
        <w:tc>
          <w:tcPr>
            <w:tcW w:w="1730" w:type="dxa"/>
          </w:tcPr>
          <w:p w14:paraId="7E69067D" w14:textId="77777777" w:rsidR="006F5566" w:rsidRDefault="006F5566" w:rsidP="006F5566">
            <w:pPr>
              <w:rPr>
                <w:sz w:val="18"/>
                <w:szCs w:val="18"/>
              </w:rPr>
            </w:pPr>
            <w:r>
              <w:rPr>
                <w:sz w:val="18"/>
                <w:szCs w:val="18"/>
              </w:rPr>
              <w:t>Territorial segregation index</w:t>
            </w:r>
          </w:p>
        </w:tc>
        <w:tc>
          <w:tcPr>
            <w:tcW w:w="3533" w:type="dxa"/>
          </w:tcPr>
          <w:p w14:paraId="1E2AE365" w14:textId="77777777" w:rsidR="006F5566" w:rsidRPr="00773A6E" w:rsidRDefault="006F5566" w:rsidP="006F5566">
            <w:pPr>
              <w:rPr>
                <w:sz w:val="18"/>
                <w:szCs w:val="18"/>
              </w:rPr>
            </w:pPr>
            <w:r w:rsidRPr="00773A6E">
              <w:rPr>
                <w:sz w:val="18"/>
                <w:szCs w:val="18"/>
              </w:rPr>
              <w:t>Spatial Segregation Indicator, generated by the aggregation of 26 sub-indicators</w:t>
            </w:r>
          </w:p>
        </w:tc>
        <w:tc>
          <w:tcPr>
            <w:tcW w:w="980" w:type="dxa"/>
          </w:tcPr>
          <w:p w14:paraId="6E626870" w14:textId="77777777" w:rsidR="006F5566" w:rsidRDefault="006F5566" w:rsidP="006F5566">
            <w:pPr>
              <w:rPr>
                <w:sz w:val="18"/>
                <w:szCs w:val="18"/>
              </w:rPr>
            </w:pPr>
            <w:r>
              <w:rPr>
                <w:sz w:val="18"/>
                <w:szCs w:val="18"/>
              </w:rPr>
              <w:t>Census zone</w:t>
            </w:r>
          </w:p>
        </w:tc>
        <w:tc>
          <w:tcPr>
            <w:tcW w:w="1559" w:type="dxa"/>
          </w:tcPr>
          <w:p w14:paraId="504D8D38" w14:textId="738E8A09"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4A2F72FD" w14:textId="77777777" w:rsidR="006F5566" w:rsidRDefault="006F5566" w:rsidP="006F5566">
            <w:pPr>
              <w:jc w:val="right"/>
              <w:rPr>
                <w:sz w:val="18"/>
                <w:szCs w:val="18"/>
              </w:rPr>
            </w:pPr>
            <w:r>
              <w:rPr>
                <w:sz w:val="18"/>
                <w:szCs w:val="18"/>
              </w:rPr>
              <w:t>2017</w:t>
            </w:r>
          </w:p>
        </w:tc>
      </w:tr>
      <w:tr w:rsidR="006F5566" w14:paraId="6E7927D7" w14:textId="77777777" w:rsidTr="00265466">
        <w:trPr>
          <w:trHeight w:val="480"/>
        </w:trPr>
        <w:tc>
          <w:tcPr>
            <w:tcW w:w="1337" w:type="dxa"/>
            <w:vMerge/>
          </w:tcPr>
          <w:p w14:paraId="57C0A9E6"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1542BC2B" w14:textId="77777777" w:rsidR="006F5566" w:rsidRDefault="006F5566" w:rsidP="006F5566">
            <w:pPr>
              <w:rPr>
                <w:sz w:val="18"/>
                <w:szCs w:val="18"/>
              </w:rPr>
            </w:pPr>
            <w:r>
              <w:rPr>
                <w:sz w:val="18"/>
                <w:szCs w:val="18"/>
              </w:rPr>
              <w:t>Ethnic population</w:t>
            </w:r>
          </w:p>
        </w:tc>
        <w:tc>
          <w:tcPr>
            <w:tcW w:w="3533" w:type="dxa"/>
          </w:tcPr>
          <w:p w14:paraId="3C396868" w14:textId="77777777" w:rsidR="006F5566" w:rsidRDefault="006F5566" w:rsidP="006F5566">
            <w:pPr>
              <w:rPr>
                <w:sz w:val="18"/>
                <w:szCs w:val="18"/>
              </w:rPr>
            </w:pPr>
            <w:r>
              <w:rPr>
                <w:sz w:val="18"/>
                <w:szCs w:val="18"/>
              </w:rPr>
              <w:t>Proportion of ethnic population</w:t>
            </w:r>
          </w:p>
        </w:tc>
        <w:tc>
          <w:tcPr>
            <w:tcW w:w="980" w:type="dxa"/>
          </w:tcPr>
          <w:p w14:paraId="01672CC3" w14:textId="77777777" w:rsidR="006F5566" w:rsidRDefault="006F5566" w:rsidP="006F5566">
            <w:pPr>
              <w:rPr>
                <w:sz w:val="18"/>
                <w:szCs w:val="18"/>
              </w:rPr>
            </w:pPr>
            <w:r>
              <w:rPr>
                <w:sz w:val="18"/>
                <w:szCs w:val="18"/>
              </w:rPr>
              <w:t>Census Block</w:t>
            </w:r>
          </w:p>
        </w:tc>
        <w:tc>
          <w:tcPr>
            <w:tcW w:w="1559" w:type="dxa"/>
          </w:tcPr>
          <w:p w14:paraId="6E2CD32F" w14:textId="2A21D625"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48AEA192" w14:textId="77777777" w:rsidR="006F5566" w:rsidRDefault="006F5566" w:rsidP="006F5566">
            <w:pPr>
              <w:jc w:val="right"/>
              <w:rPr>
                <w:sz w:val="18"/>
                <w:szCs w:val="18"/>
              </w:rPr>
            </w:pPr>
            <w:r>
              <w:rPr>
                <w:sz w:val="18"/>
                <w:szCs w:val="18"/>
              </w:rPr>
              <w:t>2017</w:t>
            </w:r>
          </w:p>
        </w:tc>
      </w:tr>
      <w:tr w:rsidR="006F5566" w14:paraId="131E44BA" w14:textId="77777777" w:rsidTr="00265466">
        <w:trPr>
          <w:trHeight w:val="480"/>
        </w:trPr>
        <w:tc>
          <w:tcPr>
            <w:tcW w:w="1337" w:type="dxa"/>
            <w:vMerge/>
          </w:tcPr>
          <w:p w14:paraId="38FA6016"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784504EE" w14:textId="77777777" w:rsidR="006F5566" w:rsidRDefault="006F5566" w:rsidP="006F5566">
            <w:pPr>
              <w:rPr>
                <w:sz w:val="18"/>
                <w:szCs w:val="18"/>
              </w:rPr>
            </w:pPr>
            <w:r>
              <w:rPr>
                <w:sz w:val="18"/>
                <w:szCs w:val="18"/>
              </w:rPr>
              <w:t>Child population</w:t>
            </w:r>
          </w:p>
        </w:tc>
        <w:tc>
          <w:tcPr>
            <w:tcW w:w="3533" w:type="dxa"/>
          </w:tcPr>
          <w:p w14:paraId="0ADB0F9B" w14:textId="77777777" w:rsidR="006F5566" w:rsidRPr="00773A6E" w:rsidRDefault="006F5566" w:rsidP="006F5566">
            <w:pPr>
              <w:rPr>
                <w:sz w:val="18"/>
                <w:szCs w:val="18"/>
              </w:rPr>
            </w:pPr>
            <w:r w:rsidRPr="00773A6E">
              <w:rPr>
                <w:sz w:val="18"/>
                <w:szCs w:val="18"/>
              </w:rPr>
              <w:t>Proportion of population with &lt;5 years old.</w:t>
            </w:r>
          </w:p>
        </w:tc>
        <w:tc>
          <w:tcPr>
            <w:tcW w:w="980" w:type="dxa"/>
          </w:tcPr>
          <w:p w14:paraId="10F26B94" w14:textId="77777777" w:rsidR="006F5566" w:rsidRDefault="006F5566" w:rsidP="006F5566">
            <w:pPr>
              <w:rPr>
                <w:sz w:val="18"/>
                <w:szCs w:val="18"/>
              </w:rPr>
            </w:pPr>
            <w:r>
              <w:rPr>
                <w:sz w:val="18"/>
                <w:szCs w:val="18"/>
              </w:rPr>
              <w:t>Census Block</w:t>
            </w:r>
          </w:p>
        </w:tc>
        <w:tc>
          <w:tcPr>
            <w:tcW w:w="1559" w:type="dxa"/>
          </w:tcPr>
          <w:p w14:paraId="3F15BE12" w14:textId="00B41C76"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40297FF2" w14:textId="77777777" w:rsidR="006F5566" w:rsidRDefault="006F5566" w:rsidP="006F5566">
            <w:pPr>
              <w:jc w:val="right"/>
              <w:rPr>
                <w:sz w:val="18"/>
                <w:szCs w:val="18"/>
              </w:rPr>
            </w:pPr>
            <w:r>
              <w:rPr>
                <w:sz w:val="18"/>
                <w:szCs w:val="18"/>
              </w:rPr>
              <w:t>2017</w:t>
            </w:r>
          </w:p>
        </w:tc>
      </w:tr>
      <w:tr w:rsidR="006F5566" w14:paraId="1525D92A" w14:textId="77777777" w:rsidTr="00265466">
        <w:trPr>
          <w:trHeight w:val="480"/>
        </w:trPr>
        <w:tc>
          <w:tcPr>
            <w:tcW w:w="1337" w:type="dxa"/>
            <w:vMerge/>
          </w:tcPr>
          <w:p w14:paraId="0B3F56EF"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17F6CD9E" w14:textId="77777777" w:rsidR="006F5566" w:rsidRDefault="006F5566" w:rsidP="006F5566">
            <w:pPr>
              <w:rPr>
                <w:sz w:val="18"/>
                <w:szCs w:val="18"/>
              </w:rPr>
            </w:pPr>
            <w:r>
              <w:rPr>
                <w:sz w:val="18"/>
                <w:szCs w:val="18"/>
              </w:rPr>
              <w:t>Elderly population</w:t>
            </w:r>
          </w:p>
        </w:tc>
        <w:tc>
          <w:tcPr>
            <w:tcW w:w="3533" w:type="dxa"/>
          </w:tcPr>
          <w:p w14:paraId="723AE21D" w14:textId="77777777" w:rsidR="006F5566" w:rsidRPr="00773A6E" w:rsidRDefault="006F5566" w:rsidP="006F5566">
            <w:pPr>
              <w:rPr>
                <w:sz w:val="18"/>
                <w:szCs w:val="18"/>
              </w:rPr>
            </w:pPr>
            <w:r w:rsidRPr="00773A6E">
              <w:rPr>
                <w:sz w:val="18"/>
                <w:szCs w:val="18"/>
              </w:rPr>
              <w:t>Proportion of population with &gt;65 years old.</w:t>
            </w:r>
          </w:p>
        </w:tc>
        <w:tc>
          <w:tcPr>
            <w:tcW w:w="980" w:type="dxa"/>
          </w:tcPr>
          <w:p w14:paraId="580169D2" w14:textId="77777777" w:rsidR="006F5566" w:rsidRDefault="006F5566" w:rsidP="006F5566">
            <w:pPr>
              <w:rPr>
                <w:sz w:val="18"/>
                <w:szCs w:val="18"/>
              </w:rPr>
            </w:pPr>
            <w:r>
              <w:rPr>
                <w:sz w:val="18"/>
                <w:szCs w:val="18"/>
              </w:rPr>
              <w:t>Census Block</w:t>
            </w:r>
          </w:p>
        </w:tc>
        <w:tc>
          <w:tcPr>
            <w:tcW w:w="1559" w:type="dxa"/>
          </w:tcPr>
          <w:p w14:paraId="49457DB9" w14:textId="6CEE030C"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09F4F348" w14:textId="77777777" w:rsidR="006F5566" w:rsidRDefault="006F5566" w:rsidP="006F5566">
            <w:pPr>
              <w:jc w:val="right"/>
              <w:rPr>
                <w:sz w:val="18"/>
                <w:szCs w:val="18"/>
              </w:rPr>
            </w:pPr>
            <w:r>
              <w:rPr>
                <w:sz w:val="18"/>
                <w:szCs w:val="18"/>
              </w:rPr>
              <w:t>2017</w:t>
            </w:r>
          </w:p>
        </w:tc>
      </w:tr>
      <w:tr w:rsidR="006F5566" w14:paraId="45C4CB84" w14:textId="77777777" w:rsidTr="00265466">
        <w:trPr>
          <w:trHeight w:val="480"/>
        </w:trPr>
        <w:tc>
          <w:tcPr>
            <w:tcW w:w="1337" w:type="dxa"/>
            <w:vMerge/>
          </w:tcPr>
          <w:p w14:paraId="6808E916"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38E2E01D" w14:textId="77777777" w:rsidR="006F5566" w:rsidRDefault="006F5566" w:rsidP="006F5566">
            <w:pPr>
              <w:rPr>
                <w:sz w:val="18"/>
                <w:szCs w:val="18"/>
              </w:rPr>
            </w:pPr>
            <w:r>
              <w:rPr>
                <w:sz w:val="18"/>
                <w:szCs w:val="18"/>
              </w:rPr>
              <w:t>Migrant population</w:t>
            </w:r>
          </w:p>
        </w:tc>
        <w:tc>
          <w:tcPr>
            <w:tcW w:w="3533" w:type="dxa"/>
          </w:tcPr>
          <w:p w14:paraId="72BC7A52" w14:textId="77777777" w:rsidR="006F5566" w:rsidRDefault="006F5566" w:rsidP="006F5566">
            <w:pPr>
              <w:rPr>
                <w:sz w:val="18"/>
                <w:szCs w:val="18"/>
              </w:rPr>
            </w:pPr>
            <w:r>
              <w:rPr>
                <w:sz w:val="18"/>
                <w:szCs w:val="18"/>
              </w:rPr>
              <w:t>Proportion of migrant population</w:t>
            </w:r>
          </w:p>
        </w:tc>
        <w:tc>
          <w:tcPr>
            <w:tcW w:w="980" w:type="dxa"/>
          </w:tcPr>
          <w:p w14:paraId="43AD8810" w14:textId="77777777" w:rsidR="006F5566" w:rsidRDefault="006F5566" w:rsidP="006F5566">
            <w:pPr>
              <w:rPr>
                <w:sz w:val="18"/>
                <w:szCs w:val="18"/>
              </w:rPr>
            </w:pPr>
            <w:r>
              <w:rPr>
                <w:sz w:val="18"/>
                <w:szCs w:val="18"/>
              </w:rPr>
              <w:t>Census Block</w:t>
            </w:r>
          </w:p>
        </w:tc>
        <w:tc>
          <w:tcPr>
            <w:tcW w:w="1559" w:type="dxa"/>
          </w:tcPr>
          <w:p w14:paraId="7349936B" w14:textId="7971F5D9"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68A96641" w14:textId="77777777" w:rsidR="006F5566" w:rsidRDefault="006F5566" w:rsidP="006F5566">
            <w:pPr>
              <w:jc w:val="right"/>
              <w:rPr>
                <w:sz w:val="18"/>
                <w:szCs w:val="18"/>
              </w:rPr>
            </w:pPr>
            <w:r>
              <w:rPr>
                <w:sz w:val="18"/>
                <w:szCs w:val="18"/>
              </w:rPr>
              <w:t>2017</w:t>
            </w:r>
          </w:p>
        </w:tc>
      </w:tr>
      <w:tr w:rsidR="006F5566" w14:paraId="033BB0F0" w14:textId="77777777" w:rsidTr="00265466">
        <w:trPr>
          <w:trHeight w:val="720"/>
        </w:trPr>
        <w:tc>
          <w:tcPr>
            <w:tcW w:w="1337" w:type="dxa"/>
            <w:vMerge/>
          </w:tcPr>
          <w:p w14:paraId="29C0631E"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54A73968" w14:textId="77777777" w:rsidR="006F5566" w:rsidRDefault="006F5566" w:rsidP="006F5566">
            <w:pPr>
              <w:rPr>
                <w:sz w:val="18"/>
                <w:szCs w:val="18"/>
              </w:rPr>
            </w:pPr>
            <w:r>
              <w:rPr>
                <w:sz w:val="18"/>
                <w:szCs w:val="18"/>
              </w:rPr>
              <w:t xml:space="preserve"> Overcrowded households</w:t>
            </w:r>
          </w:p>
        </w:tc>
        <w:tc>
          <w:tcPr>
            <w:tcW w:w="3533" w:type="dxa"/>
          </w:tcPr>
          <w:p w14:paraId="2E523DDF" w14:textId="77777777" w:rsidR="006F5566" w:rsidRPr="00773A6E" w:rsidRDefault="006F5566" w:rsidP="006F5566">
            <w:pPr>
              <w:rPr>
                <w:sz w:val="18"/>
                <w:szCs w:val="18"/>
              </w:rPr>
            </w:pPr>
            <w:r w:rsidRPr="00773A6E">
              <w:rPr>
                <w:sz w:val="18"/>
                <w:szCs w:val="18"/>
              </w:rPr>
              <w:t xml:space="preserve">proportion of households with more than 2.5 people per bedroom </w:t>
            </w:r>
          </w:p>
        </w:tc>
        <w:tc>
          <w:tcPr>
            <w:tcW w:w="980" w:type="dxa"/>
          </w:tcPr>
          <w:p w14:paraId="241C6DDA" w14:textId="77777777" w:rsidR="006F5566" w:rsidRDefault="006F5566" w:rsidP="006F5566">
            <w:pPr>
              <w:rPr>
                <w:sz w:val="18"/>
                <w:szCs w:val="18"/>
              </w:rPr>
            </w:pPr>
            <w:r>
              <w:rPr>
                <w:sz w:val="18"/>
                <w:szCs w:val="18"/>
              </w:rPr>
              <w:t>Census zone</w:t>
            </w:r>
          </w:p>
        </w:tc>
        <w:tc>
          <w:tcPr>
            <w:tcW w:w="1559" w:type="dxa"/>
          </w:tcPr>
          <w:p w14:paraId="71AF15DD" w14:textId="58FAAE2D"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64E6BF09" w14:textId="77777777" w:rsidR="006F5566" w:rsidRDefault="006F5566" w:rsidP="006F5566">
            <w:pPr>
              <w:jc w:val="right"/>
              <w:rPr>
                <w:sz w:val="18"/>
                <w:szCs w:val="18"/>
              </w:rPr>
            </w:pPr>
            <w:r>
              <w:rPr>
                <w:sz w:val="18"/>
                <w:szCs w:val="18"/>
              </w:rPr>
              <w:t>2017</w:t>
            </w:r>
          </w:p>
        </w:tc>
      </w:tr>
      <w:tr w:rsidR="006F5566" w14:paraId="75F71A53" w14:textId="77777777" w:rsidTr="00265466">
        <w:trPr>
          <w:trHeight w:val="480"/>
        </w:trPr>
        <w:tc>
          <w:tcPr>
            <w:tcW w:w="1337" w:type="dxa"/>
            <w:vMerge/>
          </w:tcPr>
          <w:p w14:paraId="23FF938C"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1ECC29B8" w14:textId="77777777" w:rsidR="006F5566" w:rsidRDefault="006F5566" w:rsidP="006F5566">
            <w:pPr>
              <w:rPr>
                <w:sz w:val="18"/>
                <w:szCs w:val="18"/>
              </w:rPr>
            </w:pPr>
            <w:r>
              <w:rPr>
                <w:sz w:val="18"/>
                <w:szCs w:val="18"/>
              </w:rPr>
              <w:t>Women-led household</w:t>
            </w:r>
          </w:p>
        </w:tc>
        <w:tc>
          <w:tcPr>
            <w:tcW w:w="3533" w:type="dxa"/>
          </w:tcPr>
          <w:p w14:paraId="196949BE" w14:textId="77777777" w:rsidR="006F5566" w:rsidRPr="00773A6E" w:rsidRDefault="006F5566" w:rsidP="006F5566">
            <w:pPr>
              <w:rPr>
                <w:sz w:val="18"/>
                <w:szCs w:val="18"/>
              </w:rPr>
            </w:pPr>
            <w:r w:rsidRPr="00773A6E">
              <w:rPr>
                <w:sz w:val="18"/>
                <w:szCs w:val="18"/>
              </w:rPr>
              <w:t>Proportion of women-led households with the presence of persons with &gt;65 or &lt;5 years old.</w:t>
            </w:r>
          </w:p>
        </w:tc>
        <w:tc>
          <w:tcPr>
            <w:tcW w:w="980" w:type="dxa"/>
          </w:tcPr>
          <w:p w14:paraId="773EC5F4" w14:textId="77777777" w:rsidR="006F5566" w:rsidRDefault="006F5566" w:rsidP="006F5566">
            <w:pPr>
              <w:rPr>
                <w:sz w:val="18"/>
                <w:szCs w:val="18"/>
              </w:rPr>
            </w:pPr>
            <w:r>
              <w:rPr>
                <w:sz w:val="18"/>
                <w:szCs w:val="18"/>
              </w:rPr>
              <w:t>Census zone</w:t>
            </w:r>
          </w:p>
        </w:tc>
        <w:tc>
          <w:tcPr>
            <w:tcW w:w="1559" w:type="dxa"/>
          </w:tcPr>
          <w:p w14:paraId="3E3D09DE" w14:textId="3BE65696"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46B0569A" w14:textId="77777777" w:rsidR="006F5566" w:rsidRDefault="006F5566" w:rsidP="006F5566">
            <w:pPr>
              <w:jc w:val="right"/>
              <w:rPr>
                <w:sz w:val="18"/>
                <w:szCs w:val="18"/>
              </w:rPr>
            </w:pPr>
            <w:r>
              <w:rPr>
                <w:sz w:val="18"/>
                <w:szCs w:val="18"/>
              </w:rPr>
              <w:t>2017</w:t>
            </w:r>
          </w:p>
        </w:tc>
      </w:tr>
      <w:tr w:rsidR="00A606ED" w14:paraId="5A616B75" w14:textId="77777777" w:rsidTr="00265466">
        <w:trPr>
          <w:trHeight w:val="480"/>
        </w:trPr>
        <w:tc>
          <w:tcPr>
            <w:tcW w:w="1337" w:type="dxa"/>
            <w:vMerge w:val="restart"/>
          </w:tcPr>
          <w:p w14:paraId="23B9CDD4" w14:textId="77777777" w:rsidR="00A606ED" w:rsidRDefault="00A606ED" w:rsidP="00265466">
            <w:pPr>
              <w:rPr>
                <w:sz w:val="18"/>
                <w:szCs w:val="18"/>
              </w:rPr>
            </w:pPr>
            <w:r>
              <w:rPr>
                <w:sz w:val="18"/>
                <w:szCs w:val="18"/>
              </w:rPr>
              <w:t>Water accessibility</w:t>
            </w:r>
          </w:p>
        </w:tc>
        <w:tc>
          <w:tcPr>
            <w:tcW w:w="1730" w:type="dxa"/>
          </w:tcPr>
          <w:p w14:paraId="2A19F23E" w14:textId="77777777" w:rsidR="00A606ED" w:rsidRDefault="00A606ED" w:rsidP="00265466">
            <w:pPr>
              <w:rPr>
                <w:sz w:val="18"/>
                <w:szCs w:val="18"/>
              </w:rPr>
            </w:pPr>
            <w:r>
              <w:rPr>
                <w:sz w:val="18"/>
                <w:szCs w:val="18"/>
              </w:rPr>
              <w:t>Informal human settlements</w:t>
            </w:r>
          </w:p>
        </w:tc>
        <w:tc>
          <w:tcPr>
            <w:tcW w:w="3533" w:type="dxa"/>
          </w:tcPr>
          <w:p w14:paraId="406EFF27" w14:textId="77777777" w:rsidR="00A606ED" w:rsidRPr="00773A6E" w:rsidRDefault="00A606ED" w:rsidP="00265466">
            <w:pPr>
              <w:rPr>
                <w:sz w:val="18"/>
                <w:szCs w:val="18"/>
              </w:rPr>
            </w:pPr>
            <w:r w:rsidRPr="00773A6E">
              <w:rPr>
                <w:sz w:val="18"/>
                <w:szCs w:val="18"/>
              </w:rPr>
              <w:t>Proportion of the census block surface covered by informal settlements</w:t>
            </w:r>
          </w:p>
        </w:tc>
        <w:tc>
          <w:tcPr>
            <w:tcW w:w="980" w:type="dxa"/>
          </w:tcPr>
          <w:p w14:paraId="7D3F51B5" w14:textId="77777777" w:rsidR="00A606ED" w:rsidRDefault="00A606ED" w:rsidP="00265466">
            <w:pPr>
              <w:rPr>
                <w:sz w:val="18"/>
                <w:szCs w:val="18"/>
              </w:rPr>
            </w:pPr>
            <w:r>
              <w:rPr>
                <w:sz w:val="18"/>
                <w:szCs w:val="18"/>
              </w:rPr>
              <w:t>Census Block</w:t>
            </w:r>
          </w:p>
        </w:tc>
        <w:tc>
          <w:tcPr>
            <w:tcW w:w="1559" w:type="dxa"/>
          </w:tcPr>
          <w:p w14:paraId="012E8518" w14:textId="59E15E8A" w:rsidR="00A606ED" w:rsidRPr="00A606ED" w:rsidRDefault="008F2A65" w:rsidP="00265466">
            <w:pPr>
              <w:rPr>
                <w:sz w:val="18"/>
                <w:szCs w:val="18"/>
                <w:lang w:val="es-CL"/>
              </w:rPr>
            </w:pPr>
            <w:r>
              <w:rPr>
                <w:sz w:val="18"/>
                <w:szCs w:val="18"/>
                <w:lang w:val="es-CL"/>
              </w:rPr>
              <w:t>(</w:t>
            </w:r>
            <w:r w:rsidR="00A606ED" w:rsidRPr="00A606ED">
              <w:rPr>
                <w:sz w:val="18"/>
                <w:szCs w:val="18"/>
                <w:lang w:val="es-CL"/>
              </w:rPr>
              <w:t>Ministerio de Vivienda y Urbanismo, 2019</w:t>
            </w:r>
            <w:r>
              <w:rPr>
                <w:sz w:val="18"/>
                <w:szCs w:val="18"/>
                <w:lang w:val="es-CL"/>
              </w:rPr>
              <w:t>)</w:t>
            </w:r>
          </w:p>
        </w:tc>
        <w:tc>
          <w:tcPr>
            <w:tcW w:w="637" w:type="dxa"/>
          </w:tcPr>
          <w:p w14:paraId="70B49267" w14:textId="77777777" w:rsidR="00A606ED" w:rsidRDefault="00A606ED" w:rsidP="00265466">
            <w:pPr>
              <w:jc w:val="right"/>
              <w:rPr>
                <w:sz w:val="18"/>
                <w:szCs w:val="18"/>
              </w:rPr>
            </w:pPr>
            <w:r>
              <w:rPr>
                <w:sz w:val="18"/>
                <w:szCs w:val="18"/>
              </w:rPr>
              <w:t>2019</w:t>
            </w:r>
          </w:p>
        </w:tc>
      </w:tr>
      <w:tr w:rsidR="006F5566" w14:paraId="3EE025C5" w14:textId="77777777" w:rsidTr="00265466">
        <w:trPr>
          <w:trHeight w:val="480"/>
        </w:trPr>
        <w:tc>
          <w:tcPr>
            <w:tcW w:w="1337" w:type="dxa"/>
            <w:vMerge/>
          </w:tcPr>
          <w:p w14:paraId="66645E6A"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3386EC77" w14:textId="77777777" w:rsidR="006F5566" w:rsidRDefault="006F5566" w:rsidP="006F5566">
            <w:pPr>
              <w:rPr>
                <w:sz w:val="18"/>
                <w:szCs w:val="18"/>
              </w:rPr>
            </w:pPr>
            <w:r>
              <w:rPr>
                <w:sz w:val="18"/>
                <w:szCs w:val="18"/>
              </w:rPr>
              <w:t>Well water supply</w:t>
            </w:r>
          </w:p>
        </w:tc>
        <w:tc>
          <w:tcPr>
            <w:tcW w:w="3533" w:type="dxa"/>
          </w:tcPr>
          <w:p w14:paraId="5A2A508B" w14:textId="77777777" w:rsidR="006F5566" w:rsidRPr="00773A6E" w:rsidRDefault="006F5566" w:rsidP="006F5566">
            <w:pPr>
              <w:rPr>
                <w:sz w:val="18"/>
                <w:szCs w:val="18"/>
              </w:rPr>
            </w:pPr>
            <w:r w:rsidRPr="00773A6E">
              <w:rPr>
                <w:sz w:val="18"/>
                <w:szCs w:val="18"/>
              </w:rPr>
              <w:t>Proportion of dwellings whose water supply is by well</w:t>
            </w:r>
          </w:p>
        </w:tc>
        <w:tc>
          <w:tcPr>
            <w:tcW w:w="980" w:type="dxa"/>
          </w:tcPr>
          <w:p w14:paraId="2460D0FF" w14:textId="77777777" w:rsidR="006F5566" w:rsidRDefault="006F5566" w:rsidP="006F5566">
            <w:pPr>
              <w:rPr>
                <w:sz w:val="18"/>
                <w:szCs w:val="18"/>
              </w:rPr>
            </w:pPr>
            <w:r>
              <w:rPr>
                <w:sz w:val="18"/>
                <w:szCs w:val="18"/>
              </w:rPr>
              <w:t>Census Block</w:t>
            </w:r>
          </w:p>
        </w:tc>
        <w:tc>
          <w:tcPr>
            <w:tcW w:w="1559" w:type="dxa"/>
          </w:tcPr>
          <w:p w14:paraId="313E7AB7" w14:textId="354ED7FA"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44F67B2C" w14:textId="77777777" w:rsidR="006F5566" w:rsidRDefault="006F5566" w:rsidP="006F5566">
            <w:pPr>
              <w:jc w:val="right"/>
              <w:rPr>
                <w:sz w:val="18"/>
                <w:szCs w:val="18"/>
              </w:rPr>
            </w:pPr>
            <w:r>
              <w:rPr>
                <w:sz w:val="18"/>
                <w:szCs w:val="18"/>
              </w:rPr>
              <w:t>2019</w:t>
            </w:r>
          </w:p>
        </w:tc>
      </w:tr>
      <w:tr w:rsidR="006F5566" w14:paraId="2944FA88" w14:textId="77777777" w:rsidTr="00265466">
        <w:trPr>
          <w:trHeight w:val="480"/>
        </w:trPr>
        <w:tc>
          <w:tcPr>
            <w:tcW w:w="1337" w:type="dxa"/>
            <w:vMerge/>
          </w:tcPr>
          <w:p w14:paraId="3815C7CA"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369E6654" w14:textId="77777777" w:rsidR="006F5566" w:rsidRDefault="006F5566" w:rsidP="006F5566">
            <w:pPr>
              <w:rPr>
                <w:sz w:val="18"/>
                <w:szCs w:val="18"/>
              </w:rPr>
            </w:pPr>
            <w:r>
              <w:rPr>
                <w:sz w:val="18"/>
                <w:szCs w:val="18"/>
              </w:rPr>
              <w:t>Supply by cistern truck</w:t>
            </w:r>
          </w:p>
        </w:tc>
        <w:tc>
          <w:tcPr>
            <w:tcW w:w="3533" w:type="dxa"/>
          </w:tcPr>
          <w:p w14:paraId="75C8651A" w14:textId="77777777" w:rsidR="006F5566" w:rsidRPr="00773A6E" w:rsidRDefault="006F5566" w:rsidP="006F5566">
            <w:pPr>
              <w:rPr>
                <w:sz w:val="18"/>
                <w:szCs w:val="18"/>
              </w:rPr>
            </w:pPr>
            <w:r w:rsidRPr="00773A6E">
              <w:rPr>
                <w:sz w:val="18"/>
                <w:szCs w:val="18"/>
              </w:rPr>
              <w:t>Proportion of dwellings whose water supply is through cistern trucks</w:t>
            </w:r>
          </w:p>
        </w:tc>
        <w:tc>
          <w:tcPr>
            <w:tcW w:w="980" w:type="dxa"/>
          </w:tcPr>
          <w:p w14:paraId="23DB8651" w14:textId="77777777" w:rsidR="006F5566" w:rsidRDefault="006F5566" w:rsidP="006F5566">
            <w:pPr>
              <w:rPr>
                <w:sz w:val="18"/>
                <w:szCs w:val="18"/>
              </w:rPr>
            </w:pPr>
            <w:r>
              <w:rPr>
                <w:sz w:val="18"/>
                <w:szCs w:val="18"/>
              </w:rPr>
              <w:t>Census Block</w:t>
            </w:r>
          </w:p>
        </w:tc>
        <w:tc>
          <w:tcPr>
            <w:tcW w:w="1559" w:type="dxa"/>
          </w:tcPr>
          <w:p w14:paraId="37BC8C3F" w14:textId="28AD9867"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575D16EA" w14:textId="77777777" w:rsidR="006F5566" w:rsidRDefault="006F5566" w:rsidP="006F5566">
            <w:pPr>
              <w:jc w:val="right"/>
              <w:rPr>
                <w:sz w:val="18"/>
                <w:szCs w:val="18"/>
              </w:rPr>
            </w:pPr>
            <w:r>
              <w:rPr>
                <w:sz w:val="18"/>
                <w:szCs w:val="18"/>
              </w:rPr>
              <w:t>2017</w:t>
            </w:r>
          </w:p>
        </w:tc>
      </w:tr>
      <w:tr w:rsidR="006F5566" w14:paraId="6065A80F" w14:textId="77777777" w:rsidTr="00265466">
        <w:trPr>
          <w:trHeight w:val="480"/>
        </w:trPr>
        <w:tc>
          <w:tcPr>
            <w:tcW w:w="1337" w:type="dxa"/>
            <w:vMerge/>
          </w:tcPr>
          <w:p w14:paraId="564BFFFB" w14:textId="77777777" w:rsidR="006F5566" w:rsidRDefault="006F5566" w:rsidP="006F5566">
            <w:pPr>
              <w:widowControl w:val="0"/>
              <w:pBdr>
                <w:top w:val="nil"/>
                <w:left w:val="nil"/>
                <w:bottom w:val="nil"/>
                <w:right w:val="nil"/>
                <w:between w:val="nil"/>
              </w:pBdr>
              <w:spacing w:line="276" w:lineRule="auto"/>
              <w:rPr>
                <w:sz w:val="18"/>
                <w:szCs w:val="18"/>
              </w:rPr>
            </w:pPr>
          </w:p>
        </w:tc>
        <w:tc>
          <w:tcPr>
            <w:tcW w:w="1730" w:type="dxa"/>
          </w:tcPr>
          <w:p w14:paraId="3CA83273" w14:textId="77777777" w:rsidR="006F5566" w:rsidRDefault="006F5566" w:rsidP="006F5566">
            <w:pPr>
              <w:rPr>
                <w:sz w:val="18"/>
                <w:szCs w:val="18"/>
              </w:rPr>
            </w:pPr>
            <w:r>
              <w:rPr>
                <w:sz w:val="18"/>
                <w:szCs w:val="18"/>
              </w:rPr>
              <w:t>River water supply</w:t>
            </w:r>
          </w:p>
        </w:tc>
        <w:tc>
          <w:tcPr>
            <w:tcW w:w="3533" w:type="dxa"/>
          </w:tcPr>
          <w:p w14:paraId="1BA43FB2" w14:textId="77777777" w:rsidR="006F5566" w:rsidRPr="00773A6E" w:rsidRDefault="006F5566" w:rsidP="006F5566">
            <w:pPr>
              <w:rPr>
                <w:sz w:val="18"/>
                <w:szCs w:val="18"/>
              </w:rPr>
            </w:pPr>
            <w:r w:rsidRPr="00773A6E">
              <w:rPr>
                <w:sz w:val="18"/>
                <w:szCs w:val="18"/>
              </w:rPr>
              <w:t>Proportion of dwellings with river water supply</w:t>
            </w:r>
          </w:p>
        </w:tc>
        <w:tc>
          <w:tcPr>
            <w:tcW w:w="980" w:type="dxa"/>
          </w:tcPr>
          <w:p w14:paraId="072C41F2" w14:textId="77777777" w:rsidR="006F5566" w:rsidRDefault="006F5566" w:rsidP="006F5566">
            <w:pPr>
              <w:rPr>
                <w:sz w:val="18"/>
                <w:szCs w:val="18"/>
              </w:rPr>
            </w:pPr>
            <w:r>
              <w:rPr>
                <w:sz w:val="18"/>
                <w:szCs w:val="18"/>
              </w:rPr>
              <w:t>Census Block</w:t>
            </w:r>
          </w:p>
        </w:tc>
        <w:tc>
          <w:tcPr>
            <w:tcW w:w="1559" w:type="dxa"/>
          </w:tcPr>
          <w:p w14:paraId="47EA8FD2" w14:textId="5B9311D3" w:rsidR="006F5566" w:rsidRDefault="006F5566" w:rsidP="006F5566">
            <w:pPr>
              <w:rPr>
                <w:sz w:val="18"/>
                <w:szCs w:val="18"/>
              </w:rPr>
            </w:pPr>
            <w:r>
              <w:rPr>
                <w:sz w:val="18"/>
                <w:szCs w:val="18"/>
              </w:rPr>
              <w:fldChar w:fldCharType="begin" w:fldLock="1"/>
            </w:r>
            <w:r w:rsidR="00E700C0">
              <w:rPr>
                <w:sz w:val="18"/>
                <w:szCs w:val="18"/>
                <w:lang w:val="es-CL"/>
              </w:rPr>
              <w:instrText>ADDIN CSL_CITATION {"citationItems":[{"id":"ITEM-1","itemData":{"URL":"http://www.censo2017.cl/microdatos","accessed":{"date-parts":[["2022","8","31"]]},"author":[{"dropping-particle":"","family":"INE (Instituto Nacional de Estadísticas)","given":"","non-dropping-particle":"","parse-names":false,"suffix":""}],"container-title":"INE [data set]","id":"ITEM-1","issued":{"date-parts":[["2017"]]},"title":"Censo 2017","type":"webpage"},"uris":["http://www.mendeley.com/documents/?uuid=965cd14a-97f6-467e-b439-13eb3fa82d31","http://www.mendeley.com/documents/?uuid=5584a408-2593-4a20-901c-9381227880ab"]}],"mendeley":{"formattedCitation":"(INE (Instituto Nacional de Estadísticas), 2017)","manualFormatting":"(INE, 2017)","plainTextFormattedCitation":"(INE (Instituto Nacional de Estadísticas), 2017)","previouslyFormattedCitation":"(INE (Instituto Nacional de Estadísticas), 2017)"},"properties":{"noteIndex":0},"schema":"https://github.com/citation-style-language/schema/raw/master/csl-citation.json"}</w:instrText>
            </w:r>
            <w:r>
              <w:rPr>
                <w:sz w:val="18"/>
                <w:szCs w:val="18"/>
              </w:rPr>
              <w:fldChar w:fldCharType="separate"/>
            </w:r>
            <w:r w:rsidRPr="006F5566">
              <w:rPr>
                <w:noProof/>
                <w:sz w:val="18"/>
                <w:szCs w:val="18"/>
                <w:lang w:val="es-CL"/>
              </w:rPr>
              <w:t>(INE, 2017)</w:t>
            </w:r>
            <w:r>
              <w:rPr>
                <w:sz w:val="18"/>
                <w:szCs w:val="18"/>
              </w:rPr>
              <w:fldChar w:fldCharType="end"/>
            </w:r>
          </w:p>
        </w:tc>
        <w:tc>
          <w:tcPr>
            <w:tcW w:w="637" w:type="dxa"/>
          </w:tcPr>
          <w:p w14:paraId="0C9C39E4" w14:textId="77777777" w:rsidR="006F5566" w:rsidRDefault="006F5566" w:rsidP="006F5566">
            <w:pPr>
              <w:jc w:val="right"/>
              <w:rPr>
                <w:sz w:val="18"/>
                <w:szCs w:val="18"/>
              </w:rPr>
            </w:pPr>
            <w:r>
              <w:rPr>
                <w:sz w:val="18"/>
                <w:szCs w:val="18"/>
              </w:rPr>
              <w:t>2017</w:t>
            </w:r>
          </w:p>
        </w:tc>
      </w:tr>
      <w:tr w:rsidR="00A606ED" w14:paraId="77B070A7" w14:textId="77777777" w:rsidTr="00265466">
        <w:trPr>
          <w:trHeight w:val="480"/>
        </w:trPr>
        <w:tc>
          <w:tcPr>
            <w:tcW w:w="1337" w:type="dxa"/>
            <w:vMerge w:val="restart"/>
          </w:tcPr>
          <w:p w14:paraId="36ED252F" w14:textId="77777777" w:rsidR="00A606ED" w:rsidRDefault="00A606ED" w:rsidP="00265466">
            <w:pPr>
              <w:rPr>
                <w:sz w:val="18"/>
                <w:szCs w:val="18"/>
              </w:rPr>
            </w:pPr>
            <w:r>
              <w:rPr>
                <w:sz w:val="18"/>
                <w:szCs w:val="18"/>
              </w:rPr>
              <w:t>Water consume</w:t>
            </w:r>
          </w:p>
        </w:tc>
        <w:tc>
          <w:tcPr>
            <w:tcW w:w="1730" w:type="dxa"/>
          </w:tcPr>
          <w:p w14:paraId="42B85ED4" w14:textId="77777777" w:rsidR="00A606ED" w:rsidRDefault="00A606ED" w:rsidP="00265466">
            <w:pPr>
              <w:rPr>
                <w:sz w:val="18"/>
                <w:szCs w:val="18"/>
              </w:rPr>
            </w:pPr>
            <w:r>
              <w:rPr>
                <w:sz w:val="18"/>
                <w:szCs w:val="18"/>
              </w:rPr>
              <w:t>Monthly average consumption</w:t>
            </w:r>
          </w:p>
        </w:tc>
        <w:tc>
          <w:tcPr>
            <w:tcW w:w="3533" w:type="dxa"/>
          </w:tcPr>
          <w:p w14:paraId="361AD44A" w14:textId="77777777" w:rsidR="00A606ED" w:rsidRPr="00773A6E" w:rsidRDefault="00A606ED" w:rsidP="00265466">
            <w:pPr>
              <w:rPr>
                <w:sz w:val="18"/>
                <w:szCs w:val="18"/>
              </w:rPr>
            </w:pPr>
            <w:r w:rsidRPr="00773A6E">
              <w:rPr>
                <w:sz w:val="18"/>
                <w:szCs w:val="18"/>
              </w:rPr>
              <w:t>Monthly average consumption on m3</w:t>
            </w:r>
          </w:p>
        </w:tc>
        <w:tc>
          <w:tcPr>
            <w:tcW w:w="980" w:type="dxa"/>
          </w:tcPr>
          <w:p w14:paraId="3E4EFC97" w14:textId="77777777" w:rsidR="00A606ED" w:rsidRDefault="00A606ED" w:rsidP="00265466">
            <w:pPr>
              <w:rPr>
                <w:sz w:val="18"/>
                <w:szCs w:val="18"/>
              </w:rPr>
            </w:pPr>
            <w:r>
              <w:rPr>
                <w:sz w:val="18"/>
                <w:szCs w:val="18"/>
              </w:rPr>
              <w:t>Barrack</w:t>
            </w:r>
          </w:p>
        </w:tc>
        <w:tc>
          <w:tcPr>
            <w:tcW w:w="1559" w:type="dxa"/>
          </w:tcPr>
          <w:p w14:paraId="773D014C" w14:textId="77777777" w:rsidR="00A606ED" w:rsidRDefault="00A606ED" w:rsidP="00265466">
            <w:pPr>
              <w:rPr>
                <w:sz w:val="18"/>
                <w:szCs w:val="18"/>
              </w:rPr>
            </w:pPr>
            <w:r>
              <w:rPr>
                <w:sz w:val="18"/>
                <w:szCs w:val="18"/>
              </w:rPr>
              <w:t xml:space="preserve">Information provided by ESVAL </w:t>
            </w:r>
          </w:p>
        </w:tc>
        <w:tc>
          <w:tcPr>
            <w:tcW w:w="637" w:type="dxa"/>
          </w:tcPr>
          <w:p w14:paraId="7A67B5A5" w14:textId="77777777" w:rsidR="00A606ED" w:rsidRDefault="00A606ED" w:rsidP="00265466">
            <w:pPr>
              <w:rPr>
                <w:sz w:val="18"/>
                <w:szCs w:val="18"/>
              </w:rPr>
            </w:pPr>
            <w:r>
              <w:rPr>
                <w:sz w:val="18"/>
                <w:szCs w:val="18"/>
              </w:rPr>
              <w:t>2018-2019</w:t>
            </w:r>
          </w:p>
        </w:tc>
      </w:tr>
      <w:tr w:rsidR="00A606ED" w14:paraId="57D32444" w14:textId="77777777" w:rsidTr="00265466">
        <w:trPr>
          <w:trHeight w:val="480"/>
        </w:trPr>
        <w:tc>
          <w:tcPr>
            <w:tcW w:w="1337" w:type="dxa"/>
            <w:vMerge/>
          </w:tcPr>
          <w:p w14:paraId="46DE9E4B" w14:textId="77777777" w:rsidR="00A606ED" w:rsidRDefault="00A606ED" w:rsidP="00265466">
            <w:pPr>
              <w:widowControl w:val="0"/>
              <w:pBdr>
                <w:top w:val="nil"/>
                <w:left w:val="nil"/>
                <w:bottom w:val="nil"/>
                <w:right w:val="nil"/>
                <w:between w:val="nil"/>
              </w:pBdr>
              <w:spacing w:line="276" w:lineRule="auto"/>
              <w:rPr>
                <w:sz w:val="18"/>
                <w:szCs w:val="18"/>
              </w:rPr>
            </w:pPr>
          </w:p>
        </w:tc>
        <w:tc>
          <w:tcPr>
            <w:tcW w:w="1730" w:type="dxa"/>
          </w:tcPr>
          <w:p w14:paraId="656B852D" w14:textId="77777777" w:rsidR="00A606ED" w:rsidRDefault="00A606ED" w:rsidP="00265466">
            <w:pPr>
              <w:rPr>
                <w:sz w:val="18"/>
                <w:szCs w:val="18"/>
              </w:rPr>
            </w:pPr>
            <w:r>
              <w:rPr>
                <w:sz w:val="18"/>
                <w:szCs w:val="18"/>
              </w:rPr>
              <w:t>Summer monthly average consumption</w:t>
            </w:r>
          </w:p>
        </w:tc>
        <w:tc>
          <w:tcPr>
            <w:tcW w:w="3533" w:type="dxa"/>
          </w:tcPr>
          <w:p w14:paraId="68E0F8B2" w14:textId="77777777" w:rsidR="00A606ED" w:rsidRPr="00773A6E" w:rsidRDefault="00A606ED" w:rsidP="00265466">
            <w:pPr>
              <w:rPr>
                <w:sz w:val="18"/>
                <w:szCs w:val="18"/>
              </w:rPr>
            </w:pPr>
            <w:r w:rsidRPr="00773A6E">
              <w:rPr>
                <w:sz w:val="18"/>
                <w:szCs w:val="18"/>
              </w:rPr>
              <w:t>Monthly average consumption on m3 during summer months ( December, January and February)</w:t>
            </w:r>
          </w:p>
        </w:tc>
        <w:tc>
          <w:tcPr>
            <w:tcW w:w="980" w:type="dxa"/>
          </w:tcPr>
          <w:p w14:paraId="19B1AD57" w14:textId="77777777" w:rsidR="00A606ED" w:rsidRDefault="00A606ED" w:rsidP="00265466">
            <w:pPr>
              <w:rPr>
                <w:sz w:val="18"/>
                <w:szCs w:val="18"/>
              </w:rPr>
            </w:pPr>
            <w:r>
              <w:rPr>
                <w:sz w:val="18"/>
                <w:szCs w:val="18"/>
              </w:rPr>
              <w:t>Barrack</w:t>
            </w:r>
          </w:p>
        </w:tc>
        <w:tc>
          <w:tcPr>
            <w:tcW w:w="1559" w:type="dxa"/>
          </w:tcPr>
          <w:p w14:paraId="5053B2EE" w14:textId="77777777" w:rsidR="00A606ED" w:rsidRDefault="00A606ED" w:rsidP="00265466">
            <w:pPr>
              <w:rPr>
                <w:sz w:val="18"/>
                <w:szCs w:val="18"/>
              </w:rPr>
            </w:pPr>
            <w:r>
              <w:rPr>
                <w:sz w:val="18"/>
                <w:szCs w:val="18"/>
              </w:rPr>
              <w:t xml:space="preserve">Information provided by ESVAL </w:t>
            </w:r>
          </w:p>
        </w:tc>
        <w:tc>
          <w:tcPr>
            <w:tcW w:w="637" w:type="dxa"/>
          </w:tcPr>
          <w:p w14:paraId="36042383" w14:textId="77777777" w:rsidR="00A606ED" w:rsidRDefault="00A606ED" w:rsidP="00265466">
            <w:pPr>
              <w:rPr>
                <w:sz w:val="18"/>
                <w:szCs w:val="18"/>
              </w:rPr>
            </w:pPr>
            <w:r>
              <w:rPr>
                <w:sz w:val="18"/>
                <w:szCs w:val="18"/>
              </w:rPr>
              <w:t>2018-2019</w:t>
            </w:r>
          </w:p>
        </w:tc>
      </w:tr>
      <w:tr w:rsidR="00A606ED" w14:paraId="254097F7" w14:textId="77777777" w:rsidTr="00265466">
        <w:trPr>
          <w:trHeight w:val="480"/>
        </w:trPr>
        <w:tc>
          <w:tcPr>
            <w:tcW w:w="1337" w:type="dxa"/>
            <w:vMerge w:val="restart"/>
          </w:tcPr>
          <w:p w14:paraId="5A233013" w14:textId="77777777" w:rsidR="00A606ED" w:rsidRDefault="00A606ED" w:rsidP="00265466">
            <w:pPr>
              <w:rPr>
                <w:sz w:val="18"/>
                <w:szCs w:val="18"/>
              </w:rPr>
            </w:pPr>
            <w:r>
              <w:rPr>
                <w:sz w:val="18"/>
                <w:szCs w:val="18"/>
              </w:rPr>
              <w:t>Other service conditions</w:t>
            </w:r>
          </w:p>
        </w:tc>
        <w:tc>
          <w:tcPr>
            <w:tcW w:w="1730" w:type="dxa"/>
          </w:tcPr>
          <w:p w14:paraId="12F82DE9" w14:textId="77777777" w:rsidR="00A606ED" w:rsidRDefault="00A606ED" w:rsidP="00265466">
            <w:pPr>
              <w:rPr>
                <w:sz w:val="18"/>
                <w:szCs w:val="18"/>
              </w:rPr>
            </w:pPr>
            <w:r>
              <w:rPr>
                <w:sz w:val="18"/>
                <w:szCs w:val="18"/>
              </w:rPr>
              <w:t>Number of unscheduled outages</w:t>
            </w:r>
          </w:p>
        </w:tc>
        <w:tc>
          <w:tcPr>
            <w:tcW w:w="3533" w:type="dxa"/>
          </w:tcPr>
          <w:p w14:paraId="5605F16D" w14:textId="77777777" w:rsidR="00A606ED" w:rsidRPr="00773A6E" w:rsidRDefault="00A606ED" w:rsidP="00265466">
            <w:pPr>
              <w:rPr>
                <w:sz w:val="18"/>
                <w:szCs w:val="18"/>
              </w:rPr>
            </w:pPr>
            <w:r w:rsidRPr="00773A6E">
              <w:rPr>
                <w:sz w:val="18"/>
                <w:szCs w:val="18"/>
              </w:rPr>
              <w:t>Annual average of the number of unscheduled outages</w:t>
            </w:r>
          </w:p>
        </w:tc>
        <w:tc>
          <w:tcPr>
            <w:tcW w:w="980" w:type="dxa"/>
          </w:tcPr>
          <w:p w14:paraId="3D0BBBC3" w14:textId="77777777" w:rsidR="00A606ED" w:rsidRDefault="00A606ED" w:rsidP="00265466">
            <w:pPr>
              <w:rPr>
                <w:sz w:val="18"/>
                <w:szCs w:val="18"/>
              </w:rPr>
            </w:pPr>
            <w:r>
              <w:rPr>
                <w:sz w:val="18"/>
                <w:szCs w:val="18"/>
              </w:rPr>
              <w:t>Barrack</w:t>
            </w:r>
          </w:p>
        </w:tc>
        <w:tc>
          <w:tcPr>
            <w:tcW w:w="1559" w:type="dxa"/>
          </w:tcPr>
          <w:p w14:paraId="062F0787" w14:textId="77777777" w:rsidR="00A606ED" w:rsidRDefault="00A606ED" w:rsidP="00265466">
            <w:pPr>
              <w:rPr>
                <w:sz w:val="18"/>
                <w:szCs w:val="18"/>
              </w:rPr>
            </w:pPr>
            <w:r>
              <w:rPr>
                <w:sz w:val="18"/>
                <w:szCs w:val="18"/>
              </w:rPr>
              <w:t xml:space="preserve">Information provided by ESVAL </w:t>
            </w:r>
          </w:p>
        </w:tc>
        <w:tc>
          <w:tcPr>
            <w:tcW w:w="637" w:type="dxa"/>
          </w:tcPr>
          <w:p w14:paraId="554077CB" w14:textId="77777777" w:rsidR="00A606ED" w:rsidRDefault="00A606ED" w:rsidP="00265466">
            <w:pPr>
              <w:rPr>
                <w:sz w:val="18"/>
                <w:szCs w:val="18"/>
              </w:rPr>
            </w:pPr>
            <w:r>
              <w:rPr>
                <w:sz w:val="18"/>
                <w:szCs w:val="18"/>
              </w:rPr>
              <w:t>2014-2020</w:t>
            </w:r>
          </w:p>
        </w:tc>
      </w:tr>
      <w:tr w:rsidR="00A606ED" w14:paraId="0A4D0D8F" w14:textId="77777777" w:rsidTr="00265466">
        <w:trPr>
          <w:trHeight w:val="480"/>
        </w:trPr>
        <w:tc>
          <w:tcPr>
            <w:tcW w:w="1337" w:type="dxa"/>
            <w:vMerge/>
          </w:tcPr>
          <w:p w14:paraId="3A12A3D1" w14:textId="77777777" w:rsidR="00A606ED" w:rsidRDefault="00A606ED" w:rsidP="00265466">
            <w:pPr>
              <w:widowControl w:val="0"/>
              <w:pBdr>
                <w:top w:val="nil"/>
                <w:left w:val="nil"/>
                <w:bottom w:val="nil"/>
                <w:right w:val="nil"/>
                <w:between w:val="nil"/>
              </w:pBdr>
              <w:spacing w:line="276" w:lineRule="auto"/>
              <w:rPr>
                <w:sz w:val="18"/>
                <w:szCs w:val="18"/>
              </w:rPr>
            </w:pPr>
          </w:p>
        </w:tc>
        <w:tc>
          <w:tcPr>
            <w:tcW w:w="1730" w:type="dxa"/>
          </w:tcPr>
          <w:p w14:paraId="78234E88" w14:textId="77777777" w:rsidR="00A606ED" w:rsidRDefault="00A606ED" w:rsidP="00265466">
            <w:pPr>
              <w:rPr>
                <w:sz w:val="18"/>
                <w:szCs w:val="18"/>
              </w:rPr>
            </w:pPr>
            <w:r>
              <w:rPr>
                <w:sz w:val="18"/>
                <w:szCs w:val="18"/>
              </w:rPr>
              <w:t>Time of unscheduled outages</w:t>
            </w:r>
          </w:p>
        </w:tc>
        <w:tc>
          <w:tcPr>
            <w:tcW w:w="3533" w:type="dxa"/>
          </w:tcPr>
          <w:p w14:paraId="7D88ADCA" w14:textId="77777777" w:rsidR="00A606ED" w:rsidRPr="00773A6E" w:rsidRDefault="00A606ED" w:rsidP="00265466">
            <w:pPr>
              <w:rPr>
                <w:sz w:val="18"/>
                <w:szCs w:val="18"/>
              </w:rPr>
            </w:pPr>
            <w:r w:rsidRPr="00773A6E">
              <w:rPr>
                <w:sz w:val="18"/>
                <w:szCs w:val="18"/>
              </w:rPr>
              <w:t>Annual average of the time that all the unscheduled outages lasted</w:t>
            </w:r>
          </w:p>
        </w:tc>
        <w:tc>
          <w:tcPr>
            <w:tcW w:w="980" w:type="dxa"/>
          </w:tcPr>
          <w:p w14:paraId="7F801E48" w14:textId="77777777" w:rsidR="00A606ED" w:rsidRDefault="00A606ED" w:rsidP="00265466">
            <w:pPr>
              <w:rPr>
                <w:sz w:val="18"/>
                <w:szCs w:val="18"/>
              </w:rPr>
            </w:pPr>
            <w:r>
              <w:rPr>
                <w:sz w:val="18"/>
                <w:szCs w:val="18"/>
              </w:rPr>
              <w:t>Barrack</w:t>
            </w:r>
          </w:p>
        </w:tc>
        <w:tc>
          <w:tcPr>
            <w:tcW w:w="1559" w:type="dxa"/>
          </w:tcPr>
          <w:p w14:paraId="7116B2C1" w14:textId="77777777" w:rsidR="00A606ED" w:rsidRDefault="00A606ED" w:rsidP="00265466">
            <w:pPr>
              <w:rPr>
                <w:sz w:val="18"/>
                <w:szCs w:val="18"/>
              </w:rPr>
            </w:pPr>
            <w:r>
              <w:rPr>
                <w:sz w:val="18"/>
                <w:szCs w:val="18"/>
              </w:rPr>
              <w:t xml:space="preserve">Information provided by ESVAL </w:t>
            </w:r>
          </w:p>
        </w:tc>
        <w:tc>
          <w:tcPr>
            <w:tcW w:w="637" w:type="dxa"/>
          </w:tcPr>
          <w:p w14:paraId="0ED48709" w14:textId="77777777" w:rsidR="00A606ED" w:rsidRDefault="00A606ED" w:rsidP="00265466">
            <w:pPr>
              <w:rPr>
                <w:sz w:val="18"/>
                <w:szCs w:val="18"/>
              </w:rPr>
            </w:pPr>
            <w:r>
              <w:rPr>
                <w:sz w:val="18"/>
                <w:szCs w:val="18"/>
              </w:rPr>
              <w:t>2014-2020</w:t>
            </w:r>
          </w:p>
        </w:tc>
      </w:tr>
      <w:tr w:rsidR="00A606ED" w14:paraId="12C33389" w14:textId="77777777" w:rsidTr="00265466">
        <w:trPr>
          <w:trHeight w:val="480"/>
        </w:trPr>
        <w:tc>
          <w:tcPr>
            <w:tcW w:w="1337" w:type="dxa"/>
            <w:vMerge/>
          </w:tcPr>
          <w:p w14:paraId="490DDDA6" w14:textId="77777777" w:rsidR="00A606ED" w:rsidRDefault="00A606ED" w:rsidP="00265466">
            <w:pPr>
              <w:widowControl w:val="0"/>
              <w:pBdr>
                <w:top w:val="nil"/>
                <w:left w:val="nil"/>
                <w:bottom w:val="nil"/>
                <w:right w:val="nil"/>
                <w:between w:val="nil"/>
              </w:pBdr>
              <w:spacing w:line="276" w:lineRule="auto"/>
              <w:rPr>
                <w:sz w:val="18"/>
                <w:szCs w:val="18"/>
              </w:rPr>
            </w:pPr>
          </w:p>
        </w:tc>
        <w:tc>
          <w:tcPr>
            <w:tcW w:w="1730" w:type="dxa"/>
          </w:tcPr>
          <w:p w14:paraId="33FCF3B6" w14:textId="77777777" w:rsidR="00A606ED" w:rsidRPr="00773A6E" w:rsidRDefault="00A606ED" w:rsidP="00265466">
            <w:pPr>
              <w:rPr>
                <w:sz w:val="18"/>
                <w:szCs w:val="18"/>
              </w:rPr>
            </w:pPr>
            <w:r w:rsidRPr="00773A6E">
              <w:rPr>
                <w:sz w:val="18"/>
                <w:szCs w:val="18"/>
              </w:rPr>
              <w:t>Number of critical infrastructure customers</w:t>
            </w:r>
          </w:p>
        </w:tc>
        <w:tc>
          <w:tcPr>
            <w:tcW w:w="3533" w:type="dxa"/>
          </w:tcPr>
          <w:p w14:paraId="0A1E4EC2" w14:textId="3663543D" w:rsidR="00A606ED" w:rsidRPr="00773A6E" w:rsidRDefault="00A606ED" w:rsidP="006C4954">
            <w:pPr>
              <w:rPr>
                <w:sz w:val="18"/>
                <w:szCs w:val="18"/>
              </w:rPr>
            </w:pPr>
            <w:r w:rsidRPr="00773A6E">
              <w:rPr>
                <w:sz w:val="18"/>
                <w:szCs w:val="18"/>
              </w:rPr>
              <w:t xml:space="preserve">Number of hospitals, shelters, care centers, courts, municipalities, among other critical </w:t>
            </w:r>
            <w:r w:rsidR="006C4954">
              <w:rPr>
                <w:sz w:val="18"/>
                <w:szCs w:val="18"/>
              </w:rPr>
              <w:t>infrastructures</w:t>
            </w:r>
            <w:r w:rsidRPr="00773A6E">
              <w:rPr>
                <w:sz w:val="18"/>
                <w:szCs w:val="18"/>
              </w:rPr>
              <w:t xml:space="preserve"> identified  </w:t>
            </w:r>
          </w:p>
        </w:tc>
        <w:tc>
          <w:tcPr>
            <w:tcW w:w="980" w:type="dxa"/>
          </w:tcPr>
          <w:p w14:paraId="47C02073" w14:textId="77777777" w:rsidR="00A606ED" w:rsidRDefault="00A606ED" w:rsidP="00265466">
            <w:pPr>
              <w:rPr>
                <w:sz w:val="18"/>
                <w:szCs w:val="18"/>
              </w:rPr>
            </w:pPr>
            <w:r>
              <w:rPr>
                <w:sz w:val="18"/>
                <w:szCs w:val="18"/>
              </w:rPr>
              <w:t>Barrack</w:t>
            </w:r>
          </w:p>
        </w:tc>
        <w:tc>
          <w:tcPr>
            <w:tcW w:w="1559" w:type="dxa"/>
          </w:tcPr>
          <w:p w14:paraId="30A9A98E" w14:textId="77D70728" w:rsidR="006C4954" w:rsidRDefault="00A606ED" w:rsidP="00265466">
            <w:pPr>
              <w:rPr>
                <w:sz w:val="18"/>
                <w:szCs w:val="18"/>
              </w:rPr>
            </w:pPr>
            <w:r>
              <w:rPr>
                <w:sz w:val="18"/>
                <w:szCs w:val="18"/>
              </w:rPr>
              <w:t xml:space="preserve">Information provided by ESVAL </w:t>
            </w:r>
          </w:p>
        </w:tc>
        <w:tc>
          <w:tcPr>
            <w:tcW w:w="637" w:type="dxa"/>
          </w:tcPr>
          <w:p w14:paraId="77DA74E3" w14:textId="77777777" w:rsidR="00A606ED" w:rsidRDefault="00A606ED" w:rsidP="00265466">
            <w:pPr>
              <w:jc w:val="right"/>
              <w:rPr>
                <w:sz w:val="18"/>
                <w:szCs w:val="18"/>
              </w:rPr>
            </w:pPr>
            <w:r>
              <w:rPr>
                <w:sz w:val="18"/>
                <w:szCs w:val="18"/>
              </w:rPr>
              <w:t>2021</w:t>
            </w:r>
          </w:p>
        </w:tc>
      </w:tr>
      <w:tr w:rsidR="00A606ED" w14:paraId="59E03A48" w14:textId="77777777" w:rsidTr="00265466">
        <w:trPr>
          <w:trHeight w:val="480"/>
        </w:trPr>
        <w:tc>
          <w:tcPr>
            <w:tcW w:w="1337" w:type="dxa"/>
            <w:vMerge/>
          </w:tcPr>
          <w:p w14:paraId="659CC70A" w14:textId="77777777" w:rsidR="00A606ED" w:rsidRDefault="00A606ED" w:rsidP="00265466">
            <w:pPr>
              <w:widowControl w:val="0"/>
              <w:pBdr>
                <w:top w:val="nil"/>
                <w:left w:val="nil"/>
                <w:bottom w:val="nil"/>
                <w:right w:val="nil"/>
                <w:between w:val="nil"/>
              </w:pBdr>
              <w:spacing w:line="276" w:lineRule="auto"/>
              <w:rPr>
                <w:sz w:val="18"/>
                <w:szCs w:val="18"/>
              </w:rPr>
            </w:pPr>
          </w:p>
        </w:tc>
        <w:tc>
          <w:tcPr>
            <w:tcW w:w="1730" w:type="dxa"/>
          </w:tcPr>
          <w:p w14:paraId="4A8CB448" w14:textId="77777777" w:rsidR="00A606ED" w:rsidRDefault="00A606ED" w:rsidP="00265466">
            <w:pPr>
              <w:rPr>
                <w:sz w:val="18"/>
                <w:szCs w:val="18"/>
              </w:rPr>
            </w:pPr>
            <w:r>
              <w:rPr>
                <w:sz w:val="18"/>
                <w:szCs w:val="18"/>
              </w:rPr>
              <w:t>Surface sources</w:t>
            </w:r>
          </w:p>
        </w:tc>
        <w:tc>
          <w:tcPr>
            <w:tcW w:w="3533" w:type="dxa"/>
          </w:tcPr>
          <w:p w14:paraId="12ED0C58" w14:textId="77777777" w:rsidR="00A606ED" w:rsidRPr="00773A6E" w:rsidRDefault="00A606ED" w:rsidP="00265466">
            <w:pPr>
              <w:rPr>
                <w:sz w:val="18"/>
                <w:szCs w:val="18"/>
              </w:rPr>
            </w:pPr>
            <w:r w:rsidRPr="00773A6E">
              <w:rPr>
                <w:sz w:val="18"/>
                <w:szCs w:val="18"/>
              </w:rPr>
              <w:t>Proportion of production provided by surface sources</w:t>
            </w:r>
          </w:p>
        </w:tc>
        <w:tc>
          <w:tcPr>
            <w:tcW w:w="980" w:type="dxa"/>
          </w:tcPr>
          <w:p w14:paraId="2AFF4BCF" w14:textId="77777777" w:rsidR="00A606ED" w:rsidRDefault="00A606ED" w:rsidP="00265466">
            <w:pPr>
              <w:rPr>
                <w:sz w:val="18"/>
                <w:szCs w:val="18"/>
              </w:rPr>
            </w:pPr>
            <w:r>
              <w:rPr>
                <w:sz w:val="18"/>
                <w:szCs w:val="18"/>
              </w:rPr>
              <w:t>Locality</w:t>
            </w:r>
          </w:p>
        </w:tc>
        <w:tc>
          <w:tcPr>
            <w:tcW w:w="1559" w:type="dxa"/>
          </w:tcPr>
          <w:p w14:paraId="1F0C14C0" w14:textId="77777777" w:rsidR="00A606ED" w:rsidRDefault="00A606ED" w:rsidP="00265466">
            <w:pPr>
              <w:rPr>
                <w:sz w:val="18"/>
                <w:szCs w:val="18"/>
              </w:rPr>
            </w:pPr>
            <w:r>
              <w:rPr>
                <w:sz w:val="18"/>
                <w:szCs w:val="18"/>
              </w:rPr>
              <w:t xml:space="preserve">Information provided by ESVAL </w:t>
            </w:r>
          </w:p>
        </w:tc>
        <w:tc>
          <w:tcPr>
            <w:tcW w:w="637" w:type="dxa"/>
          </w:tcPr>
          <w:p w14:paraId="2D84C758" w14:textId="77777777" w:rsidR="00A606ED" w:rsidRDefault="00A606ED" w:rsidP="00265466">
            <w:pPr>
              <w:jc w:val="right"/>
              <w:rPr>
                <w:sz w:val="18"/>
                <w:szCs w:val="18"/>
              </w:rPr>
            </w:pPr>
            <w:r>
              <w:rPr>
                <w:sz w:val="18"/>
                <w:szCs w:val="18"/>
              </w:rPr>
              <w:t>2021</w:t>
            </w:r>
          </w:p>
        </w:tc>
      </w:tr>
    </w:tbl>
    <w:p w14:paraId="0A28C8A8" w14:textId="77777777" w:rsidR="00A606ED" w:rsidRPr="006C4954" w:rsidRDefault="00A606ED" w:rsidP="006C4954">
      <w:pPr>
        <w:pStyle w:val="FigureorTableCaption"/>
        <w:rPr>
          <w:highlight w:val="yellow"/>
        </w:rPr>
      </w:pPr>
      <w:bookmarkStart w:id="3" w:name="_heading=h.3dy6vkm" w:colFirst="0" w:colLast="0"/>
      <w:bookmarkEnd w:id="3"/>
      <w:r w:rsidRPr="006C4954">
        <w:rPr>
          <w:b/>
        </w:rPr>
        <w:t>Table 2:</w:t>
      </w:r>
      <w:r w:rsidRPr="006C4954">
        <w:t xml:space="preserve"> Indicators used for the response capacity index</w:t>
      </w:r>
    </w:p>
    <w:tbl>
      <w:tblPr>
        <w:tblW w:w="9913" w:type="dxa"/>
        <w:tblBorders>
          <w:top w:val="single" w:sz="4" w:space="0" w:color="7F7F7F"/>
          <w:bottom w:val="single" w:sz="4" w:space="0" w:color="7F7F7F"/>
        </w:tblBorders>
        <w:tblLayout w:type="fixed"/>
        <w:tblLook w:val="04A0" w:firstRow="1" w:lastRow="0" w:firstColumn="1" w:lastColumn="0" w:noHBand="0" w:noVBand="1"/>
      </w:tblPr>
      <w:tblGrid>
        <w:gridCol w:w="1739"/>
        <w:gridCol w:w="1829"/>
        <w:gridCol w:w="3435"/>
        <w:gridCol w:w="1185"/>
        <w:gridCol w:w="1118"/>
        <w:gridCol w:w="607"/>
      </w:tblGrid>
      <w:tr w:rsidR="00A606ED" w14:paraId="19E7CA64" w14:textId="77777777" w:rsidTr="00265466">
        <w:trPr>
          <w:trHeight w:val="480"/>
        </w:trPr>
        <w:tc>
          <w:tcPr>
            <w:tcW w:w="1739" w:type="dxa"/>
          </w:tcPr>
          <w:p w14:paraId="59A6891B" w14:textId="77777777" w:rsidR="00A606ED" w:rsidRDefault="00A606ED" w:rsidP="00265466">
            <w:pPr>
              <w:jc w:val="center"/>
              <w:rPr>
                <w:sz w:val="18"/>
                <w:szCs w:val="18"/>
              </w:rPr>
            </w:pPr>
            <w:r>
              <w:rPr>
                <w:sz w:val="18"/>
                <w:szCs w:val="18"/>
              </w:rPr>
              <w:t>Dimension</w:t>
            </w:r>
          </w:p>
        </w:tc>
        <w:tc>
          <w:tcPr>
            <w:tcW w:w="1829" w:type="dxa"/>
          </w:tcPr>
          <w:p w14:paraId="64E6B3DD" w14:textId="77777777" w:rsidR="00A606ED" w:rsidRDefault="00A606ED" w:rsidP="00265466">
            <w:pPr>
              <w:jc w:val="center"/>
              <w:rPr>
                <w:sz w:val="18"/>
                <w:szCs w:val="18"/>
              </w:rPr>
            </w:pPr>
            <w:r>
              <w:rPr>
                <w:sz w:val="18"/>
                <w:szCs w:val="18"/>
              </w:rPr>
              <w:t>Indicator</w:t>
            </w:r>
          </w:p>
        </w:tc>
        <w:tc>
          <w:tcPr>
            <w:tcW w:w="3435" w:type="dxa"/>
          </w:tcPr>
          <w:p w14:paraId="018F0413" w14:textId="77777777" w:rsidR="00A606ED" w:rsidRDefault="00A606ED" w:rsidP="00265466">
            <w:pPr>
              <w:jc w:val="center"/>
              <w:rPr>
                <w:sz w:val="18"/>
                <w:szCs w:val="18"/>
              </w:rPr>
            </w:pPr>
            <w:r>
              <w:rPr>
                <w:sz w:val="18"/>
                <w:szCs w:val="18"/>
              </w:rPr>
              <w:t>Description</w:t>
            </w:r>
          </w:p>
        </w:tc>
        <w:tc>
          <w:tcPr>
            <w:tcW w:w="1185" w:type="dxa"/>
          </w:tcPr>
          <w:p w14:paraId="669BF7C2" w14:textId="77777777" w:rsidR="00A606ED" w:rsidRDefault="00A606ED" w:rsidP="00265466">
            <w:pPr>
              <w:jc w:val="center"/>
              <w:rPr>
                <w:sz w:val="18"/>
                <w:szCs w:val="18"/>
              </w:rPr>
            </w:pPr>
            <w:r>
              <w:rPr>
                <w:sz w:val="18"/>
                <w:szCs w:val="18"/>
              </w:rPr>
              <w:t>Spatial resolution</w:t>
            </w:r>
          </w:p>
        </w:tc>
        <w:tc>
          <w:tcPr>
            <w:tcW w:w="1118" w:type="dxa"/>
          </w:tcPr>
          <w:p w14:paraId="087CC9CA" w14:textId="77777777" w:rsidR="00A606ED" w:rsidRDefault="00A606ED" w:rsidP="00265466">
            <w:pPr>
              <w:jc w:val="center"/>
              <w:rPr>
                <w:sz w:val="18"/>
                <w:szCs w:val="18"/>
              </w:rPr>
            </w:pPr>
            <w:r>
              <w:rPr>
                <w:sz w:val="18"/>
                <w:szCs w:val="18"/>
              </w:rPr>
              <w:t>Data Source</w:t>
            </w:r>
          </w:p>
        </w:tc>
        <w:tc>
          <w:tcPr>
            <w:tcW w:w="607" w:type="dxa"/>
          </w:tcPr>
          <w:p w14:paraId="3655F013" w14:textId="77777777" w:rsidR="00A606ED" w:rsidRDefault="00A606ED" w:rsidP="00265466">
            <w:pPr>
              <w:jc w:val="center"/>
              <w:rPr>
                <w:sz w:val="18"/>
                <w:szCs w:val="18"/>
              </w:rPr>
            </w:pPr>
            <w:r>
              <w:rPr>
                <w:sz w:val="18"/>
                <w:szCs w:val="18"/>
              </w:rPr>
              <w:t>Year</w:t>
            </w:r>
          </w:p>
        </w:tc>
      </w:tr>
      <w:tr w:rsidR="00A606ED" w14:paraId="0B07E0FD" w14:textId="77777777" w:rsidTr="00265466">
        <w:trPr>
          <w:trHeight w:val="749"/>
        </w:trPr>
        <w:tc>
          <w:tcPr>
            <w:tcW w:w="1739" w:type="dxa"/>
            <w:vMerge w:val="restart"/>
          </w:tcPr>
          <w:p w14:paraId="6C4C2EB9" w14:textId="77777777" w:rsidR="00A606ED" w:rsidRDefault="00A606ED" w:rsidP="00265466">
            <w:pPr>
              <w:rPr>
                <w:sz w:val="18"/>
                <w:szCs w:val="18"/>
              </w:rPr>
            </w:pPr>
            <w:r>
              <w:rPr>
                <w:sz w:val="18"/>
                <w:szCs w:val="18"/>
              </w:rPr>
              <w:t>Short-term response</w:t>
            </w:r>
          </w:p>
        </w:tc>
        <w:tc>
          <w:tcPr>
            <w:tcW w:w="1829" w:type="dxa"/>
          </w:tcPr>
          <w:p w14:paraId="41A96B97" w14:textId="77777777" w:rsidR="00A606ED" w:rsidRPr="00773A6E" w:rsidRDefault="00A606ED" w:rsidP="00265466">
            <w:pPr>
              <w:rPr>
                <w:sz w:val="18"/>
                <w:szCs w:val="18"/>
              </w:rPr>
            </w:pPr>
            <w:r w:rsidRPr="00773A6E">
              <w:rPr>
                <w:sz w:val="18"/>
                <w:szCs w:val="18"/>
              </w:rPr>
              <w:t>Number and volume of alternative supply sources</w:t>
            </w:r>
          </w:p>
        </w:tc>
        <w:tc>
          <w:tcPr>
            <w:tcW w:w="3435" w:type="dxa"/>
          </w:tcPr>
          <w:p w14:paraId="1B91476A" w14:textId="77777777" w:rsidR="00A606ED" w:rsidRPr="00773A6E" w:rsidRDefault="00A606ED" w:rsidP="00265466">
            <w:pPr>
              <w:rPr>
                <w:sz w:val="18"/>
                <w:szCs w:val="18"/>
              </w:rPr>
            </w:pPr>
            <w:r w:rsidRPr="00773A6E">
              <w:rPr>
                <w:sz w:val="18"/>
                <w:szCs w:val="18"/>
              </w:rPr>
              <w:t>This indicator measures the number and volume of storage in M3 of alternative supply sources</w:t>
            </w:r>
          </w:p>
        </w:tc>
        <w:tc>
          <w:tcPr>
            <w:tcW w:w="1185" w:type="dxa"/>
          </w:tcPr>
          <w:p w14:paraId="2F6D72E5" w14:textId="77777777" w:rsidR="00A606ED" w:rsidRDefault="00A606ED" w:rsidP="00265466">
            <w:pPr>
              <w:rPr>
                <w:sz w:val="18"/>
                <w:szCs w:val="18"/>
              </w:rPr>
            </w:pPr>
            <w:r>
              <w:rPr>
                <w:sz w:val="18"/>
                <w:szCs w:val="18"/>
              </w:rPr>
              <w:t>Barrack</w:t>
            </w:r>
          </w:p>
        </w:tc>
        <w:tc>
          <w:tcPr>
            <w:tcW w:w="1118" w:type="dxa"/>
          </w:tcPr>
          <w:p w14:paraId="14DD7650" w14:textId="77777777" w:rsidR="00A606ED" w:rsidRDefault="00A606ED" w:rsidP="00265466">
            <w:pPr>
              <w:rPr>
                <w:sz w:val="18"/>
                <w:szCs w:val="18"/>
              </w:rPr>
            </w:pPr>
            <w:r>
              <w:rPr>
                <w:sz w:val="18"/>
                <w:szCs w:val="18"/>
              </w:rPr>
              <w:t xml:space="preserve">Information provided by ESVAL </w:t>
            </w:r>
          </w:p>
        </w:tc>
        <w:tc>
          <w:tcPr>
            <w:tcW w:w="607" w:type="dxa"/>
          </w:tcPr>
          <w:p w14:paraId="0F109A9B" w14:textId="77777777" w:rsidR="00A606ED" w:rsidRDefault="00A606ED" w:rsidP="00265466">
            <w:pPr>
              <w:jc w:val="right"/>
              <w:rPr>
                <w:sz w:val="18"/>
                <w:szCs w:val="18"/>
              </w:rPr>
            </w:pPr>
            <w:r>
              <w:rPr>
                <w:sz w:val="18"/>
                <w:szCs w:val="18"/>
              </w:rPr>
              <w:t>2021</w:t>
            </w:r>
          </w:p>
        </w:tc>
      </w:tr>
      <w:tr w:rsidR="00A606ED" w14:paraId="76251E67" w14:textId="77777777" w:rsidTr="00265466">
        <w:trPr>
          <w:trHeight w:val="960"/>
        </w:trPr>
        <w:tc>
          <w:tcPr>
            <w:tcW w:w="1739" w:type="dxa"/>
            <w:vMerge/>
          </w:tcPr>
          <w:p w14:paraId="484EF19F" w14:textId="77777777" w:rsidR="00A606ED" w:rsidRDefault="00A606ED" w:rsidP="00265466">
            <w:pPr>
              <w:widowControl w:val="0"/>
              <w:spacing w:line="276" w:lineRule="auto"/>
              <w:rPr>
                <w:sz w:val="18"/>
                <w:szCs w:val="18"/>
              </w:rPr>
            </w:pPr>
          </w:p>
        </w:tc>
        <w:tc>
          <w:tcPr>
            <w:tcW w:w="1829" w:type="dxa"/>
          </w:tcPr>
          <w:p w14:paraId="179844F2" w14:textId="77777777" w:rsidR="00A606ED" w:rsidRDefault="00A606ED" w:rsidP="00265466">
            <w:pPr>
              <w:rPr>
                <w:sz w:val="18"/>
                <w:szCs w:val="18"/>
              </w:rPr>
            </w:pPr>
            <w:r>
              <w:rPr>
                <w:sz w:val="18"/>
                <w:szCs w:val="18"/>
              </w:rPr>
              <w:t>Distribution system autonomy</w:t>
            </w:r>
          </w:p>
        </w:tc>
        <w:tc>
          <w:tcPr>
            <w:tcW w:w="3435" w:type="dxa"/>
          </w:tcPr>
          <w:p w14:paraId="4799A5C5" w14:textId="77777777" w:rsidR="00A606ED" w:rsidRPr="00773A6E" w:rsidRDefault="00A606ED" w:rsidP="00265466">
            <w:pPr>
              <w:rPr>
                <w:sz w:val="18"/>
                <w:szCs w:val="18"/>
              </w:rPr>
            </w:pPr>
            <w:r w:rsidRPr="00773A6E">
              <w:rPr>
                <w:sz w:val="18"/>
                <w:szCs w:val="18"/>
              </w:rPr>
              <w:t>Amount of time in which the sanitary service can supply the average consumption of the population with the distribution system</w:t>
            </w:r>
          </w:p>
        </w:tc>
        <w:tc>
          <w:tcPr>
            <w:tcW w:w="1185" w:type="dxa"/>
          </w:tcPr>
          <w:p w14:paraId="6C7956B2" w14:textId="77777777" w:rsidR="00A606ED" w:rsidRDefault="00A606ED" w:rsidP="00265466">
            <w:pPr>
              <w:rPr>
                <w:sz w:val="18"/>
                <w:szCs w:val="18"/>
              </w:rPr>
            </w:pPr>
            <w:r>
              <w:rPr>
                <w:sz w:val="18"/>
                <w:szCs w:val="18"/>
              </w:rPr>
              <w:t>Locality</w:t>
            </w:r>
          </w:p>
        </w:tc>
        <w:tc>
          <w:tcPr>
            <w:tcW w:w="1118" w:type="dxa"/>
          </w:tcPr>
          <w:p w14:paraId="05FFEC98" w14:textId="77777777" w:rsidR="00A606ED" w:rsidRDefault="00A606ED" w:rsidP="00265466">
            <w:pPr>
              <w:rPr>
                <w:sz w:val="18"/>
                <w:szCs w:val="18"/>
              </w:rPr>
            </w:pPr>
            <w:r>
              <w:rPr>
                <w:sz w:val="18"/>
                <w:szCs w:val="18"/>
              </w:rPr>
              <w:t xml:space="preserve">Information provided by ESVAL </w:t>
            </w:r>
          </w:p>
        </w:tc>
        <w:tc>
          <w:tcPr>
            <w:tcW w:w="607" w:type="dxa"/>
          </w:tcPr>
          <w:p w14:paraId="4624357F" w14:textId="77777777" w:rsidR="00A606ED" w:rsidRDefault="00A606ED" w:rsidP="00265466">
            <w:pPr>
              <w:jc w:val="right"/>
              <w:rPr>
                <w:sz w:val="18"/>
                <w:szCs w:val="18"/>
              </w:rPr>
            </w:pPr>
            <w:r>
              <w:rPr>
                <w:sz w:val="18"/>
                <w:szCs w:val="18"/>
              </w:rPr>
              <w:t>2020</w:t>
            </w:r>
          </w:p>
        </w:tc>
      </w:tr>
      <w:tr w:rsidR="00A606ED" w14:paraId="5BB7AA66" w14:textId="77777777" w:rsidTr="00265466">
        <w:trPr>
          <w:trHeight w:val="720"/>
        </w:trPr>
        <w:tc>
          <w:tcPr>
            <w:tcW w:w="1739" w:type="dxa"/>
            <w:vMerge w:val="restart"/>
          </w:tcPr>
          <w:p w14:paraId="090C4A62" w14:textId="77777777" w:rsidR="00A606ED" w:rsidRDefault="00A606ED" w:rsidP="00265466">
            <w:pPr>
              <w:rPr>
                <w:sz w:val="18"/>
                <w:szCs w:val="18"/>
              </w:rPr>
            </w:pPr>
            <w:r>
              <w:rPr>
                <w:sz w:val="18"/>
                <w:szCs w:val="18"/>
              </w:rPr>
              <w:lastRenderedPageBreak/>
              <w:t>Long-term response</w:t>
            </w:r>
          </w:p>
        </w:tc>
        <w:tc>
          <w:tcPr>
            <w:tcW w:w="1829" w:type="dxa"/>
          </w:tcPr>
          <w:p w14:paraId="378E59E9" w14:textId="77777777" w:rsidR="00A606ED" w:rsidRDefault="00A606ED" w:rsidP="00265466">
            <w:pPr>
              <w:rPr>
                <w:sz w:val="18"/>
                <w:szCs w:val="18"/>
              </w:rPr>
            </w:pPr>
            <w:r>
              <w:rPr>
                <w:sz w:val="18"/>
                <w:szCs w:val="18"/>
              </w:rPr>
              <w:t>Diversity of sources</w:t>
            </w:r>
          </w:p>
        </w:tc>
        <w:tc>
          <w:tcPr>
            <w:tcW w:w="3435" w:type="dxa"/>
          </w:tcPr>
          <w:p w14:paraId="6B1BFDFC" w14:textId="77131F4E" w:rsidR="00A606ED" w:rsidRPr="00773A6E" w:rsidRDefault="006C4954" w:rsidP="00265466">
            <w:pPr>
              <w:rPr>
                <w:sz w:val="18"/>
                <w:szCs w:val="18"/>
              </w:rPr>
            </w:pPr>
            <w:r>
              <w:rPr>
                <w:sz w:val="18"/>
                <w:szCs w:val="18"/>
              </w:rPr>
              <w:t>The proportion</w:t>
            </w:r>
            <w:r w:rsidR="00A606ED" w:rsidRPr="00773A6E">
              <w:rPr>
                <w:sz w:val="18"/>
                <w:szCs w:val="18"/>
              </w:rPr>
              <w:t xml:space="preserve"> of water produced at points other than the main source</w:t>
            </w:r>
          </w:p>
        </w:tc>
        <w:tc>
          <w:tcPr>
            <w:tcW w:w="1185" w:type="dxa"/>
          </w:tcPr>
          <w:p w14:paraId="2BEB8B2F" w14:textId="77777777" w:rsidR="00A606ED" w:rsidRDefault="00A606ED" w:rsidP="00265466">
            <w:pPr>
              <w:rPr>
                <w:sz w:val="18"/>
                <w:szCs w:val="18"/>
              </w:rPr>
            </w:pPr>
            <w:r>
              <w:rPr>
                <w:sz w:val="18"/>
                <w:szCs w:val="18"/>
              </w:rPr>
              <w:t>Locality</w:t>
            </w:r>
          </w:p>
        </w:tc>
        <w:tc>
          <w:tcPr>
            <w:tcW w:w="1118" w:type="dxa"/>
          </w:tcPr>
          <w:p w14:paraId="06474D70" w14:textId="77777777" w:rsidR="00A606ED" w:rsidRDefault="00A606ED" w:rsidP="00265466">
            <w:pPr>
              <w:rPr>
                <w:sz w:val="18"/>
                <w:szCs w:val="18"/>
              </w:rPr>
            </w:pPr>
            <w:r>
              <w:rPr>
                <w:sz w:val="18"/>
                <w:szCs w:val="18"/>
              </w:rPr>
              <w:t xml:space="preserve">Information provided by ESVAL </w:t>
            </w:r>
          </w:p>
        </w:tc>
        <w:tc>
          <w:tcPr>
            <w:tcW w:w="607" w:type="dxa"/>
          </w:tcPr>
          <w:p w14:paraId="78728079" w14:textId="77777777" w:rsidR="00A606ED" w:rsidRDefault="00A606ED" w:rsidP="00265466">
            <w:pPr>
              <w:jc w:val="right"/>
              <w:rPr>
                <w:sz w:val="18"/>
                <w:szCs w:val="18"/>
              </w:rPr>
            </w:pPr>
            <w:r>
              <w:rPr>
                <w:sz w:val="18"/>
                <w:szCs w:val="18"/>
              </w:rPr>
              <w:t>2021</w:t>
            </w:r>
          </w:p>
        </w:tc>
      </w:tr>
      <w:tr w:rsidR="00A606ED" w14:paraId="6C5F0F55" w14:textId="77777777" w:rsidTr="00265466">
        <w:trPr>
          <w:trHeight w:val="720"/>
        </w:trPr>
        <w:tc>
          <w:tcPr>
            <w:tcW w:w="1739" w:type="dxa"/>
            <w:vMerge/>
          </w:tcPr>
          <w:p w14:paraId="3011026B" w14:textId="77777777" w:rsidR="00A606ED" w:rsidRDefault="00A606ED" w:rsidP="00265466">
            <w:pPr>
              <w:widowControl w:val="0"/>
              <w:spacing w:line="276" w:lineRule="auto"/>
              <w:rPr>
                <w:sz w:val="18"/>
                <w:szCs w:val="18"/>
              </w:rPr>
            </w:pPr>
          </w:p>
        </w:tc>
        <w:tc>
          <w:tcPr>
            <w:tcW w:w="1829" w:type="dxa"/>
          </w:tcPr>
          <w:p w14:paraId="179683E9" w14:textId="77777777" w:rsidR="00A606ED" w:rsidRDefault="00A606ED" w:rsidP="00265466">
            <w:pPr>
              <w:rPr>
                <w:sz w:val="18"/>
                <w:szCs w:val="18"/>
              </w:rPr>
            </w:pPr>
            <w:r>
              <w:rPr>
                <w:sz w:val="18"/>
                <w:szCs w:val="18"/>
              </w:rPr>
              <w:t>system water loss</w:t>
            </w:r>
          </w:p>
        </w:tc>
        <w:tc>
          <w:tcPr>
            <w:tcW w:w="3435" w:type="dxa"/>
          </w:tcPr>
          <w:p w14:paraId="044F4E9A" w14:textId="03CA32EC" w:rsidR="00A606ED" w:rsidRPr="00773A6E" w:rsidRDefault="006C4954" w:rsidP="00265466">
            <w:pPr>
              <w:rPr>
                <w:sz w:val="18"/>
                <w:szCs w:val="18"/>
              </w:rPr>
            </w:pPr>
            <w:r>
              <w:rPr>
                <w:sz w:val="18"/>
                <w:szCs w:val="18"/>
              </w:rPr>
              <w:t xml:space="preserve">The </w:t>
            </w:r>
            <w:r w:rsidR="00A606ED" w:rsidRPr="00773A6E">
              <w:rPr>
                <w:sz w:val="18"/>
                <w:szCs w:val="18"/>
              </w:rPr>
              <w:t>gap between the amount produced and actual consumption</w:t>
            </w:r>
          </w:p>
        </w:tc>
        <w:tc>
          <w:tcPr>
            <w:tcW w:w="1185" w:type="dxa"/>
          </w:tcPr>
          <w:p w14:paraId="71870BF6" w14:textId="77777777" w:rsidR="00A606ED" w:rsidRDefault="00A606ED" w:rsidP="00265466">
            <w:pPr>
              <w:rPr>
                <w:sz w:val="18"/>
                <w:szCs w:val="18"/>
              </w:rPr>
            </w:pPr>
            <w:r>
              <w:rPr>
                <w:sz w:val="18"/>
                <w:szCs w:val="18"/>
              </w:rPr>
              <w:t>Locality</w:t>
            </w:r>
          </w:p>
        </w:tc>
        <w:tc>
          <w:tcPr>
            <w:tcW w:w="1118" w:type="dxa"/>
          </w:tcPr>
          <w:p w14:paraId="64E2C80A" w14:textId="77777777" w:rsidR="00A606ED" w:rsidRDefault="00A606ED" w:rsidP="00265466">
            <w:pPr>
              <w:rPr>
                <w:sz w:val="18"/>
                <w:szCs w:val="18"/>
              </w:rPr>
            </w:pPr>
            <w:r>
              <w:rPr>
                <w:sz w:val="18"/>
                <w:szCs w:val="18"/>
              </w:rPr>
              <w:t xml:space="preserve">Information provided by ESVAL </w:t>
            </w:r>
          </w:p>
        </w:tc>
        <w:tc>
          <w:tcPr>
            <w:tcW w:w="607" w:type="dxa"/>
          </w:tcPr>
          <w:p w14:paraId="6B210238" w14:textId="77777777" w:rsidR="00A606ED" w:rsidRDefault="00A606ED" w:rsidP="00265466">
            <w:pPr>
              <w:jc w:val="right"/>
              <w:rPr>
                <w:sz w:val="18"/>
                <w:szCs w:val="18"/>
              </w:rPr>
            </w:pPr>
            <w:r>
              <w:rPr>
                <w:sz w:val="18"/>
                <w:szCs w:val="18"/>
              </w:rPr>
              <w:t>2015</w:t>
            </w:r>
          </w:p>
        </w:tc>
      </w:tr>
    </w:tbl>
    <w:p w14:paraId="15DC2CCA" w14:textId="77777777" w:rsidR="00A606ED" w:rsidRPr="00773A6E" w:rsidRDefault="00A606ED" w:rsidP="00A606ED">
      <w:pPr>
        <w:pStyle w:val="Heading-Secondary"/>
      </w:pPr>
      <w:r w:rsidRPr="00773A6E">
        <w:t xml:space="preserve">4.3 Aggregation of indicators on a single TWV index </w:t>
      </w:r>
    </w:p>
    <w:p w14:paraId="3AAEED11" w14:textId="7872F698" w:rsidR="00A606ED" w:rsidRPr="00773A6E" w:rsidRDefault="00A606ED" w:rsidP="00A606ED">
      <w:pPr>
        <w:spacing w:after="160"/>
        <w:jc w:val="both"/>
        <w:rPr>
          <w:rFonts w:eastAsia="Times New Roman"/>
        </w:rPr>
      </w:pPr>
      <w:r w:rsidRPr="00773A6E">
        <w:rPr>
          <w:rFonts w:eastAsia="Times New Roman"/>
        </w:rPr>
        <w:t>The different indicators discussed above were aggregated into indexes of the population's sensi</w:t>
      </w:r>
      <w:r w:rsidR="006C4954">
        <w:rPr>
          <w:rFonts w:eastAsia="Times New Roman"/>
        </w:rPr>
        <w:t>tivity and</w:t>
      </w:r>
      <w:r w:rsidRPr="00773A6E">
        <w:rPr>
          <w:rFonts w:eastAsia="Times New Roman"/>
        </w:rPr>
        <w:t xml:space="preserve"> response capacity, thus allowing an aggregated assessment of the water security in Gran Valparaíso. Then, a vulnerability index was built by aggregating the sensitivity and response capacity sub-indexes. In the case of sensitivity, the indicators were first aggregated into subdimensions (see </w:t>
      </w:r>
      <w:r w:rsidR="002C08A2">
        <w:rPr>
          <w:rFonts w:eastAsia="Times New Roman"/>
        </w:rPr>
        <w:t>table S4, supporting information</w:t>
      </w:r>
      <w:r w:rsidRPr="00773A6E">
        <w:rPr>
          <w:rFonts w:eastAsia="Times New Roman"/>
        </w:rPr>
        <w:t>) and then these sub-dimensions were aggregated into a sensitivity index.</w:t>
      </w:r>
    </w:p>
    <w:p w14:paraId="63C97B0B" w14:textId="4858A600" w:rsidR="00A606ED" w:rsidRPr="00773A6E" w:rsidRDefault="00A606ED" w:rsidP="00A606ED">
      <w:pPr>
        <w:spacing w:after="160"/>
        <w:jc w:val="both"/>
        <w:rPr>
          <w:rFonts w:eastAsia="Times New Roman"/>
        </w:rPr>
      </w:pPr>
      <w:r w:rsidRPr="00773A6E">
        <w:rPr>
          <w:rFonts w:eastAsia="Times New Roman"/>
        </w:rPr>
        <w:t>For this aggregation</w:t>
      </w:r>
      <w:r w:rsidR="00C060B1">
        <w:rPr>
          <w:rFonts w:eastAsia="Times New Roman"/>
        </w:rPr>
        <w:t xml:space="preserve">, we used a fuzzy logic method </w:t>
      </w:r>
      <w:r w:rsidR="00C060B1">
        <w:rPr>
          <w:rFonts w:eastAsia="Times New Roman"/>
        </w:rPr>
        <w:fldChar w:fldCharType="begin" w:fldLock="1"/>
      </w:r>
      <w:r w:rsidR="00A82EA7">
        <w:rPr>
          <w:rFonts w:eastAsia="Times New Roman"/>
        </w:rPr>
        <w:instrText>ADDIN CSL_CITATION {"citationItems":[{"id":"ITEM-1","itemData":{"DOI":"10.1109/2.53","ISBN":"9781461418009","ISSN":"00189162","author":[{"dropping-particle":"","family":"Zadeh","given":"L. A.","non-dropping-particle":"","parse-names":false,"suffix":""}],"container-title":"Computer","id":"ITEM-1","issue":"4","issued":{"date-parts":[["1988"]]},"page":"83-93","title":"Fuzzy Logic","type":"article-journal","volume":"21"},"uris":["http://www.mendeley.com/documents/?uuid=663bb6c3-503a-4b18-995b-8d029f2784d3","http://www.mendeley.com/documents/?uuid=b159cb43-f0f8-4b0d-9823-c2377ab6b565"]},{"id":"ITEM-2","itemData":{"DOI":"10.1016/S0019-9958(65)90241-X","ISBN":"9780784413616","ISSN":"00199958","abstract":"A fuzzy set is a class of objects with a continuum of grades of membership. Such a set is characterized by a membership (characteristic) function which assigns to each object a grade of membership ranging between zero and one. The notions of inclusion, union, intersection, complement, relation, convexity, etc., are extended to such sets, and various properties of these notions in the context of fuzzy sets are established. In particular, a separation theorem for convex fuzzy sets is proved without requiring that the fuzzy sets be disjoint. © 1965 Academic Press, Inc.","author":[{"dropping-particle":"","family":"Zadeh","given":"L. A.","non-dropping-particle":"","parse-names":false,"suffix":""}],"container-title":"Information and Control","id":"ITEM-2","issue":"3","issued":{"date-parts":[["1965"]]},"page":"338-353","title":"Fuzzy sets","type":"article-journal","volume":"8"},"uris":["http://www.mendeley.com/documents/?uuid=dae74125-9a88-4270-a796-87f76b317f40","http://www.mendeley.com/documents/?uuid=97b21017-c8e6-4828-b1a9-bf78bd84d001"]}],"mendeley":{"formattedCitation":"(Zadeh, 1965, 1988)","manualFormatting":"(Zadeh, 1965; 1988)","plainTextFormattedCitation":"(Zadeh, 1965, 1988)","previouslyFormattedCitation":"(Zadeh, 1965, 1988)"},"properties":{"noteIndex":0},"schema":"https://github.com/citation-style-language/schema/raw/master/csl-citation.json"}</w:instrText>
      </w:r>
      <w:r w:rsidR="00C060B1">
        <w:rPr>
          <w:rFonts w:eastAsia="Times New Roman"/>
        </w:rPr>
        <w:fldChar w:fldCharType="separate"/>
      </w:r>
      <w:r w:rsidR="00C060B1">
        <w:rPr>
          <w:rFonts w:eastAsia="Times New Roman"/>
          <w:noProof/>
        </w:rPr>
        <w:t>(Zadeh, 1965;</w:t>
      </w:r>
      <w:r w:rsidR="00C060B1" w:rsidRPr="00C060B1">
        <w:rPr>
          <w:rFonts w:eastAsia="Times New Roman"/>
          <w:noProof/>
        </w:rPr>
        <w:t xml:space="preserve"> 1988)</w:t>
      </w:r>
      <w:r w:rsidR="00C060B1">
        <w:rPr>
          <w:rFonts w:eastAsia="Times New Roman"/>
        </w:rPr>
        <w:fldChar w:fldCharType="end"/>
      </w:r>
      <w:r w:rsidR="00C060B1">
        <w:rPr>
          <w:rFonts w:eastAsia="Times New Roman"/>
        </w:rPr>
        <w:t xml:space="preserve">. </w:t>
      </w:r>
      <w:r w:rsidRPr="00773A6E">
        <w:rPr>
          <w:rFonts w:eastAsia="Times New Roman"/>
        </w:rPr>
        <w:t>First, the raw data was processed to have indicators for each census block. These indicators were then standardized based on fuzzy membership functions, transforming each variable into a fuzzy set value ranging between 0 and 1, representing the census block membership degree to a "high" or "low" condition of the variable.</w:t>
      </w:r>
    </w:p>
    <w:p w14:paraId="438234FB" w14:textId="77777777" w:rsidR="00A606ED" w:rsidRPr="00773A6E" w:rsidRDefault="00A606ED" w:rsidP="00A606ED">
      <w:pPr>
        <w:spacing w:after="160"/>
        <w:jc w:val="both"/>
        <w:rPr>
          <w:rFonts w:eastAsia="Times New Roman"/>
        </w:rPr>
      </w:pPr>
      <w:r w:rsidRPr="00773A6E">
        <w:rPr>
          <w:rFonts w:eastAsia="Times New Roman"/>
        </w:rPr>
        <w:t>Either linear or S-type membership functions were used, depending on the nature of the distribution of the variable. In both cases, we took the lowest point as 0, and set as 1 an empirical value of the variable between the 90th and 99th percentiles as appropriate, to avoid biases due to possible outliers.</w:t>
      </w:r>
    </w:p>
    <w:p w14:paraId="75374ECE" w14:textId="5F2F402D" w:rsidR="00A606ED" w:rsidRPr="00773A6E" w:rsidRDefault="00A606ED" w:rsidP="00A606ED">
      <w:pPr>
        <w:spacing w:after="160"/>
        <w:jc w:val="both"/>
        <w:rPr>
          <w:rFonts w:eastAsia="Times New Roman"/>
        </w:rPr>
      </w:pPr>
      <w:r w:rsidRPr="00773A6E">
        <w:rPr>
          <w:rFonts w:eastAsia="Times New Roman"/>
        </w:rPr>
        <w:t>The fuzzified indicators were then combined using causal logic rules: multiple sets of conditions were defined based on the literature. If a set of condi</w:t>
      </w:r>
      <w:r w:rsidR="002C08A2">
        <w:rPr>
          <w:rFonts w:eastAsia="Times New Roman"/>
        </w:rPr>
        <w:t xml:space="preserve">tions is met, the case will </w:t>
      </w:r>
      <w:r w:rsidR="00896F5C" w:rsidRPr="00896F5C">
        <w:rPr>
          <w:rFonts w:eastAsia="Times New Roman"/>
        </w:rPr>
        <w:t xml:space="preserve">have a certain level (high, medium, or low) of the </w:t>
      </w:r>
      <w:r w:rsidR="0084324D" w:rsidRPr="00896F5C">
        <w:rPr>
          <w:rFonts w:eastAsia="Times New Roman"/>
        </w:rPr>
        <w:t xml:space="preserve">index </w:t>
      </w:r>
      <w:r w:rsidR="0084324D" w:rsidRPr="00773A6E">
        <w:rPr>
          <w:rFonts w:eastAsia="Times New Roman"/>
        </w:rPr>
        <w:t>analyzed</w:t>
      </w:r>
      <w:r w:rsidRPr="00773A6E">
        <w:rPr>
          <w:rFonts w:eastAsia="Times New Roman"/>
        </w:rPr>
        <w:t xml:space="preserve"> (see </w:t>
      </w:r>
      <w:r w:rsidR="002D3A32">
        <w:rPr>
          <w:rFonts w:eastAsia="Times New Roman"/>
        </w:rPr>
        <w:t>tables S4-S6, supporting information</w:t>
      </w:r>
      <w:r w:rsidRPr="00773A6E">
        <w:rPr>
          <w:rFonts w:eastAsia="Times New Roman"/>
        </w:rPr>
        <w:t>).</w:t>
      </w:r>
    </w:p>
    <w:p w14:paraId="65D73BEE" w14:textId="77777777" w:rsidR="00A606ED" w:rsidRPr="00773A6E" w:rsidRDefault="00A606ED" w:rsidP="00A606ED">
      <w:pPr>
        <w:spacing w:after="160"/>
        <w:jc w:val="both"/>
        <w:rPr>
          <w:rFonts w:eastAsia="Times New Roman"/>
        </w:rPr>
      </w:pPr>
      <w:r w:rsidRPr="00773A6E">
        <w:rPr>
          <w:rFonts w:eastAsia="Times New Roman"/>
        </w:rPr>
        <w:t>The form of aggregation depends on the substitution capacity that the indicators present in reflecting the presence of the subdimension. When indicators have a high degree of substitutability, that is, the presence of any indicator activates the relevance of the subdimension in the index, a Boolean OR operator was used. In the case of complementary indicators, where the presence of 2 or more indicators is necessary to establish the relevance of the subdimension of the index, the indicators are added using boolean AND operators.</w:t>
      </w:r>
    </w:p>
    <w:p w14:paraId="13BC818A" w14:textId="19F59418" w:rsidR="00A606ED" w:rsidRPr="00773A6E" w:rsidRDefault="00A606ED" w:rsidP="00A606ED">
      <w:pPr>
        <w:spacing w:after="160"/>
        <w:jc w:val="both"/>
        <w:rPr>
          <w:rFonts w:eastAsia="Times New Roman"/>
        </w:rPr>
      </w:pPr>
      <w:r w:rsidRPr="00773A6E">
        <w:rPr>
          <w:rFonts w:eastAsia="Times New Roman"/>
        </w:rPr>
        <w:t>Finally, the centroid method is applied to the membership distributions of the resulting indexes to obtain a punctual value of the index in each census block.</w:t>
      </w:r>
    </w:p>
    <w:p w14:paraId="41C25157" w14:textId="77777777" w:rsidR="00A606ED" w:rsidRPr="00773A6E" w:rsidRDefault="00A606ED" w:rsidP="00A606ED">
      <w:pPr>
        <w:pStyle w:val="Heading-Secondary"/>
      </w:pPr>
      <w:bookmarkStart w:id="4" w:name="_heading=h.f10oo2577n4o" w:colFirst="0" w:colLast="0"/>
      <w:bookmarkEnd w:id="4"/>
      <w:r w:rsidRPr="00773A6E">
        <w:t>4.4 Cluster analysis</w:t>
      </w:r>
    </w:p>
    <w:p w14:paraId="56B75803" w14:textId="51F0A529" w:rsidR="00A606ED" w:rsidRPr="00773A6E" w:rsidRDefault="00A606ED" w:rsidP="00A606ED">
      <w:pPr>
        <w:spacing w:before="240" w:after="240"/>
        <w:jc w:val="both"/>
        <w:rPr>
          <w:rFonts w:eastAsia="Times New Roman"/>
          <w:highlight w:val="white"/>
        </w:rPr>
      </w:pPr>
      <w:r w:rsidRPr="00773A6E">
        <w:rPr>
          <w:rFonts w:eastAsia="Times New Roman"/>
          <w:highlight w:val="white"/>
        </w:rPr>
        <w:t>The vulnerability is analyzed at the commune and census block level, according to the spatial scale of the different information sources. Cluster analysis is conducted to identify various profiles of census blocks at the extremes of the vulnerability index distribution. The analysis focuses on blocks in the first and last deciles of vulnerability. Different sample sizes of groups were tested to characterize the blocks with high and low TWV. I</w:t>
      </w:r>
      <w:r w:rsidR="0084324D">
        <w:rPr>
          <w:rFonts w:eastAsia="Times New Roman"/>
          <w:highlight w:val="white"/>
        </w:rPr>
        <w:t>n first and last</w:t>
      </w:r>
      <w:r w:rsidRPr="00773A6E">
        <w:rPr>
          <w:rFonts w:eastAsia="Times New Roman"/>
          <w:highlight w:val="white"/>
        </w:rPr>
        <w:t xml:space="preserve"> decile</w:t>
      </w:r>
      <w:r w:rsidR="0084324D">
        <w:rPr>
          <w:rFonts w:eastAsia="Times New Roman"/>
          <w:highlight w:val="white"/>
        </w:rPr>
        <w:t>s</w:t>
      </w:r>
      <w:r w:rsidRPr="00773A6E">
        <w:rPr>
          <w:rFonts w:eastAsia="Times New Roman"/>
          <w:highlight w:val="white"/>
        </w:rPr>
        <w:t>, groups with significant differences in the indicators integrated into the vulnerability index appear, allowing the identification of markedly different block profiles with extreme values ​​of TWV.</w:t>
      </w:r>
    </w:p>
    <w:p w14:paraId="52B84A06" w14:textId="43C6FD43" w:rsidR="00A606ED" w:rsidRPr="00773A6E" w:rsidRDefault="00A606ED" w:rsidP="00A606ED">
      <w:pPr>
        <w:spacing w:before="240" w:after="240"/>
        <w:jc w:val="both"/>
        <w:rPr>
          <w:rFonts w:eastAsia="Times New Roman"/>
          <w:highlight w:val="white"/>
        </w:rPr>
      </w:pPr>
      <w:r w:rsidRPr="00773A6E">
        <w:rPr>
          <w:rFonts w:eastAsia="Times New Roman"/>
          <w:highlight w:val="white"/>
        </w:rPr>
        <w:t xml:space="preserve">To analyze all the indicators associated with a spatial unit equal to or smaller than the census block (see tables 1 and 2), a hierarchical cluster analysis (HCA) was performed using Ward's method and </w:t>
      </w:r>
      <w:r w:rsidR="00932A35">
        <w:rPr>
          <w:rFonts w:eastAsia="Times New Roman"/>
          <w:highlight w:val="white"/>
        </w:rPr>
        <w:t>E</w:t>
      </w:r>
      <w:r w:rsidRPr="00773A6E">
        <w:rPr>
          <w:rFonts w:eastAsia="Times New Roman"/>
          <w:highlight w:val="white"/>
        </w:rPr>
        <w:t xml:space="preserve">uclidean affinity </w:t>
      </w:r>
      <w:r w:rsidR="00932A35">
        <w:rPr>
          <w:rFonts w:eastAsia="Times New Roman"/>
          <w:highlight w:val="white"/>
        </w:rPr>
        <w:t xml:space="preserve">as a similarity measure </w:t>
      </w:r>
      <w:r w:rsidR="00C060B1">
        <w:rPr>
          <w:rFonts w:eastAsia="Times New Roman"/>
          <w:highlight w:val="white"/>
        </w:rPr>
        <w:fldChar w:fldCharType="begin" w:fldLock="1"/>
      </w:r>
      <w:r w:rsidR="00A82EA7">
        <w:rPr>
          <w:rFonts w:eastAsia="Times New Roman"/>
          <w:highlight w:val="white"/>
        </w:rPr>
        <w:instrText>ADDIN CSL_CITATION {"citationItems":[{"id":"ITEM-1","itemData":{"DOI":"10.1007/s00357-014-9161-z","ISSN":"00219193","PMID":"6384193","abstract":"The UV radiation survival curve of exponentially growing cultures of Escherichia coli B/r WP2 trpE65 was modified by pretreatment for short incubation periods (up to 20 min) with chloramphenicol such that an extended exponential section of intermediate slope appeared between the shoulder and the final exponential slope. Surges of mutation to tryptophan independence occurred with each increase in slope of the survival curve. These surges were separated by extended sections of little mutation. Nalidixic acid prevented both the changes in survival and mutation. Mutation curves obtained with overnight cultures had three extended sections of little mutation alternating with sections of high mutation. Reincubation for 60 min in fresh medium reduced or eliminated the low-response sections. These reappeared after 80 to 90 min, when DNA had doubled in the culture and before the initial synchronous cell divisions had occurred. Nalidixic acid prevented this reappearance.","author":[{"dropping-particle":"","family":"Murtagh","given":"Fionn","non-dropping-particle":"","parse-names":false,"suffix":""},{"dropping-particle":"","family":"Legendre","given":"Pierre","non-dropping-particle":"","parse-names":false,"suffix":""}],"container-title":"Journal of Classificatio","id":"ITEM-1","issue":"1","issued":{"date-parts":[["2014"]]},"page":"274-295","title":"Ward’s Hierarchical Agglomerative Clustering Method: Which Algorithms Implement Ward’s Criterion?","type":"article-journal","volume":"31"},"uris":["http://www.mendeley.com/documents/?uuid=f2bbbafc-dd6f-4e72-aef2-e19d1721b63a","http://www.mendeley.com/documents/?uuid=b4e63313-9053-495f-a173-6b8f99e8c120"]}],"mendeley":{"formattedCitation":"(Murtagh &amp; Legendre, 2014)","plainTextFormattedCitation":"(Murtagh &amp; Legendre, 2014)","previouslyFormattedCitation":"(Murtagh &amp; Legendre, 2014)"},"properties":{"noteIndex":0},"schema":"https://github.com/citation-style-language/schema/raw/master/csl-citation.json"}</w:instrText>
      </w:r>
      <w:r w:rsidR="00C060B1">
        <w:rPr>
          <w:rFonts w:eastAsia="Times New Roman"/>
          <w:highlight w:val="white"/>
        </w:rPr>
        <w:fldChar w:fldCharType="separate"/>
      </w:r>
      <w:r w:rsidR="00C060B1" w:rsidRPr="00C060B1">
        <w:rPr>
          <w:rFonts w:eastAsia="Times New Roman"/>
          <w:noProof/>
          <w:highlight w:val="white"/>
        </w:rPr>
        <w:t>(Murtagh &amp; Legendre, 2014)</w:t>
      </w:r>
      <w:r w:rsidR="00C060B1">
        <w:rPr>
          <w:rFonts w:eastAsia="Times New Roman"/>
          <w:highlight w:val="white"/>
        </w:rPr>
        <w:fldChar w:fldCharType="end"/>
      </w:r>
      <w:r w:rsidRPr="00773A6E">
        <w:rPr>
          <w:rFonts w:eastAsia="Times New Roman"/>
          <w:highlight w:val="white"/>
        </w:rPr>
        <w:t xml:space="preserve">. On the other hand, all the variables associated with a spatial unit greater than the census block (census zone, locality, commune) are not considered in the cluster analysis and are </w:t>
      </w:r>
      <w:r w:rsidR="00932A35">
        <w:rPr>
          <w:rFonts w:eastAsia="Times New Roman"/>
          <w:highlight w:val="white"/>
        </w:rPr>
        <w:t xml:space="preserve">solely </w:t>
      </w:r>
      <w:r w:rsidRPr="00773A6E">
        <w:rPr>
          <w:rFonts w:eastAsia="Times New Roman"/>
          <w:highlight w:val="white"/>
        </w:rPr>
        <w:t>analyzed at the commune level.</w:t>
      </w:r>
    </w:p>
    <w:p w14:paraId="55B3A379" w14:textId="036E2440" w:rsidR="00A606ED" w:rsidRPr="00265466" w:rsidRDefault="00A606ED" w:rsidP="00265466">
      <w:pPr>
        <w:spacing w:before="240" w:after="240"/>
        <w:jc w:val="both"/>
        <w:rPr>
          <w:rFonts w:eastAsia="Times New Roman"/>
          <w:highlight w:val="white"/>
        </w:rPr>
      </w:pPr>
      <w:r w:rsidRPr="00773A6E">
        <w:rPr>
          <w:rFonts w:eastAsia="Times New Roman"/>
          <w:highlight w:val="white"/>
        </w:rPr>
        <w:t xml:space="preserve">The inertia curve and dendrogram of each decile data </w:t>
      </w:r>
      <w:r w:rsidR="00932A35">
        <w:rPr>
          <w:rFonts w:eastAsia="Times New Roman"/>
          <w:highlight w:val="white"/>
        </w:rPr>
        <w:t>were</w:t>
      </w:r>
      <w:r w:rsidRPr="00773A6E">
        <w:rPr>
          <w:rFonts w:eastAsia="Times New Roman"/>
          <w:highlight w:val="white"/>
        </w:rPr>
        <w:t xml:space="preserve"> </w:t>
      </w:r>
      <w:r w:rsidR="00932A35">
        <w:rPr>
          <w:rFonts w:eastAsia="Times New Roman"/>
          <w:highlight w:val="white"/>
        </w:rPr>
        <w:t>considered</w:t>
      </w:r>
      <w:r w:rsidR="00932A35" w:rsidRPr="00773A6E">
        <w:rPr>
          <w:rFonts w:eastAsia="Times New Roman"/>
          <w:highlight w:val="white"/>
        </w:rPr>
        <w:t xml:space="preserve"> </w:t>
      </w:r>
      <w:r w:rsidRPr="00773A6E">
        <w:rPr>
          <w:rFonts w:eastAsia="Times New Roman"/>
          <w:highlight w:val="white"/>
        </w:rPr>
        <w:t xml:space="preserve">to choose the optimal number of clusters, considering the minimum euclidean </w:t>
      </w:r>
      <w:r w:rsidR="002D3318">
        <w:rPr>
          <w:rFonts w:eastAsia="Times New Roman"/>
          <w:highlight w:val="white"/>
        </w:rPr>
        <w:t>affinity</w:t>
      </w:r>
      <w:r w:rsidRPr="00773A6E">
        <w:rPr>
          <w:rFonts w:eastAsia="Times New Roman"/>
          <w:highlight w:val="white"/>
        </w:rPr>
        <w:t xml:space="preserve"> between the elements of each group and the maximum distance between the different groups. According to the results of both methods (</w:t>
      </w:r>
      <w:r w:rsidR="002D3A32">
        <w:rPr>
          <w:rFonts w:eastAsia="Times New Roman"/>
          <w:highlight w:val="white"/>
        </w:rPr>
        <w:t>see figure S1, supporting information)</w:t>
      </w:r>
      <w:r w:rsidRPr="00773A6E">
        <w:rPr>
          <w:rFonts w:eastAsia="Times New Roman"/>
          <w:highlight w:val="white"/>
        </w:rPr>
        <w:t xml:space="preserve"> we decided to make three clusters for the observations of the high vulnerability group and other three for the low vulnerability group. </w:t>
      </w:r>
      <w:r w:rsidRPr="00773A6E">
        <w:rPr>
          <w:rFonts w:eastAsia="Times New Roman"/>
          <w:highlight w:val="white"/>
        </w:rPr>
        <w:lastRenderedPageBreak/>
        <w:t>At this number of groups, the inertia curve presents an inflection point in the inertia gain of having one more group and the Euclidean distance in the dendrogram is maximized.</w:t>
      </w:r>
    </w:p>
    <w:p w14:paraId="6AA4DAD7" w14:textId="77777777" w:rsidR="00C060B1" w:rsidRDefault="00A606ED" w:rsidP="00C060B1">
      <w:pPr>
        <w:pStyle w:val="Heading-Main"/>
      </w:pPr>
      <w:r>
        <w:t xml:space="preserve">5 Results </w:t>
      </w:r>
    </w:p>
    <w:p w14:paraId="0A24501F" w14:textId="761EC871" w:rsidR="00265466" w:rsidRPr="00C060B1" w:rsidRDefault="00265466" w:rsidP="00C060B1">
      <w:pPr>
        <w:pStyle w:val="Heading-Main"/>
        <w:jc w:val="both"/>
        <w:rPr>
          <w:b w:val="0"/>
          <w:bCs w:val="0"/>
          <w:kern w:val="0"/>
          <w:sz w:val="20"/>
          <w:szCs w:val="20"/>
        </w:rPr>
      </w:pPr>
      <w:r w:rsidRPr="00C060B1">
        <w:rPr>
          <w:b w:val="0"/>
          <w:bCs w:val="0"/>
          <w:kern w:val="0"/>
          <w:sz w:val="20"/>
          <w:szCs w:val="20"/>
        </w:rPr>
        <w:t xml:space="preserve">Maps of exposure, </w:t>
      </w:r>
      <w:r w:rsidR="00ED156C">
        <w:rPr>
          <w:b w:val="0"/>
          <w:bCs w:val="0"/>
          <w:kern w:val="0"/>
          <w:sz w:val="20"/>
          <w:szCs w:val="20"/>
        </w:rPr>
        <w:t>sensitivity</w:t>
      </w:r>
      <w:r w:rsidRPr="00C060B1">
        <w:rPr>
          <w:b w:val="0"/>
          <w:bCs w:val="0"/>
          <w:kern w:val="0"/>
          <w:sz w:val="20"/>
          <w:szCs w:val="20"/>
        </w:rPr>
        <w:t xml:space="preserve">, response capacity and vulnerability of water security associated with drinkable water for Gran Valparaíso are shown in Figure 4. The spatial distribution of the exposure index in terms of quantity and density of the population is shown in Figure 4a, showing and heterogeneous distribution of the exposure, driven by higher density on the smaller central census blocks, and by higher population levels on the bigger census blocks on the outskirts of each locality. The sensitivity map (Figure 4b) reveals the census blocks with a greater susceptibility to being impacted by water stress. The most sensitive census blocks are located on the outskirts of each locality, with a particular concentration in areas with a strong presence of informal settlements, homes without drinking water service and precarious socioeconomic conditions. No substantial difference exists between communes in the </w:t>
      </w:r>
      <w:r w:rsidR="00ED156C">
        <w:rPr>
          <w:b w:val="0"/>
          <w:bCs w:val="0"/>
          <w:kern w:val="0"/>
          <w:sz w:val="20"/>
          <w:szCs w:val="20"/>
        </w:rPr>
        <w:t>sensitivity</w:t>
      </w:r>
      <w:r w:rsidRPr="00C060B1">
        <w:rPr>
          <w:b w:val="0"/>
          <w:bCs w:val="0"/>
          <w:kern w:val="0"/>
          <w:sz w:val="20"/>
          <w:szCs w:val="20"/>
        </w:rPr>
        <w:t xml:space="preserve"> index (Table 3).</w:t>
      </w:r>
    </w:p>
    <w:p w14:paraId="2E225B8D" w14:textId="77777777" w:rsidR="00265466" w:rsidRPr="00773A6E" w:rsidRDefault="00265466" w:rsidP="00265466">
      <w:pPr>
        <w:spacing w:before="240" w:after="240"/>
        <w:jc w:val="both"/>
        <w:rPr>
          <w:rFonts w:eastAsia="Times New Roman"/>
        </w:rPr>
      </w:pPr>
      <w:r w:rsidRPr="00773A6E">
        <w:rPr>
          <w:rFonts w:eastAsia="Times New Roman"/>
        </w:rPr>
        <w:t xml:space="preserve">The results of the response capacity index (Figure 4c) show the capacity of a given territory to respond in front of a supply shortcut. In this way, the communities of Concón and Valparaíso present better response levels due to the greater number of autonomy hours of their distribution systems, being two or three times greater than the other localities (Table 3). On the other hand, higher capacities of alternative supply are found in some census blocks of the localities of Valparaíso, Reñaca, Viña del Mar and Quilpué, raising their response capacity. The Diversity of sources and System Water Losses have a lower influence on determining the response capacity due to the small variability of the distribution of these variables (Table 3) between the evaluated localities.        </w:t>
      </w:r>
    </w:p>
    <w:p w14:paraId="771F0317" w14:textId="23804F51" w:rsidR="00265466" w:rsidRPr="00773A6E" w:rsidRDefault="00265466" w:rsidP="00265466">
      <w:pPr>
        <w:spacing w:before="240" w:after="240"/>
        <w:jc w:val="both"/>
        <w:rPr>
          <w:rFonts w:eastAsia="Times New Roman"/>
        </w:rPr>
      </w:pPr>
      <w:bookmarkStart w:id="5" w:name="_heading=h.pkin3i6fla9s" w:colFirst="0" w:colLast="0"/>
      <w:bookmarkEnd w:id="5"/>
      <w:r w:rsidRPr="00773A6E">
        <w:rPr>
          <w:rFonts w:eastAsia="Times New Roman"/>
        </w:rPr>
        <w:t xml:space="preserve">The vulnerability map (Figure 4d) shows a combination of patterns observed for the two sub- indexes discussed before. The situation of Curauma, Placilla de Peñuelas and in part of the census blocks of Villa Alemana and Quilpué (see location in figure 3) stands out in that, despite not having an elevated </w:t>
      </w:r>
      <w:r w:rsidR="00ED156C">
        <w:rPr>
          <w:rFonts w:eastAsia="Times New Roman"/>
        </w:rPr>
        <w:t>sensitivity</w:t>
      </w:r>
      <w:r w:rsidRPr="00773A6E">
        <w:rPr>
          <w:rFonts w:eastAsia="Times New Roman"/>
        </w:rPr>
        <w:t xml:space="preserve">, these areas are highly vulnerable because of their low response capacity. Finally, a high vulnerability persists in the majority of the territories displaying a high </w:t>
      </w:r>
      <w:r w:rsidR="00ED156C">
        <w:rPr>
          <w:rFonts w:eastAsia="Times New Roman"/>
        </w:rPr>
        <w:t>sensitivity</w:t>
      </w:r>
      <w:r w:rsidRPr="00773A6E">
        <w:rPr>
          <w:rFonts w:eastAsia="Times New Roman"/>
        </w:rPr>
        <w:t>, indicating that in general</w:t>
      </w:r>
      <w:r>
        <w:rPr>
          <w:rFonts w:eastAsia="Times New Roman"/>
        </w:rPr>
        <w:t xml:space="preserve"> </w:t>
      </w:r>
      <w:r w:rsidRPr="00773A6E">
        <w:rPr>
          <w:rFonts w:eastAsia="Times New Roman"/>
        </w:rPr>
        <w:t xml:space="preserve">low levels of response capacity. </w:t>
      </w:r>
    </w:p>
    <w:p w14:paraId="7BC68582" w14:textId="684D9AF7" w:rsidR="00265466" w:rsidRPr="00773A6E" w:rsidRDefault="00265466" w:rsidP="0084324D">
      <w:pPr>
        <w:spacing w:before="240" w:after="240"/>
        <w:jc w:val="both"/>
        <w:rPr>
          <w:rFonts w:eastAsia="Times New Roman"/>
        </w:rPr>
      </w:pPr>
      <w:bookmarkStart w:id="6" w:name="_heading=h.yv1o8ul03o4" w:colFirst="0" w:colLast="0"/>
      <w:bookmarkEnd w:id="6"/>
      <w:r w:rsidRPr="00773A6E">
        <w:rPr>
          <w:rFonts w:eastAsia="Times New Roman"/>
        </w:rPr>
        <w:t xml:space="preserve">Special attention should be given to those blocks that have a high TWV and exposure index, given that the </w:t>
      </w:r>
      <w:r w:rsidR="00ED156C">
        <w:rPr>
          <w:rFonts w:eastAsia="Times New Roman"/>
        </w:rPr>
        <w:t>combination of both conditions</w:t>
      </w:r>
      <w:r w:rsidRPr="00773A6E">
        <w:rPr>
          <w:rFonts w:eastAsia="Times New Roman"/>
        </w:rPr>
        <w:t xml:space="preserve"> implies a greater risk in the case of an event that affects the drinking water supply</w:t>
      </w:r>
      <w:r w:rsidR="00896F5C">
        <w:rPr>
          <w:rFonts w:eastAsia="Times New Roman"/>
        </w:rPr>
        <w:t>.</w:t>
      </w:r>
    </w:p>
    <w:p w14:paraId="09FCCBAF" w14:textId="77777777" w:rsidR="00265466" w:rsidRPr="00773A6E" w:rsidRDefault="00265466" w:rsidP="00265466">
      <w:pPr>
        <w:spacing w:line="308" w:lineRule="auto"/>
        <w:jc w:val="both"/>
        <w:rPr>
          <w:rFonts w:eastAsia="Times New Roman"/>
        </w:rPr>
      </w:pPr>
      <w:bookmarkStart w:id="7" w:name="_heading=h.ej4p791y68az" w:colFirst="0" w:colLast="0"/>
      <w:bookmarkEnd w:id="7"/>
    </w:p>
    <w:p w14:paraId="421EAB00" w14:textId="7358A136" w:rsidR="00265466" w:rsidRPr="00EC2386" w:rsidRDefault="00592FB1" w:rsidP="00265466">
      <w:pPr>
        <w:spacing w:after="160"/>
        <w:jc w:val="both"/>
        <w:rPr>
          <w:rFonts w:eastAsia="Times New Roman"/>
        </w:rPr>
      </w:pPr>
      <w:bookmarkStart w:id="8" w:name="_heading=h.ima2ulm3wgvl" w:colFirst="0" w:colLast="0"/>
      <w:bookmarkEnd w:id="8"/>
      <w:r w:rsidRPr="00760FF8">
        <w:rPr>
          <w:rFonts w:eastAsia="Times New Roman"/>
          <w:noProof/>
          <w:lang w:val="es-CL" w:eastAsia="es-CL"/>
        </w:rPr>
        <w:lastRenderedPageBreak/>
        <w:drawing>
          <wp:inline distT="0" distB="0" distL="0" distR="0" wp14:anchorId="19F04FAA" wp14:editId="42DB54FF">
            <wp:extent cx="5905500" cy="3838575"/>
            <wp:effectExtent l="0" t="0" r="0" b="0"/>
            <wp:docPr id="5" name="Imagen 3" descr="E:\Descargas\Paper VHT - mapas indices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E:\Descargas\Paper VHT - mapas indices (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5500" cy="3838575"/>
                    </a:xfrm>
                    <a:prstGeom prst="rect">
                      <a:avLst/>
                    </a:prstGeom>
                    <a:noFill/>
                    <a:ln>
                      <a:noFill/>
                    </a:ln>
                  </pic:spPr>
                </pic:pic>
              </a:graphicData>
            </a:graphic>
          </wp:inline>
        </w:drawing>
      </w:r>
    </w:p>
    <w:p w14:paraId="7BC8719C" w14:textId="55A2B97D" w:rsidR="00265466" w:rsidRPr="00773A6E" w:rsidRDefault="00265466" w:rsidP="00360503">
      <w:pPr>
        <w:pStyle w:val="FigureorTableCaption"/>
        <w:rPr>
          <w:highlight w:val="yellow"/>
        </w:rPr>
      </w:pPr>
      <w:r w:rsidRPr="00411594">
        <w:rPr>
          <w:b/>
        </w:rPr>
        <w:t>Figure 4:</w:t>
      </w:r>
      <w:r w:rsidRPr="00773A6E">
        <w:t xml:space="preserve">  Exposure, </w:t>
      </w:r>
      <w:r w:rsidR="00ED156C">
        <w:t>sensitivity</w:t>
      </w:r>
      <w:r w:rsidRPr="00773A6E">
        <w:t>, response and vulnerability index spatialized by census block on the study area are represented on maps a), b), c) and d) respectively</w:t>
      </w:r>
    </w:p>
    <w:p w14:paraId="53BB5D04" w14:textId="77777777" w:rsidR="00265466" w:rsidRDefault="00265466" w:rsidP="00265466">
      <w:pPr>
        <w:widowControl w:val="0"/>
        <w:jc w:val="both"/>
        <w:rPr>
          <w:rFonts w:ascii="Calibri" w:hAnsi="Calibri" w:cs="Calibri"/>
        </w:rPr>
      </w:pPr>
    </w:p>
    <w:p w14:paraId="55EC394B" w14:textId="77777777" w:rsidR="00265466" w:rsidRPr="00411594" w:rsidRDefault="00265466" w:rsidP="00360503">
      <w:pPr>
        <w:pStyle w:val="FigureorTableCaption"/>
      </w:pPr>
      <w:r w:rsidRPr="00411594">
        <w:rPr>
          <w:b/>
        </w:rPr>
        <w:t>Table 3</w:t>
      </w:r>
      <w:r w:rsidRPr="00411594">
        <w:t xml:space="preserve">: Average values for sensitivity and response capacity indicators at communal level. </w:t>
      </w:r>
    </w:p>
    <w:p w14:paraId="625EE017" w14:textId="77777777" w:rsidR="00265466" w:rsidRPr="00773A6E" w:rsidRDefault="00265466" w:rsidP="00265466">
      <w:pPr>
        <w:widowControl w:val="0"/>
        <w:jc w:val="both"/>
        <w:rPr>
          <w:rFonts w:ascii="Calibri" w:hAnsi="Calibri" w:cs="Calibri"/>
        </w:rPr>
      </w:pPr>
    </w:p>
    <w:tbl>
      <w:tblPr>
        <w:tblW w:w="8931" w:type="dxa"/>
        <w:tblBorders>
          <w:top w:val="single" w:sz="4" w:space="0" w:color="7F7F7F"/>
          <w:bottom w:val="single" w:sz="4" w:space="0" w:color="7F7F7F"/>
        </w:tblBorders>
        <w:tblLayout w:type="fixed"/>
        <w:tblLook w:val="06A0" w:firstRow="1" w:lastRow="0" w:firstColumn="1" w:lastColumn="0" w:noHBand="1" w:noVBand="1"/>
      </w:tblPr>
      <w:tblGrid>
        <w:gridCol w:w="1217"/>
        <w:gridCol w:w="2600"/>
        <w:gridCol w:w="1183"/>
        <w:gridCol w:w="954"/>
        <w:gridCol w:w="992"/>
        <w:gridCol w:w="940"/>
        <w:gridCol w:w="1045"/>
      </w:tblGrid>
      <w:tr w:rsidR="00265466" w14:paraId="0334C54B" w14:textId="77777777" w:rsidTr="00265466">
        <w:trPr>
          <w:trHeight w:val="300"/>
        </w:trPr>
        <w:tc>
          <w:tcPr>
            <w:tcW w:w="1217" w:type="dxa"/>
          </w:tcPr>
          <w:p w14:paraId="6CC7B722" w14:textId="77777777" w:rsidR="00265466" w:rsidRPr="00773A6E" w:rsidRDefault="00265466" w:rsidP="00265466">
            <w:pPr>
              <w:rPr>
                <w:rFonts w:eastAsia="Times New Roman"/>
                <w:sz w:val="24"/>
                <w:szCs w:val="24"/>
              </w:rPr>
            </w:pPr>
          </w:p>
        </w:tc>
        <w:tc>
          <w:tcPr>
            <w:tcW w:w="2600" w:type="dxa"/>
          </w:tcPr>
          <w:p w14:paraId="44C978F4" w14:textId="77777777" w:rsidR="00265466" w:rsidRDefault="00265466" w:rsidP="00265466">
            <w:pPr>
              <w:jc w:val="center"/>
            </w:pPr>
            <w:r>
              <w:t>Commune</w:t>
            </w:r>
          </w:p>
        </w:tc>
        <w:tc>
          <w:tcPr>
            <w:tcW w:w="1183" w:type="dxa"/>
          </w:tcPr>
          <w:p w14:paraId="00320E2C" w14:textId="77777777" w:rsidR="00265466" w:rsidRDefault="00265466" w:rsidP="00265466">
            <w:pPr>
              <w:jc w:val="center"/>
            </w:pPr>
            <w:r>
              <w:t>Valparaíso</w:t>
            </w:r>
          </w:p>
        </w:tc>
        <w:tc>
          <w:tcPr>
            <w:tcW w:w="954" w:type="dxa"/>
          </w:tcPr>
          <w:p w14:paraId="1B56662F" w14:textId="77777777" w:rsidR="00265466" w:rsidRDefault="00265466" w:rsidP="00265466">
            <w:pPr>
              <w:jc w:val="center"/>
            </w:pPr>
            <w:r>
              <w:t>Concón</w:t>
            </w:r>
          </w:p>
        </w:tc>
        <w:tc>
          <w:tcPr>
            <w:tcW w:w="992" w:type="dxa"/>
          </w:tcPr>
          <w:p w14:paraId="5C9AD564" w14:textId="77777777" w:rsidR="00265466" w:rsidRDefault="00265466" w:rsidP="00265466">
            <w:pPr>
              <w:jc w:val="center"/>
            </w:pPr>
            <w:r>
              <w:t>Viña del Mar</w:t>
            </w:r>
          </w:p>
        </w:tc>
        <w:tc>
          <w:tcPr>
            <w:tcW w:w="940" w:type="dxa"/>
          </w:tcPr>
          <w:p w14:paraId="3AF94E05" w14:textId="77777777" w:rsidR="00265466" w:rsidRDefault="00265466" w:rsidP="00265466">
            <w:pPr>
              <w:jc w:val="center"/>
            </w:pPr>
            <w:r>
              <w:t>Quilpué</w:t>
            </w:r>
          </w:p>
        </w:tc>
        <w:tc>
          <w:tcPr>
            <w:tcW w:w="1045" w:type="dxa"/>
          </w:tcPr>
          <w:p w14:paraId="0932F6DA" w14:textId="77777777" w:rsidR="00265466" w:rsidRDefault="00265466" w:rsidP="00265466">
            <w:pPr>
              <w:jc w:val="center"/>
            </w:pPr>
            <w:r>
              <w:t>Villa Alemana</w:t>
            </w:r>
          </w:p>
        </w:tc>
      </w:tr>
      <w:tr w:rsidR="00265466" w14:paraId="0B5E8626" w14:textId="77777777" w:rsidTr="00265466">
        <w:trPr>
          <w:trHeight w:val="114"/>
        </w:trPr>
        <w:tc>
          <w:tcPr>
            <w:tcW w:w="1217" w:type="dxa"/>
            <w:vMerge w:val="restart"/>
          </w:tcPr>
          <w:p w14:paraId="1A817549" w14:textId="77777777" w:rsidR="00265466" w:rsidRDefault="00265466" w:rsidP="00265466">
            <w:pPr>
              <w:jc w:val="center"/>
            </w:pPr>
            <w:r>
              <w:t>Sensitivity</w:t>
            </w:r>
          </w:p>
        </w:tc>
        <w:tc>
          <w:tcPr>
            <w:tcW w:w="2600" w:type="dxa"/>
          </w:tcPr>
          <w:p w14:paraId="737D3D59" w14:textId="77777777" w:rsidR="00265466" w:rsidRDefault="00265466" w:rsidP="00265466">
            <w:pPr>
              <w:rPr>
                <w:sz w:val="18"/>
                <w:szCs w:val="18"/>
              </w:rPr>
            </w:pPr>
            <w:r>
              <w:rPr>
                <w:sz w:val="18"/>
                <w:szCs w:val="18"/>
              </w:rPr>
              <w:t>Women-led household</w:t>
            </w:r>
          </w:p>
        </w:tc>
        <w:tc>
          <w:tcPr>
            <w:tcW w:w="1183" w:type="dxa"/>
            <w:tcBorders>
              <w:top w:val="nil"/>
              <w:left w:val="nil"/>
              <w:bottom w:val="nil"/>
              <w:right w:val="nil"/>
            </w:tcBorders>
            <w:tcMar>
              <w:top w:w="100" w:type="dxa"/>
              <w:left w:w="100" w:type="dxa"/>
              <w:bottom w:w="100" w:type="dxa"/>
              <w:right w:w="100" w:type="dxa"/>
            </w:tcMar>
          </w:tcPr>
          <w:p w14:paraId="26A76948" w14:textId="77777777" w:rsidR="00265466" w:rsidRDefault="00265466" w:rsidP="00265466">
            <w:pPr>
              <w:jc w:val="right"/>
            </w:pPr>
            <w:r>
              <w:t>23.9%</w:t>
            </w:r>
          </w:p>
        </w:tc>
        <w:tc>
          <w:tcPr>
            <w:tcW w:w="954" w:type="dxa"/>
            <w:tcBorders>
              <w:top w:val="nil"/>
              <w:left w:val="nil"/>
              <w:bottom w:val="nil"/>
              <w:right w:val="nil"/>
            </w:tcBorders>
            <w:tcMar>
              <w:top w:w="100" w:type="dxa"/>
              <w:left w:w="100" w:type="dxa"/>
              <w:bottom w:w="100" w:type="dxa"/>
              <w:right w:w="100" w:type="dxa"/>
            </w:tcMar>
          </w:tcPr>
          <w:p w14:paraId="7F7EC2FF" w14:textId="77777777" w:rsidR="00265466" w:rsidRDefault="00265466" w:rsidP="00265466">
            <w:pPr>
              <w:jc w:val="right"/>
            </w:pPr>
            <w:r>
              <w:t>21.0%</w:t>
            </w:r>
          </w:p>
        </w:tc>
        <w:tc>
          <w:tcPr>
            <w:tcW w:w="992" w:type="dxa"/>
            <w:tcBorders>
              <w:top w:val="nil"/>
              <w:left w:val="nil"/>
              <w:bottom w:val="nil"/>
              <w:right w:val="nil"/>
            </w:tcBorders>
            <w:tcMar>
              <w:top w:w="100" w:type="dxa"/>
              <w:left w:w="100" w:type="dxa"/>
              <w:bottom w:w="100" w:type="dxa"/>
              <w:right w:w="100" w:type="dxa"/>
            </w:tcMar>
          </w:tcPr>
          <w:p w14:paraId="3D0BBAA8" w14:textId="77777777" w:rsidR="00265466" w:rsidRDefault="00265466" w:rsidP="00265466">
            <w:pPr>
              <w:jc w:val="right"/>
            </w:pPr>
            <w:r>
              <w:t>22.9%</w:t>
            </w:r>
          </w:p>
        </w:tc>
        <w:tc>
          <w:tcPr>
            <w:tcW w:w="940" w:type="dxa"/>
            <w:tcBorders>
              <w:top w:val="nil"/>
              <w:left w:val="nil"/>
              <w:bottom w:val="nil"/>
              <w:right w:val="nil"/>
            </w:tcBorders>
            <w:tcMar>
              <w:top w:w="100" w:type="dxa"/>
              <w:left w:w="100" w:type="dxa"/>
              <w:bottom w:w="100" w:type="dxa"/>
              <w:right w:w="100" w:type="dxa"/>
            </w:tcMar>
          </w:tcPr>
          <w:p w14:paraId="060488FD" w14:textId="77777777" w:rsidR="00265466" w:rsidRDefault="00265466" w:rsidP="00265466">
            <w:pPr>
              <w:jc w:val="right"/>
            </w:pPr>
            <w:r>
              <w:t>23.8%</w:t>
            </w:r>
          </w:p>
        </w:tc>
        <w:tc>
          <w:tcPr>
            <w:tcW w:w="1045" w:type="dxa"/>
            <w:tcBorders>
              <w:top w:val="nil"/>
              <w:left w:val="nil"/>
              <w:bottom w:val="nil"/>
              <w:right w:val="nil"/>
            </w:tcBorders>
            <w:tcMar>
              <w:top w:w="100" w:type="dxa"/>
              <w:left w:w="100" w:type="dxa"/>
              <w:bottom w:w="100" w:type="dxa"/>
              <w:right w:w="100" w:type="dxa"/>
            </w:tcMar>
          </w:tcPr>
          <w:p w14:paraId="77081019" w14:textId="77777777" w:rsidR="00265466" w:rsidRDefault="00265466" w:rsidP="00265466">
            <w:pPr>
              <w:jc w:val="right"/>
            </w:pPr>
            <w:r>
              <w:t>23.9%</w:t>
            </w:r>
          </w:p>
        </w:tc>
      </w:tr>
      <w:tr w:rsidR="00265466" w14:paraId="3393A2EC" w14:textId="77777777" w:rsidTr="00265466">
        <w:trPr>
          <w:trHeight w:val="315"/>
        </w:trPr>
        <w:tc>
          <w:tcPr>
            <w:tcW w:w="1217" w:type="dxa"/>
            <w:vMerge/>
          </w:tcPr>
          <w:p w14:paraId="444D050B" w14:textId="77777777" w:rsidR="00265466" w:rsidRDefault="00265466" w:rsidP="00265466">
            <w:pPr>
              <w:widowControl w:val="0"/>
              <w:pBdr>
                <w:top w:val="nil"/>
                <w:left w:val="nil"/>
                <w:bottom w:val="nil"/>
                <w:right w:val="nil"/>
                <w:between w:val="nil"/>
              </w:pBdr>
              <w:spacing w:line="276" w:lineRule="auto"/>
            </w:pPr>
          </w:p>
        </w:tc>
        <w:tc>
          <w:tcPr>
            <w:tcW w:w="2600" w:type="dxa"/>
          </w:tcPr>
          <w:p w14:paraId="59C75B66" w14:textId="77777777" w:rsidR="00265466" w:rsidRDefault="00265466" w:rsidP="00265466">
            <w:pPr>
              <w:rPr>
                <w:sz w:val="18"/>
                <w:szCs w:val="18"/>
              </w:rPr>
            </w:pPr>
            <w:r>
              <w:rPr>
                <w:sz w:val="18"/>
                <w:szCs w:val="18"/>
              </w:rPr>
              <w:t>Education level</w:t>
            </w:r>
          </w:p>
        </w:tc>
        <w:tc>
          <w:tcPr>
            <w:tcW w:w="1183" w:type="dxa"/>
            <w:tcBorders>
              <w:top w:val="nil"/>
              <w:left w:val="nil"/>
              <w:bottom w:val="nil"/>
              <w:right w:val="nil"/>
            </w:tcBorders>
            <w:tcMar>
              <w:top w:w="100" w:type="dxa"/>
              <w:left w:w="100" w:type="dxa"/>
              <w:bottom w:w="100" w:type="dxa"/>
              <w:right w:w="100" w:type="dxa"/>
            </w:tcMar>
          </w:tcPr>
          <w:p w14:paraId="500A412E" w14:textId="77777777" w:rsidR="00265466" w:rsidRDefault="00265466" w:rsidP="00265466">
            <w:pPr>
              <w:jc w:val="right"/>
            </w:pPr>
            <w:r>
              <w:t>10.2%</w:t>
            </w:r>
          </w:p>
        </w:tc>
        <w:tc>
          <w:tcPr>
            <w:tcW w:w="954" w:type="dxa"/>
            <w:tcBorders>
              <w:top w:val="nil"/>
              <w:left w:val="nil"/>
              <w:bottom w:val="nil"/>
              <w:right w:val="nil"/>
            </w:tcBorders>
            <w:tcMar>
              <w:top w:w="100" w:type="dxa"/>
              <w:left w:w="100" w:type="dxa"/>
              <w:bottom w:w="100" w:type="dxa"/>
              <w:right w:w="100" w:type="dxa"/>
            </w:tcMar>
          </w:tcPr>
          <w:p w14:paraId="3473557B" w14:textId="77777777" w:rsidR="00265466" w:rsidRDefault="00265466" w:rsidP="00265466">
            <w:pPr>
              <w:jc w:val="right"/>
            </w:pPr>
            <w:r>
              <w:t>6.9%</w:t>
            </w:r>
          </w:p>
        </w:tc>
        <w:tc>
          <w:tcPr>
            <w:tcW w:w="992" w:type="dxa"/>
            <w:tcBorders>
              <w:top w:val="nil"/>
              <w:left w:val="nil"/>
              <w:bottom w:val="nil"/>
              <w:right w:val="nil"/>
            </w:tcBorders>
            <w:tcMar>
              <w:top w:w="100" w:type="dxa"/>
              <w:left w:w="100" w:type="dxa"/>
              <w:bottom w:w="100" w:type="dxa"/>
              <w:right w:w="100" w:type="dxa"/>
            </w:tcMar>
          </w:tcPr>
          <w:p w14:paraId="47A32C5F" w14:textId="77777777" w:rsidR="00265466" w:rsidRDefault="00265466" w:rsidP="00265466">
            <w:pPr>
              <w:jc w:val="right"/>
            </w:pPr>
            <w:r>
              <w:t>9.1%</w:t>
            </w:r>
          </w:p>
        </w:tc>
        <w:tc>
          <w:tcPr>
            <w:tcW w:w="940" w:type="dxa"/>
            <w:tcBorders>
              <w:top w:val="nil"/>
              <w:left w:val="nil"/>
              <w:bottom w:val="nil"/>
              <w:right w:val="nil"/>
            </w:tcBorders>
            <w:tcMar>
              <w:top w:w="100" w:type="dxa"/>
              <w:left w:w="100" w:type="dxa"/>
              <w:bottom w:w="100" w:type="dxa"/>
              <w:right w:w="100" w:type="dxa"/>
            </w:tcMar>
          </w:tcPr>
          <w:p w14:paraId="59EA0670" w14:textId="77777777" w:rsidR="00265466" w:rsidRDefault="00265466" w:rsidP="00265466">
            <w:pPr>
              <w:jc w:val="right"/>
            </w:pPr>
            <w:r>
              <w:t>8.3%</w:t>
            </w:r>
          </w:p>
        </w:tc>
        <w:tc>
          <w:tcPr>
            <w:tcW w:w="1045" w:type="dxa"/>
            <w:tcBorders>
              <w:top w:val="nil"/>
              <w:left w:val="nil"/>
              <w:bottom w:val="nil"/>
              <w:right w:val="nil"/>
            </w:tcBorders>
            <w:tcMar>
              <w:top w:w="100" w:type="dxa"/>
              <w:left w:w="100" w:type="dxa"/>
              <w:bottom w:w="100" w:type="dxa"/>
              <w:right w:w="100" w:type="dxa"/>
            </w:tcMar>
          </w:tcPr>
          <w:p w14:paraId="0205CCEF" w14:textId="77777777" w:rsidR="00265466" w:rsidRDefault="00265466" w:rsidP="00265466">
            <w:pPr>
              <w:jc w:val="right"/>
            </w:pPr>
            <w:r>
              <w:t>7.8%</w:t>
            </w:r>
          </w:p>
        </w:tc>
      </w:tr>
      <w:tr w:rsidR="00265466" w14:paraId="62BA8E1F" w14:textId="77777777" w:rsidTr="00265466">
        <w:trPr>
          <w:trHeight w:val="315"/>
        </w:trPr>
        <w:tc>
          <w:tcPr>
            <w:tcW w:w="1217" w:type="dxa"/>
            <w:vMerge/>
          </w:tcPr>
          <w:p w14:paraId="41DE171F" w14:textId="77777777" w:rsidR="00265466" w:rsidRDefault="00265466" w:rsidP="00265466">
            <w:pPr>
              <w:widowControl w:val="0"/>
              <w:pBdr>
                <w:top w:val="nil"/>
                <w:left w:val="nil"/>
                <w:bottom w:val="nil"/>
                <w:right w:val="nil"/>
                <w:between w:val="nil"/>
              </w:pBdr>
              <w:spacing w:line="276" w:lineRule="auto"/>
            </w:pPr>
          </w:p>
        </w:tc>
        <w:tc>
          <w:tcPr>
            <w:tcW w:w="2600" w:type="dxa"/>
          </w:tcPr>
          <w:p w14:paraId="0029D383" w14:textId="77777777" w:rsidR="00265466" w:rsidRDefault="00265466" w:rsidP="00265466">
            <w:pPr>
              <w:rPr>
                <w:sz w:val="18"/>
                <w:szCs w:val="18"/>
              </w:rPr>
            </w:pPr>
            <w:r>
              <w:rPr>
                <w:sz w:val="18"/>
                <w:szCs w:val="18"/>
              </w:rPr>
              <w:t xml:space="preserve"> Overcrowded households</w:t>
            </w:r>
          </w:p>
        </w:tc>
        <w:tc>
          <w:tcPr>
            <w:tcW w:w="1183" w:type="dxa"/>
            <w:tcBorders>
              <w:top w:val="nil"/>
              <w:left w:val="nil"/>
              <w:bottom w:val="nil"/>
              <w:right w:val="nil"/>
            </w:tcBorders>
            <w:tcMar>
              <w:top w:w="100" w:type="dxa"/>
              <w:left w:w="100" w:type="dxa"/>
              <w:bottom w:w="100" w:type="dxa"/>
              <w:right w:w="100" w:type="dxa"/>
            </w:tcMar>
          </w:tcPr>
          <w:p w14:paraId="5FA3F47F" w14:textId="77777777" w:rsidR="00265466" w:rsidRDefault="00265466" w:rsidP="00265466">
            <w:pPr>
              <w:jc w:val="right"/>
            </w:pPr>
            <w:r>
              <w:t>6.7%</w:t>
            </w:r>
          </w:p>
        </w:tc>
        <w:tc>
          <w:tcPr>
            <w:tcW w:w="954" w:type="dxa"/>
            <w:tcBorders>
              <w:top w:val="nil"/>
              <w:left w:val="nil"/>
              <w:bottom w:val="nil"/>
              <w:right w:val="nil"/>
            </w:tcBorders>
            <w:tcMar>
              <w:top w:w="100" w:type="dxa"/>
              <w:left w:w="100" w:type="dxa"/>
              <w:bottom w:w="100" w:type="dxa"/>
              <w:right w:w="100" w:type="dxa"/>
            </w:tcMar>
          </w:tcPr>
          <w:p w14:paraId="2FE796EA" w14:textId="77777777" w:rsidR="00265466" w:rsidRDefault="00265466" w:rsidP="00265466">
            <w:pPr>
              <w:jc w:val="right"/>
            </w:pPr>
            <w:r>
              <w:t>3.9%</w:t>
            </w:r>
          </w:p>
        </w:tc>
        <w:tc>
          <w:tcPr>
            <w:tcW w:w="992" w:type="dxa"/>
            <w:tcBorders>
              <w:top w:val="nil"/>
              <w:left w:val="nil"/>
              <w:bottom w:val="nil"/>
              <w:right w:val="nil"/>
            </w:tcBorders>
            <w:tcMar>
              <w:top w:w="100" w:type="dxa"/>
              <w:left w:w="100" w:type="dxa"/>
              <w:bottom w:w="100" w:type="dxa"/>
              <w:right w:w="100" w:type="dxa"/>
            </w:tcMar>
          </w:tcPr>
          <w:p w14:paraId="62954AA6" w14:textId="77777777" w:rsidR="00265466" w:rsidRDefault="00265466" w:rsidP="00265466">
            <w:pPr>
              <w:jc w:val="right"/>
            </w:pPr>
            <w:r>
              <w:t>5.1%</w:t>
            </w:r>
          </w:p>
        </w:tc>
        <w:tc>
          <w:tcPr>
            <w:tcW w:w="940" w:type="dxa"/>
            <w:tcBorders>
              <w:top w:val="nil"/>
              <w:left w:val="nil"/>
              <w:bottom w:val="nil"/>
              <w:right w:val="nil"/>
            </w:tcBorders>
            <w:tcMar>
              <w:top w:w="100" w:type="dxa"/>
              <w:left w:w="100" w:type="dxa"/>
              <w:bottom w:w="100" w:type="dxa"/>
              <w:right w:w="100" w:type="dxa"/>
            </w:tcMar>
          </w:tcPr>
          <w:p w14:paraId="145DB2A0" w14:textId="77777777" w:rsidR="00265466" w:rsidRDefault="00265466" w:rsidP="00265466">
            <w:pPr>
              <w:jc w:val="right"/>
            </w:pPr>
            <w:r>
              <w:t>4.2%</w:t>
            </w:r>
          </w:p>
        </w:tc>
        <w:tc>
          <w:tcPr>
            <w:tcW w:w="1045" w:type="dxa"/>
            <w:tcBorders>
              <w:top w:val="nil"/>
              <w:left w:val="nil"/>
              <w:bottom w:val="nil"/>
              <w:right w:val="nil"/>
            </w:tcBorders>
            <w:tcMar>
              <w:top w:w="100" w:type="dxa"/>
              <w:left w:w="100" w:type="dxa"/>
              <w:bottom w:w="100" w:type="dxa"/>
              <w:right w:w="100" w:type="dxa"/>
            </w:tcMar>
          </w:tcPr>
          <w:p w14:paraId="699A6250" w14:textId="77777777" w:rsidR="00265466" w:rsidRDefault="00265466" w:rsidP="00265466">
            <w:pPr>
              <w:jc w:val="right"/>
            </w:pPr>
            <w:r>
              <w:t>4.2%</w:t>
            </w:r>
          </w:p>
        </w:tc>
      </w:tr>
      <w:tr w:rsidR="00265466" w14:paraId="2B63C2DB" w14:textId="77777777" w:rsidTr="00265466">
        <w:trPr>
          <w:trHeight w:val="315"/>
        </w:trPr>
        <w:tc>
          <w:tcPr>
            <w:tcW w:w="1217" w:type="dxa"/>
            <w:vMerge/>
          </w:tcPr>
          <w:p w14:paraId="29EB2D28" w14:textId="77777777" w:rsidR="00265466" w:rsidRDefault="00265466" w:rsidP="00265466">
            <w:pPr>
              <w:widowControl w:val="0"/>
              <w:pBdr>
                <w:top w:val="nil"/>
                <w:left w:val="nil"/>
                <w:bottom w:val="nil"/>
                <w:right w:val="nil"/>
                <w:between w:val="nil"/>
              </w:pBdr>
              <w:spacing w:line="276" w:lineRule="auto"/>
            </w:pPr>
          </w:p>
        </w:tc>
        <w:tc>
          <w:tcPr>
            <w:tcW w:w="2600" w:type="dxa"/>
          </w:tcPr>
          <w:p w14:paraId="3E300E9B" w14:textId="77777777" w:rsidR="00265466" w:rsidRDefault="00265466" w:rsidP="00265466">
            <w:pPr>
              <w:rPr>
                <w:sz w:val="18"/>
                <w:szCs w:val="18"/>
              </w:rPr>
            </w:pPr>
            <w:r>
              <w:rPr>
                <w:sz w:val="18"/>
                <w:szCs w:val="18"/>
              </w:rPr>
              <w:t>Income Poverty</w:t>
            </w:r>
          </w:p>
        </w:tc>
        <w:tc>
          <w:tcPr>
            <w:tcW w:w="1183" w:type="dxa"/>
            <w:tcBorders>
              <w:top w:val="nil"/>
              <w:left w:val="nil"/>
              <w:bottom w:val="nil"/>
              <w:right w:val="nil"/>
            </w:tcBorders>
            <w:tcMar>
              <w:top w:w="100" w:type="dxa"/>
              <w:left w:w="100" w:type="dxa"/>
              <w:bottom w:w="100" w:type="dxa"/>
              <w:right w:w="100" w:type="dxa"/>
            </w:tcMar>
          </w:tcPr>
          <w:p w14:paraId="54AD1731" w14:textId="77777777" w:rsidR="00265466" w:rsidRDefault="00265466" w:rsidP="00265466">
            <w:pPr>
              <w:jc w:val="right"/>
            </w:pPr>
            <w:r>
              <w:t>19.4%</w:t>
            </w:r>
          </w:p>
        </w:tc>
        <w:tc>
          <w:tcPr>
            <w:tcW w:w="954" w:type="dxa"/>
            <w:tcBorders>
              <w:top w:val="nil"/>
              <w:left w:val="nil"/>
              <w:bottom w:val="nil"/>
              <w:right w:val="nil"/>
            </w:tcBorders>
            <w:tcMar>
              <w:top w:w="100" w:type="dxa"/>
              <w:left w:w="100" w:type="dxa"/>
              <w:bottom w:w="100" w:type="dxa"/>
              <w:right w:w="100" w:type="dxa"/>
            </w:tcMar>
          </w:tcPr>
          <w:p w14:paraId="0F5F8633" w14:textId="77777777" w:rsidR="00265466" w:rsidRDefault="00265466" w:rsidP="00265466">
            <w:pPr>
              <w:jc w:val="right"/>
            </w:pPr>
            <w:r>
              <w:t>21.5%</w:t>
            </w:r>
          </w:p>
        </w:tc>
        <w:tc>
          <w:tcPr>
            <w:tcW w:w="992" w:type="dxa"/>
            <w:tcBorders>
              <w:top w:val="nil"/>
              <w:left w:val="nil"/>
              <w:bottom w:val="nil"/>
              <w:right w:val="nil"/>
            </w:tcBorders>
            <w:tcMar>
              <w:top w:w="100" w:type="dxa"/>
              <w:left w:w="100" w:type="dxa"/>
              <w:bottom w:w="100" w:type="dxa"/>
              <w:right w:w="100" w:type="dxa"/>
            </w:tcMar>
          </w:tcPr>
          <w:p w14:paraId="5EAC0C5F" w14:textId="77777777" w:rsidR="00265466" w:rsidRDefault="00265466" w:rsidP="00265466">
            <w:pPr>
              <w:jc w:val="right"/>
            </w:pPr>
            <w:r>
              <w:t>29.0%</w:t>
            </w:r>
          </w:p>
        </w:tc>
        <w:tc>
          <w:tcPr>
            <w:tcW w:w="940" w:type="dxa"/>
            <w:tcBorders>
              <w:top w:val="nil"/>
              <w:left w:val="nil"/>
              <w:bottom w:val="nil"/>
              <w:right w:val="nil"/>
            </w:tcBorders>
            <w:tcMar>
              <w:top w:w="100" w:type="dxa"/>
              <w:left w:w="100" w:type="dxa"/>
              <w:bottom w:w="100" w:type="dxa"/>
              <w:right w:w="100" w:type="dxa"/>
            </w:tcMar>
          </w:tcPr>
          <w:p w14:paraId="09637B0C" w14:textId="77777777" w:rsidR="00265466" w:rsidRDefault="00265466" w:rsidP="00265466">
            <w:pPr>
              <w:jc w:val="right"/>
            </w:pPr>
            <w:r>
              <w:t>26.0%</w:t>
            </w:r>
          </w:p>
        </w:tc>
        <w:tc>
          <w:tcPr>
            <w:tcW w:w="1045" w:type="dxa"/>
            <w:tcBorders>
              <w:top w:val="nil"/>
              <w:left w:val="nil"/>
              <w:bottom w:val="nil"/>
              <w:right w:val="nil"/>
            </w:tcBorders>
            <w:tcMar>
              <w:top w:w="100" w:type="dxa"/>
              <w:left w:w="100" w:type="dxa"/>
              <w:bottom w:w="100" w:type="dxa"/>
              <w:right w:w="100" w:type="dxa"/>
            </w:tcMar>
          </w:tcPr>
          <w:p w14:paraId="4874295D" w14:textId="77777777" w:rsidR="00265466" w:rsidRDefault="00265466" w:rsidP="00265466">
            <w:pPr>
              <w:jc w:val="right"/>
            </w:pPr>
            <w:r>
              <w:t>28.0%</w:t>
            </w:r>
          </w:p>
        </w:tc>
      </w:tr>
      <w:tr w:rsidR="00265466" w14:paraId="1DF944BE" w14:textId="77777777" w:rsidTr="00265466">
        <w:trPr>
          <w:trHeight w:val="315"/>
        </w:trPr>
        <w:tc>
          <w:tcPr>
            <w:tcW w:w="1217" w:type="dxa"/>
            <w:vMerge/>
          </w:tcPr>
          <w:p w14:paraId="2D371EE1" w14:textId="77777777" w:rsidR="00265466" w:rsidRDefault="00265466" w:rsidP="00265466">
            <w:pPr>
              <w:widowControl w:val="0"/>
              <w:pBdr>
                <w:top w:val="nil"/>
                <w:left w:val="nil"/>
                <w:bottom w:val="nil"/>
                <w:right w:val="nil"/>
                <w:between w:val="nil"/>
              </w:pBdr>
              <w:spacing w:line="276" w:lineRule="auto"/>
            </w:pPr>
          </w:p>
        </w:tc>
        <w:tc>
          <w:tcPr>
            <w:tcW w:w="2600" w:type="dxa"/>
          </w:tcPr>
          <w:p w14:paraId="36A876FB" w14:textId="77777777" w:rsidR="00265466" w:rsidRDefault="00265466" w:rsidP="00265466">
            <w:pPr>
              <w:rPr>
                <w:sz w:val="18"/>
                <w:szCs w:val="18"/>
              </w:rPr>
            </w:pPr>
            <w:r>
              <w:rPr>
                <w:sz w:val="18"/>
                <w:szCs w:val="18"/>
              </w:rPr>
              <w:t>Territorial segregation index</w:t>
            </w:r>
          </w:p>
        </w:tc>
        <w:tc>
          <w:tcPr>
            <w:tcW w:w="1183" w:type="dxa"/>
            <w:tcBorders>
              <w:top w:val="nil"/>
              <w:left w:val="nil"/>
              <w:bottom w:val="nil"/>
              <w:right w:val="nil"/>
            </w:tcBorders>
            <w:tcMar>
              <w:top w:w="100" w:type="dxa"/>
              <w:left w:w="100" w:type="dxa"/>
              <w:bottom w:w="100" w:type="dxa"/>
              <w:right w:w="100" w:type="dxa"/>
            </w:tcMar>
          </w:tcPr>
          <w:p w14:paraId="77E93B78" w14:textId="77777777" w:rsidR="00265466" w:rsidRDefault="00265466" w:rsidP="00265466">
            <w:pPr>
              <w:jc w:val="right"/>
            </w:pPr>
            <w:r>
              <w:t>60.8%</w:t>
            </w:r>
          </w:p>
        </w:tc>
        <w:tc>
          <w:tcPr>
            <w:tcW w:w="954" w:type="dxa"/>
            <w:tcBorders>
              <w:top w:val="nil"/>
              <w:left w:val="nil"/>
              <w:bottom w:val="nil"/>
              <w:right w:val="nil"/>
            </w:tcBorders>
            <w:tcMar>
              <w:top w:w="100" w:type="dxa"/>
              <w:left w:w="100" w:type="dxa"/>
              <w:bottom w:w="100" w:type="dxa"/>
              <w:right w:w="100" w:type="dxa"/>
            </w:tcMar>
          </w:tcPr>
          <w:p w14:paraId="499B64F4" w14:textId="77777777" w:rsidR="00265466" w:rsidRDefault="00265466" w:rsidP="00265466">
            <w:pPr>
              <w:jc w:val="right"/>
            </w:pPr>
            <w:r>
              <w:t>56.0%</w:t>
            </w:r>
          </w:p>
        </w:tc>
        <w:tc>
          <w:tcPr>
            <w:tcW w:w="992" w:type="dxa"/>
            <w:tcBorders>
              <w:top w:val="nil"/>
              <w:left w:val="nil"/>
              <w:bottom w:val="nil"/>
              <w:right w:val="nil"/>
            </w:tcBorders>
            <w:tcMar>
              <w:top w:w="100" w:type="dxa"/>
              <w:left w:w="100" w:type="dxa"/>
              <w:bottom w:w="100" w:type="dxa"/>
              <w:right w:w="100" w:type="dxa"/>
            </w:tcMar>
          </w:tcPr>
          <w:p w14:paraId="697CAFF1" w14:textId="77777777" w:rsidR="00265466" w:rsidRDefault="00265466" w:rsidP="00265466">
            <w:pPr>
              <w:jc w:val="right"/>
            </w:pPr>
            <w:r>
              <w:t>56.1%</w:t>
            </w:r>
          </w:p>
        </w:tc>
        <w:tc>
          <w:tcPr>
            <w:tcW w:w="940" w:type="dxa"/>
            <w:tcBorders>
              <w:top w:val="nil"/>
              <w:left w:val="nil"/>
              <w:bottom w:val="nil"/>
              <w:right w:val="nil"/>
            </w:tcBorders>
            <w:tcMar>
              <w:top w:w="100" w:type="dxa"/>
              <w:left w:w="100" w:type="dxa"/>
              <w:bottom w:w="100" w:type="dxa"/>
              <w:right w:w="100" w:type="dxa"/>
            </w:tcMar>
          </w:tcPr>
          <w:p w14:paraId="6F769F71" w14:textId="77777777" w:rsidR="00265466" w:rsidRDefault="00265466" w:rsidP="00265466">
            <w:pPr>
              <w:jc w:val="right"/>
            </w:pPr>
            <w:r>
              <w:t>61.0%</w:t>
            </w:r>
          </w:p>
        </w:tc>
        <w:tc>
          <w:tcPr>
            <w:tcW w:w="1045" w:type="dxa"/>
            <w:tcBorders>
              <w:top w:val="nil"/>
              <w:left w:val="nil"/>
              <w:bottom w:val="nil"/>
              <w:right w:val="nil"/>
            </w:tcBorders>
            <w:tcMar>
              <w:top w:w="100" w:type="dxa"/>
              <w:left w:w="100" w:type="dxa"/>
              <w:bottom w:w="100" w:type="dxa"/>
              <w:right w:w="100" w:type="dxa"/>
            </w:tcMar>
          </w:tcPr>
          <w:p w14:paraId="34CFABA9" w14:textId="77777777" w:rsidR="00265466" w:rsidRDefault="00265466" w:rsidP="00265466">
            <w:pPr>
              <w:jc w:val="right"/>
            </w:pPr>
            <w:r>
              <w:t>60.0%</w:t>
            </w:r>
          </w:p>
        </w:tc>
      </w:tr>
      <w:tr w:rsidR="00265466" w14:paraId="291ED549" w14:textId="77777777" w:rsidTr="00265466">
        <w:trPr>
          <w:trHeight w:val="315"/>
        </w:trPr>
        <w:tc>
          <w:tcPr>
            <w:tcW w:w="1217" w:type="dxa"/>
            <w:vMerge/>
          </w:tcPr>
          <w:p w14:paraId="7ECEF866" w14:textId="77777777" w:rsidR="00265466" w:rsidRDefault="00265466" w:rsidP="00265466">
            <w:pPr>
              <w:widowControl w:val="0"/>
              <w:pBdr>
                <w:top w:val="nil"/>
                <w:left w:val="nil"/>
                <w:bottom w:val="nil"/>
                <w:right w:val="nil"/>
                <w:between w:val="nil"/>
              </w:pBdr>
              <w:spacing w:line="276" w:lineRule="auto"/>
            </w:pPr>
          </w:p>
        </w:tc>
        <w:tc>
          <w:tcPr>
            <w:tcW w:w="2600" w:type="dxa"/>
          </w:tcPr>
          <w:p w14:paraId="651C56EA" w14:textId="77777777" w:rsidR="00265466" w:rsidRDefault="00265466" w:rsidP="00265466">
            <w:pPr>
              <w:rPr>
                <w:sz w:val="18"/>
                <w:szCs w:val="18"/>
              </w:rPr>
            </w:pPr>
            <w:r>
              <w:rPr>
                <w:sz w:val="18"/>
                <w:szCs w:val="18"/>
              </w:rPr>
              <w:t>Surface sources</w:t>
            </w:r>
          </w:p>
        </w:tc>
        <w:tc>
          <w:tcPr>
            <w:tcW w:w="1183" w:type="dxa"/>
            <w:tcBorders>
              <w:top w:val="nil"/>
              <w:left w:val="nil"/>
              <w:bottom w:val="nil"/>
              <w:right w:val="nil"/>
            </w:tcBorders>
            <w:tcMar>
              <w:top w:w="100" w:type="dxa"/>
              <w:left w:w="100" w:type="dxa"/>
              <w:bottom w:w="100" w:type="dxa"/>
              <w:right w:w="100" w:type="dxa"/>
            </w:tcMar>
          </w:tcPr>
          <w:p w14:paraId="0B3F4493" w14:textId="77777777" w:rsidR="00265466" w:rsidRDefault="00265466" w:rsidP="00265466">
            <w:pPr>
              <w:jc w:val="right"/>
            </w:pPr>
            <w:r>
              <w:t>0.141</w:t>
            </w:r>
          </w:p>
        </w:tc>
        <w:tc>
          <w:tcPr>
            <w:tcW w:w="954" w:type="dxa"/>
            <w:tcBorders>
              <w:top w:val="nil"/>
              <w:left w:val="nil"/>
              <w:bottom w:val="nil"/>
              <w:right w:val="nil"/>
            </w:tcBorders>
            <w:tcMar>
              <w:top w:w="100" w:type="dxa"/>
              <w:left w:w="100" w:type="dxa"/>
              <w:bottom w:w="100" w:type="dxa"/>
              <w:right w:w="100" w:type="dxa"/>
            </w:tcMar>
          </w:tcPr>
          <w:p w14:paraId="15366EA8" w14:textId="77777777" w:rsidR="00265466" w:rsidRDefault="00265466" w:rsidP="00265466">
            <w:pPr>
              <w:jc w:val="right"/>
            </w:pPr>
            <w:r>
              <w:t>0.228</w:t>
            </w:r>
          </w:p>
        </w:tc>
        <w:tc>
          <w:tcPr>
            <w:tcW w:w="992" w:type="dxa"/>
            <w:tcBorders>
              <w:top w:val="nil"/>
              <w:left w:val="nil"/>
              <w:bottom w:val="nil"/>
              <w:right w:val="nil"/>
            </w:tcBorders>
            <w:tcMar>
              <w:top w:w="100" w:type="dxa"/>
              <w:left w:w="100" w:type="dxa"/>
              <w:bottom w:w="100" w:type="dxa"/>
              <w:right w:w="100" w:type="dxa"/>
            </w:tcMar>
          </w:tcPr>
          <w:p w14:paraId="643FDFCC" w14:textId="77777777" w:rsidR="00265466" w:rsidRDefault="00265466" w:rsidP="00265466">
            <w:pPr>
              <w:jc w:val="right"/>
            </w:pPr>
            <w:r>
              <w:t>0.200</w:t>
            </w:r>
          </w:p>
        </w:tc>
        <w:tc>
          <w:tcPr>
            <w:tcW w:w="940" w:type="dxa"/>
            <w:tcBorders>
              <w:top w:val="nil"/>
              <w:left w:val="nil"/>
              <w:bottom w:val="nil"/>
              <w:right w:val="nil"/>
            </w:tcBorders>
            <w:tcMar>
              <w:top w:w="100" w:type="dxa"/>
              <w:left w:w="100" w:type="dxa"/>
              <w:bottom w:w="100" w:type="dxa"/>
              <w:right w:w="100" w:type="dxa"/>
            </w:tcMar>
          </w:tcPr>
          <w:p w14:paraId="01797ADE" w14:textId="77777777" w:rsidR="00265466" w:rsidRDefault="00265466" w:rsidP="00265466">
            <w:pPr>
              <w:jc w:val="right"/>
            </w:pPr>
            <w:r>
              <w:t>0.166</w:t>
            </w:r>
          </w:p>
        </w:tc>
        <w:tc>
          <w:tcPr>
            <w:tcW w:w="1045" w:type="dxa"/>
            <w:tcBorders>
              <w:top w:val="nil"/>
              <w:left w:val="nil"/>
              <w:bottom w:val="nil"/>
              <w:right w:val="nil"/>
            </w:tcBorders>
            <w:tcMar>
              <w:top w:w="100" w:type="dxa"/>
              <w:left w:w="100" w:type="dxa"/>
              <w:bottom w:w="100" w:type="dxa"/>
              <w:right w:w="100" w:type="dxa"/>
            </w:tcMar>
          </w:tcPr>
          <w:p w14:paraId="2C6B3D63" w14:textId="77777777" w:rsidR="00265466" w:rsidRDefault="00265466" w:rsidP="00265466">
            <w:pPr>
              <w:jc w:val="right"/>
            </w:pPr>
            <w:r>
              <w:t>0.204</w:t>
            </w:r>
          </w:p>
        </w:tc>
      </w:tr>
      <w:tr w:rsidR="00265466" w14:paraId="75C9101A" w14:textId="77777777" w:rsidTr="00265466">
        <w:trPr>
          <w:trHeight w:val="315"/>
        </w:trPr>
        <w:tc>
          <w:tcPr>
            <w:tcW w:w="1217" w:type="dxa"/>
            <w:vMerge/>
          </w:tcPr>
          <w:p w14:paraId="1EE91A17" w14:textId="77777777" w:rsidR="00265466" w:rsidRDefault="00265466" w:rsidP="00265466">
            <w:pPr>
              <w:widowControl w:val="0"/>
              <w:pBdr>
                <w:top w:val="nil"/>
                <w:left w:val="nil"/>
                <w:bottom w:val="nil"/>
                <w:right w:val="nil"/>
                <w:between w:val="nil"/>
              </w:pBdr>
              <w:spacing w:line="276" w:lineRule="auto"/>
            </w:pPr>
          </w:p>
        </w:tc>
        <w:tc>
          <w:tcPr>
            <w:tcW w:w="2600" w:type="dxa"/>
          </w:tcPr>
          <w:p w14:paraId="6F9AA7E7" w14:textId="77777777" w:rsidR="00265466" w:rsidRDefault="00265466" w:rsidP="00265466">
            <w:pPr>
              <w:rPr>
                <w:b/>
                <w:sz w:val="18"/>
                <w:szCs w:val="18"/>
              </w:rPr>
            </w:pPr>
            <w:r>
              <w:rPr>
                <w:b/>
                <w:sz w:val="18"/>
                <w:szCs w:val="18"/>
              </w:rPr>
              <w:t>Sensitivity Index</w:t>
            </w:r>
          </w:p>
        </w:tc>
        <w:tc>
          <w:tcPr>
            <w:tcW w:w="1183" w:type="dxa"/>
            <w:tcBorders>
              <w:top w:val="nil"/>
              <w:left w:val="nil"/>
              <w:bottom w:val="nil"/>
              <w:right w:val="nil"/>
            </w:tcBorders>
            <w:tcMar>
              <w:top w:w="100" w:type="dxa"/>
              <w:left w:w="100" w:type="dxa"/>
              <w:bottom w:w="100" w:type="dxa"/>
              <w:right w:w="100" w:type="dxa"/>
            </w:tcMar>
          </w:tcPr>
          <w:p w14:paraId="1B282C50" w14:textId="77777777" w:rsidR="00265466" w:rsidRDefault="00265466" w:rsidP="00265466">
            <w:pPr>
              <w:jc w:val="right"/>
            </w:pPr>
            <w:r>
              <w:t>0.433</w:t>
            </w:r>
          </w:p>
        </w:tc>
        <w:tc>
          <w:tcPr>
            <w:tcW w:w="954" w:type="dxa"/>
            <w:tcBorders>
              <w:top w:val="nil"/>
              <w:left w:val="nil"/>
              <w:bottom w:val="nil"/>
              <w:right w:val="nil"/>
            </w:tcBorders>
            <w:tcMar>
              <w:top w:w="100" w:type="dxa"/>
              <w:left w:w="100" w:type="dxa"/>
              <w:bottom w:w="100" w:type="dxa"/>
              <w:right w:w="100" w:type="dxa"/>
            </w:tcMar>
          </w:tcPr>
          <w:p w14:paraId="6F38BDC5" w14:textId="77777777" w:rsidR="00265466" w:rsidRDefault="00265466" w:rsidP="00265466">
            <w:pPr>
              <w:jc w:val="right"/>
            </w:pPr>
            <w:r>
              <w:t>0.366</w:t>
            </w:r>
          </w:p>
        </w:tc>
        <w:tc>
          <w:tcPr>
            <w:tcW w:w="992" w:type="dxa"/>
            <w:tcBorders>
              <w:top w:val="nil"/>
              <w:left w:val="nil"/>
              <w:bottom w:val="nil"/>
              <w:right w:val="nil"/>
            </w:tcBorders>
            <w:tcMar>
              <w:top w:w="100" w:type="dxa"/>
              <w:left w:w="100" w:type="dxa"/>
              <w:bottom w:w="100" w:type="dxa"/>
              <w:right w:w="100" w:type="dxa"/>
            </w:tcMar>
          </w:tcPr>
          <w:p w14:paraId="6ED51E0F" w14:textId="77777777" w:rsidR="00265466" w:rsidRDefault="00265466" w:rsidP="00265466">
            <w:pPr>
              <w:jc w:val="right"/>
            </w:pPr>
            <w:r>
              <w:t>0.397</w:t>
            </w:r>
          </w:p>
        </w:tc>
        <w:tc>
          <w:tcPr>
            <w:tcW w:w="940" w:type="dxa"/>
            <w:tcBorders>
              <w:top w:val="nil"/>
              <w:left w:val="nil"/>
              <w:bottom w:val="nil"/>
              <w:right w:val="nil"/>
            </w:tcBorders>
            <w:tcMar>
              <w:top w:w="100" w:type="dxa"/>
              <w:left w:w="100" w:type="dxa"/>
              <w:bottom w:w="100" w:type="dxa"/>
              <w:right w:w="100" w:type="dxa"/>
            </w:tcMar>
          </w:tcPr>
          <w:p w14:paraId="00EF0A15" w14:textId="77777777" w:rsidR="00265466" w:rsidRDefault="00265466" w:rsidP="00265466">
            <w:pPr>
              <w:jc w:val="right"/>
            </w:pPr>
            <w:r>
              <w:t>0.449</w:t>
            </w:r>
          </w:p>
        </w:tc>
        <w:tc>
          <w:tcPr>
            <w:tcW w:w="1045" w:type="dxa"/>
            <w:tcBorders>
              <w:top w:val="nil"/>
              <w:left w:val="nil"/>
              <w:bottom w:val="nil"/>
              <w:right w:val="nil"/>
            </w:tcBorders>
            <w:tcMar>
              <w:top w:w="100" w:type="dxa"/>
              <w:left w:w="100" w:type="dxa"/>
              <w:bottom w:w="100" w:type="dxa"/>
              <w:right w:w="100" w:type="dxa"/>
            </w:tcMar>
          </w:tcPr>
          <w:p w14:paraId="6D627901" w14:textId="77777777" w:rsidR="00265466" w:rsidRDefault="00265466" w:rsidP="00265466">
            <w:pPr>
              <w:jc w:val="right"/>
            </w:pPr>
            <w:r>
              <w:t>0.435</w:t>
            </w:r>
          </w:p>
        </w:tc>
      </w:tr>
      <w:tr w:rsidR="00265466" w14:paraId="682DE202" w14:textId="77777777" w:rsidTr="00265466">
        <w:trPr>
          <w:trHeight w:val="315"/>
        </w:trPr>
        <w:tc>
          <w:tcPr>
            <w:tcW w:w="1217" w:type="dxa"/>
            <w:vMerge w:val="restart"/>
          </w:tcPr>
          <w:p w14:paraId="3D7B9AAD" w14:textId="77777777" w:rsidR="00265466" w:rsidRDefault="00265466" w:rsidP="00265466">
            <w:pPr>
              <w:jc w:val="center"/>
            </w:pPr>
            <w:r>
              <w:t>Response capacity</w:t>
            </w:r>
          </w:p>
        </w:tc>
        <w:tc>
          <w:tcPr>
            <w:tcW w:w="2600" w:type="dxa"/>
          </w:tcPr>
          <w:p w14:paraId="49E9A19C" w14:textId="77777777" w:rsidR="00265466" w:rsidRDefault="00265466" w:rsidP="00265466">
            <w:pPr>
              <w:rPr>
                <w:sz w:val="18"/>
                <w:szCs w:val="18"/>
              </w:rPr>
            </w:pPr>
            <w:r>
              <w:rPr>
                <w:sz w:val="18"/>
                <w:szCs w:val="18"/>
              </w:rPr>
              <w:t>Distribution system autonomy (Days)</w:t>
            </w:r>
          </w:p>
        </w:tc>
        <w:tc>
          <w:tcPr>
            <w:tcW w:w="1183" w:type="dxa"/>
            <w:tcBorders>
              <w:top w:val="nil"/>
              <w:left w:val="nil"/>
              <w:bottom w:val="nil"/>
              <w:right w:val="nil"/>
            </w:tcBorders>
            <w:tcMar>
              <w:top w:w="100" w:type="dxa"/>
              <w:left w:w="100" w:type="dxa"/>
              <w:bottom w:w="100" w:type="dxa"/>
              <w:right w:w="100" w:type="dxa"/>
            </w:tcMar>
          </w:tcPr>
          <w:p w14:paraId="22E9B172" w14:textId="77777777" w:rsidR="00265466" w:rsidRDefault="00265466" w:rsidP="00265466">
            <w:pPr>
              <w:jc w:val="right"/>
            </w:pPr>
            <w:r>
              <w:t>1.613</w:t>
            </w:r>
          </w:p>
        </w:tc>
        <w:tc>
          <w:tcPr>
            <w:tcW w:w="954" w:type="dxa"/>
            <w:tcBorders>
              <w:top w:val="nil"/>
              <w:left w:val="nil"/>
              <w:bottom w:val="nil"/>
              <w:right w:val="nil"/>
            </w:tcBorders>
            <w:tcMar>
              <w:top w:w="100" w:type="dxa"/>
              <w:left w:w="100" w:type="dxa"/>
              <w:bottom w:w="100" w:type="dxa"/>
              <w:right w:w="100" w:type="dxa"/>
            </w:tcMar>
          </w:tcPr>
          <w:p w14:paraId="7A4918BC" w14:textId="77777777" w:rsidR="00265466" w:rsidRDefault="00265466" w:rsidP="00265466">
            <w:pPr>
              <w:jc w:val="right"/>
            </w:pPr>
            <w:r>
              <w:t>1.080</w:t>
            </w:r>
          </w:p>
        </w:tc>
        <w:tc>
          <w:tcPr>
            <w:tcW w:w="992" w:type="dxa"/>
            <w:tcBorders>
              <w:top w:val="nil"/>
              <w:left w:val="nil"/>
              <w:bottom w:val="nil"/>
              <w:right w:val="nil"/>
            </w:tcBorders>
            <w:tcMar>
              <w:top w:w="100" w:type="dxa"/>
              <w:left w:w="100" w:type="dxa"/>
              <w:bottom w:w="100" w:type="dxa"/>
              <w:right w:w="100" w:type="dxa"/>
            </w:tcMar>
          </w:tcPr>
          <w:p w14:paraId="6146D895" w14:textId="77777777" w:rsidR="00265466" w:rsidRDefault="00265466" w:rsidP="00265466">
            <w:pPr>
              <w:jc w:val="right"/>
            </w:pPr>
            <w:r>
              <w:t>0.587</w:t>
            </w:r>
          </w:p>
        </w:tc>
        <w:tc>
          <w:tcPr>
            <w:tcW w:w="940" w:type="dxa"/>
            <w:tcBorders>
              <w:top w:val="nil"/>
              <w:left w:val="nil"/>
              <w:bottom w:val="nil"/>
              <w:right w:val="nil"/>
            </w:tcBorders>
            <w:tcMar>
              <w:top w:w="100" w:type="dxa"/>
              <w:left w:w="100" w:type="dxa"/>
              <w:bottom w:w="100" w:type="dxa"/>
              <w:right w:w="100" w:type="dxa"/>
            </w:tcMar>
          </w:tcPr>
          <w:p w14:paraId="75EFC8BB" w14:textId="77777777" w:rsidR="00265466" w:rsidRDefault="00265466" w:rsidP="00265466">
            <w:pPr>
              <w:jc w:val="right"/>
            </w:pPr>
            <w:r>
              <w:t>0.506</w:t>
            </w:r>
          </w:p>
        </w:tc>
        <w:tc>
          <w:tcPr>
            <w:tcW w:w="1045" w:type="dxa"/>
            <w:tcBorders>
              <w:top w:val="nil"/>
              <w:left w:val="nil"/>
              <w:bottom w:val="nil"/>
              <w:right w:val="nil"/>
            </w:tcBorders>
            <w:tcMar>
              <w:top w:w="100" w:type="dxa"/>
              <w:left w:w="100" w:type="dxa"/>
              <w:bottom w:w="100" w:type="dxa"/>
              <w:right w:w="100" w:type="dxa"/>
            </w:tcMar>
          </w:tcPr>
          <w:p w14:paraId="0AF4B0C3" w14:textId="77777777" w:rsidR="00265466" w:rsidRDefault="00265466" w:rsidP="00265466">
            <w:pPr>
              <w:jc w:val="right"/>
            </w:pPr>
            <w:r>
              <w:t>0.506</w:t>
            </w:r>
          </w:p>
        </w:tc>
      </w:tr>
      <w:tr w:rsidR="00265466" w14:paraId="4783E400" w14:textId="77777777" w:rsidTr="00265466">
        <w:trPr>
          <w:trHeight w:val="315"/>
        </w:trPr>
        <w:tc>
          <w:tcPr>
            <w:tcW w:w="1217" w:type="dxa"/>
            <w:vMerge/>
          </w:tcPr>
          <w:p w14:paraId="43445745" w14:textId="77777777" w:rsidR="00265466" w:rsidRDefault="00265466" w:rsidP="00265466">
            <w:pPr>
              <w:widowControl w:val="0"/>
              <w:pBdr>
                <w:top w:val="nil"/>
                <w:left w:val="nil"/>
                <w:bottom w:val="nil"/>
                <w:right w:val="nil"/>
                <w:between w:val="nil"/>
              </w:pBdr>
              <w:spacing w:line="276" w:lineRule="auto"/>
            </w:pPr>
          </w:p>
        </w:tc>
        <w:tc>
          <w:tcPr>
            <w:tcW w:w="2600" w:type="dxa"/>
          </w:tcPr>
          <w:p w14:paraId="2FD4C52A" w14:textId="77777777" w:rsidR="00265466" w:rsidRDefault="00265466" w:rsidP="00265466">
            <w:pPr>
              <w:rPr>
                <w:sz w:val="18"/>
                <w:szCs w:val="18"/>
              </w:rPr>
            </w:pPr>
            <w:r>
              <w:rPr>
                <w:sz w:val="18"/>
                <w:szCs w:val="18"/>
              </w:rPr>
              <w:t>Diversity of sources</w:t>
            </w:r>
          </w:p>
        </w:tc>
        <w:tc>
          <w:tcPr>
            <w:tcW w:w="1183" w:type="dxa"/>
            <w:tcBorders>
              <w:top w:val="nil"/>
              <w:left w:val="nil"/>
              <w:bottom w:val="nil"/>
              <w:right w:val="nil"/>
            </w:tcBorders>
            <w:tcMar>
              <w:top w:w="100" w:type="dxa"/>
              <w:left w:w="100" w:type="dxa"/>
              <w:bottom w:w="100" w:type="dxa"/>
              <w:right w:w="100" w:type="dxa"/>
            </w:tcMar>
          </w:tcPr>
          <w:p w14:paraId="109CA098" w14:textId="77777777" w:rsidR="00265466" w:rsidRDefault="00265466" w:rsidP="00265466">
            <w:pPr>
              <w:jc w:val="right"/>
            </w:pPr>
            <w:r>
              <w:t>0.673</w:t>
            </w:r>
          </w:p>
        </w:tc>
        <w:tc>
          <w:tcPr>
            <w:tcW w:w="954" w:type="dxa"/>
            <w:tcBorders>
              <w:top w:val="nil"/>
              <w:left w:val="nil"/>
              <w:bottom w:val="nil"/>
              <w:right w:val="nil"/>
            </w:tcBorders>
            <w:tcMar>
              <w:top w:w="100" w:type="dxa"/>
              <w:left w:w="100" w:type="dxa"/>
              <w:bottom w:w="100" w:type="dxa"/>
              <w:right w:w="100" w:type="dxa"/>
            </w:tcMar>
          </w:tcPr>
          <w:p w14:paraId="63C9B3DE" w14:textId="77777777" w:rsidR="00265466" w:rsidRDefault="00265466" w:rsidP="00265466">
            <w:pPr>
              <w:jc w:val="right"/>
            </w:pPr>
            <w:r>
              <w:t>0.734</w:t>
            </w:r>
          </w:p>
        </w:tc>
        <w:tc>
          <w:tcPr>
            <w:tcW w:w="992" w:type="dxa"/>
            <w:tcBorders>
              <w:top w:val="nil"/>
              <w:left w:val="nil"/>
              <w:bottom w:val="nil"/>
              <w:right w:val="nil"/>
            </w:tcBorders>
            <w:tcMar>
              <w:top w:w="100" w:type="dxa"/>
              <w:left w:w="100" w:type="dxa"/>
              <w:bottom w:w="100" w:type="dxa"/>
              <w:right w:w="100" w:type="dxa"/>
            </w:tcMar>
          </w:tcPr>
          <w:p w14:paraId="4C0644E2" w14:textId="77777777" w:rsidR="00265466" w:rsidRDefault="00265466" w:rsidP="00265466">
            <w:pPr>
              <w:jc w:val="right"/>
            </w:pPr>
            <w:r>
              <w:t>0.704</w:t>
            </w:r>
          </w:p>
        </w:tc>
        <w:tc>
          <w:tcPr>
            <w:tcW w:w="940" w:type="dxa"/>
            <w:tcBorders>
              <w:top w:val="nil"/>
              <w:left w:val="nil"/>
              <w:bottom w:val="nil"/>
              <w:right w:val="nil"/>
            </w:tcBorders>
            <w:tcMar>
              <w:top w:w="100" w:type="dxa"/>
              <w:left w:w="100" w:type="dxa"/>
              <w:bottom w:w="100" w:type="dxa"/>
              <w:right w:w="100" w:type="dxa"/>
            </w:tcMar>
          </w:tcPr>
          <w:p w14:paraId="278D67E5" w14:textId="77777777" w:rsidR="00265466" w:rsidRDefault="00265466" w:rsidP="00265466">
            <w:pPr>
              <w:jc w:val="right"/>
            </w:pPr>
            <w:r>
              <w:t>0.651</w:t>
            </w:r>
          </w:p>
        </w:tc>
        <w:tc>
          <w:tcPr>
            <w:tcW w:w="1045" w:type="dxa"/>
            <w:tcBorders>
              <w:top w:val="nil"/>
              <w:left w:val="nil"/>
              <w:bottom w:val="nil"/>
              <w:right w:val="nil"/>
            </w:tcBorders>
            <w:tcMar>
              <w:top w:w="100" w:type="dxa"/>
              <w:left w:w="100" w:type="dxa"/>
              <w:bottom w:w="100" w:type="dxa"/>
              <w:right w:w="100" w:type="dxa"/>
            </w:tcMar>
          </w:tcPr>
          <w:p w14:paraId="76D79534" w14:textId="77777777" w:rsidR="00265466" w:rsidRDefault="00265466" w:rsidP="00265466">
            <w:pPr>
              <w:jc w:val="right"/>
            </w:pPr>
            <w:r>
              <w:t>0.639</w:t>
            </w:r>
          </w:p>
        </w:tc>
      </w:tr>
      <w:tr w:rsidR="00265466" w14:paraId="3E10F184" w14:textId="77777777" w:rsidTr="00265466">
        <w:trPr>
          <w:trHeight w:val="315"/>
        </w:trPr>
        <w:tc>
          <w:tcPr>
            <w:tcW w:w="1217" w:type="dxa"/>
            <w:vMerge/>
          </w:tcPr>
          <w:p w14:paraId="29CEB46F" w14:textId="77777777" w:rsidR="00265466" w:rsidRDefault="00265466" w:rsidP="00265466">
            <w:pPr>
              <w:widowControl w:val="0"/>
              <w:pBdr>
                <w:top w:val="nil"/>
                <w:left w:val="nil"/>
                <w:bottom w:val="nil"/>
                <w:right w:val="nil"/>
                <w:between w:val="nil"/>
              </w:pBdr>
              <w:spacing w:line="276" w:lineRule="auto"/>
            </w:pPr>
          </w:p>
        </w:tc>
        <w:tc>
          <w:tcPr>
            <w:tcW w:w="2600" w:type="dxa"/>
          </w:tcPr>
          <w:p w14:paraId="79ECD765" w14:textId="77777777" w:rsidR="00265466" w:rsidRDefault="00265466" w:rsidP="00265466">
            <w:pPr>
              <w:rPr>
                <w:sz w:val="18"/>
                <w:szCs w:val="18"/>
              </w:rPr>
            </w:pPr>
            <w:r>
              <w:rPr>
                <w:sz w:val="18"/>
                <w:szCs w:val="18"/>
              </w:rPr>
              <w:t>System water loss (percentage)</w:t>
            </w:r>
          </w:p>
        </w:tc>
        <w:tc>
          <w:tcPr>
            <w:tcW w:w="1183" w:type="dxa"/>
            <w:tcBorders>
              <w:top w:val="nil"/>
              <w:left w:val="nil"/>
              <w:bottom w:val="nil"/>
              <w:right w:val="nil"/>
            </w:tcBorders>
            <w:tcMar>
              <w:top w:w="100" w:type="dxa"/>
              <w:left w:w="100" w:type="dxa"/>
              <w:bottom w:w="100" w:type="dxa"/>
              <w:right w:w="100" w:type="dxa"/>
            </w:tcMar>
          </w:tcPr>
          <w:p w14:paraId="0E102C10" w14:textId="77777777" w:rsidR="00265466" w:rsidRDefault="00265466" w:rsidP="00265466">
            <w:pPr>
              <w:jc w:val="right"/>
            </w:pPr>
            <w:r>
              <w:t>44.1%</w:t>
            </w:r>
          </w:p>
        </w:tc>
        <w:tc>
          <w:tcPr>
            <w:tcW w:w="954" w:type="dxa"/>
            <w:tcBorders>
              <w:top w:val="nil"/>
              <w:left w:val="nil"/>
              <w:bottom w:val="nil"/>
              <w:right w:val="nil"/>
            </w:tcBorders>
            <w:tcMar>
              <w:top w:w="100" w:type="dxa"/>
              <w:left w:w="100" w:type="dxa"/>
              <w:bottom w:w="100" w:type="dxa"/>
              <w:right w:w="100" w:type="dxa"/>
            </w:tcMar>
          </w:tcPr>
          <w:p w14:paraId="1D772AB8" w14:textId="77777777" w:rsidR="00265466" w:rsidRDefault="00265466" w:rsidP="00265466">
            <w:pPr>
              <w:jc w:val="right"/>
            </w:pPr>
            <w:r>
              <w:t>41.6%</w:t>
            </w:r>
          </w:p>
        </w:tc>
        <w:tc>
          <w:tcPr>
            <w:tcW w:w="992" w:type="dxa"/>
            <w:tcBorders>
              <w:top w:val="nil"/>
              <w:left w:val="nil"/>
              <w:bottom w:val="nil"/>
              <w:right w:val="nil"/>
            </w:tcBorders>
            <w:tcMar>
              <w:top w:w="100" w:type="dxa"/>
              <w:left w:w="100" w:type="dxa"/>
              <w:bottom w:w="100" w:type="dxa"/>
              <w:right w:w="100" w:type="dxa"/>
            </w:tcMar>
          </w:tcPr>
          <w:p w14:paraId="7FAEA490" w14:textId="77777777" w:rsidR="00265466" w:rsidRDefault="00265466" w:rsidP="00265466">
            <w:pPr>
              <w:jc w:val="right"/>
            </w:pPr>
            <w:r>
              <w:t>42.1%</w:t>
            </w:r>
          </w:p>
        </w:tc>
        <w:tc>
          <w:tcPr>
            <w:tcW w:w="940" w:type="dxa"/>
            <w:tcBorders>
              <w:top w:val="nil"/>
              <w:left w:val="nil"/>
              <w:bottom w:val="nil"/>
              <w:right w:val="nil"/>
            </w:tcBorders>
            <w:tcMar>
              <w:top w:w="100" w:type="dxa"/>
              <w:left w:w="100" w:type="dxa"/>
              <w:bottom w:w="100" w:type="dxa"/>
              <w:right w:w="100" w:type="dxa"/>
            </w:tcMar>
          </w:tcPr>
          <w:p w14:paraId="69EC32B4" w14:textId="77777777" w:rsidR="00265466" w:rsidRDefault="00265466" w:rsidP="00265466">
            <w:pPr>
              <w:jc w:val="right"/>
            </w:pPr>
            <w:r>
              <w:t>43.3%</w:t>
            </w:r>
          </w:p>
        </w:tc>
        <w:tc>
          <w:tcPr>
            <w:tcW w:w="1045" w:type="dxa"/>
            <w:tcBorders>
              <w:top w:val="nil"/>
              <w:left w:val="nil"/>
              <w:bottom w:val="nil"/>
              <w:right w:val="nil"/>
            </w:tcBorders>
            <w:tcMar>
              <w:top w:w="100" w:type="dxa"/>
              <w:left w:w="100" w:type="dxa"/>
              <w:bottom w:w="100" w:type="dxa"/>
              <w:right w:w="100" w:type="dxa"/>
            </w:tcMar>
          </w:tcPr>
          <w:p w14:paraId="2562101D" w14:textId="77777777" w:rsidR="00265466" w:rsidRDefault="00265466" w:rsidP="00265466">
            <w:pPr>
              <w:jc w:val="right"/>
            </w:pPr>
            <w:r>
              <w:t>42.4%</w:t>
            </w:r>
          </w:p>
        </w:tc>
      </w:tr>
      <w:tr w:rsidR="00265466" w14:paraId="5A784A49" w14:textId="77777777" w:rsidTr="00265466">
        <w:trPr>
          <w:trHeight w:val="315"/>
        </w:trPr>
        <w:tc>
          <w:tcPr>
            <w:tcW w:w="1217" w:type="dxa"/>
            <w:vMerge/>
          </w:tcPr>
          <w:p w14:paraId="2B0E2BA6" w14:textId="77777777" w:rsidR="00265466" w:rsidRDefault="00265466" w:rsidP="00265466">
            <w:pPr>
              <w:widowControl w:val="0"/>
              <w:pBdr>
                <w:top w:val="nil"/>
                <w:left w:val="nil"/>
                <w:bottom w:val="nil"/>
                <w:right w:val="nil"/>
                <w:between w:val="nil"/>
              </w:pBdr>
              <w:spacing w:line="276" w:lineRule="auto"/>
            </w:pPr>
          </w:p>
        </w:tc>
        <w:tc>
          <w:tcPr>
            <w:tcW w:w="2600" w:type="dxa"/>
          </w:tcPr>
          <w:p w14:paraId="59AD38D9" w14:textId="77777777" w:rsidR="00265466" w:rsidRDefault="00265466" w:rsidP="00265466">
            <w:pPr>
              <w:rPr>
                <w:b/>
                <w:sz w:val="18"/>
                <w:szCs w:val="18"/>
              </w:rPr>
            </w:pPr>
            <w:r>
              <w:rPr>
                <w:b/>
                <w:sz w:val="18"/>
                <w:szCs w:val="18"/>
              </w:rPr>
              <w:t>Response Capacity Index</w:t>
            </w:r>
          </w:p>
        </w:tc>
        <w:tc>
          <w:tcPr>
            <w:tcW w:w="1183" w:type="dxa"/>
            <w:tcBorders>
              <w:top w:val="nil"/>
              <w:left w:val="nil"/>
              <w:bottom w:val="nil"/>
              <w:right w:val="nil"/>
            </w:tcBorders>
            <w:tcMar>
              <w:top w:w="100" w:type="dxa"/>
              <w:left w:w="100" w:type="dxa"/>
              <w:bottom w:w="100" w:type="dxa"/>
              <w:right w:w="100" w:type="dxa"/>
            </w:tcMar>
          </w:tcPr>
          <w:p w14:paraId="656AC9DA" w14:textId="77777777" w:rsidR="00265466" w:rsidRDefault="00265466" w:rsidP="00265466">
            <w:pPr>
              <w:jc w:val="right"/>
            </w:pPr>
            <w:r>
              <w:t>0.498</w:t>
            </w:r>
          </w:p>
        </w:tc>
        <w:tc>
          <w:tcPr>
            <w:tcW w:w="954" w:type="dxa"/>
            <w:tcBorders>
              <w:top w:val="nil"/>
              <w:left w:val="nil"/>
              <w:bottom w:val="nil"/>
              <w:right w:val="nil"/>
            </w:tcBorders>
            <w:tcMar>
              <w:top w:w="100" w:type="dxa"/>
              <w:left w:w="100" w:type="dxa"/>
              <w:bottom w:w="100" w:type="dxa"/>
              <w:right w:w="100" w:type="dxa"/>
            </w:tcMar>
          </w:tcPr>
          <w:p w14:paraId="4CCE950C" w14:textId="77777777" w:rsidR="00265466" w:rsidRDefault="00265466" w:rsidP="00265466">
            <w:pPr>
              <w:jc w:val="right"/>
            </w:pPr>
            <w:r>
              <w:t>0.487</w:t>
            </w:r>
          </w:p>
        </w:tc>
        <w:tc>
          <w:tcPr>
            <w:tcW w:w="992" w:type="dxa"/>
            <w:tcBorders>
              <w:top w:val="nil"/>
              <w:left w:val="nil"/>
              <w:bottom w:val="nil"/>
              <w:right w:val="nil"/>
            </w:tcBorders>
            <w:tcMar>
              <w:top w:w="100" w:type="dxa"/>
              <w:left w:w="100" w:type="dxa"/>
              <w:bottom w:w="100" w:type="dxa"/>
              <w:right w:w="100" w:type="dxa"/>
            </w:tcMar>
          </w:tcPr>
          <w:p w14:paraId="2C38D9EF" w14:textId="77777777" w:rsidR="00265466" w:rsidRDefault="00265466" w:rsidP="00265466">
            <w:pPr>
              <w:jc w:val="right"/>
            </w:pPr>
            <w:r>
              <w:t>0.360</w:t>
            </w:r>
          </w:p>
        </w:tc>
        <w:tc>
          <w:tcPr>
            <w:tcW w:w="940" w:type="dxa"/>
            <w:tcBorders>
              <w:top w:val="nil"/>
              <w:left w:val="nil"/>
              <w:bottom w:val="nil"/>
              <w:right w:val="nil"/>
            </w:tcBorders>
            <w:tcMar>
              <w:top w:w="100" w:type="dxa"/>
              <w:left w:w="100" w:type="dxa"/>
              <w:bottom w:w="100" w:type="dxa"/>
              <w:right w:w="100" w:type="dxa"/>
            </w:tcMar>
          </w:tcPr>
          <w:p w14:paraId="1C0D60DF" w14:textId="77777777" w:rsidR="00265466" w:rsidRDefault="00265466" w:rsidP="00265466">
            <w:pPr>
              <w:jc w:val="right"/>
            </w:pPr>
            <w:r>
              <w:t>0.329</w:t>
            </w:r>
          </w:p>
        </w:tc>
        <w:tc>
          <w:tcPr>
            <w:tcW w:w="1045" w:type="dxa"/>
            <w:tcBorders>
              <w:top w:val="nil"/>
              <w:left w:val="nil"/>
              <w:bottom w:val="nil"/>
              <w:right w:val="nil"/>
            </w:tcBorders>
            <w:tcMar>
              <w:top w:w="100" w:type="dxa"/>
              <w:left w:w="100" w:type="dxa"/>
              <w:bottom w:w="100" w:type="dxa"/>
              <w:right w:w="100" w:type="dxa"/>
            </w:tcMar>
          </w:tcPr>
          <w:p w14:paraId="484A0395" w14:textId="77777777" w:rsidR="00265466" w:rsidRDefault="00265466" w:rsidP="00265466">
            <w:pPr>
              <w:jc w:val="right"/>
            </w:pPr>
            <w:r>
              <w:t>0.330</w:t>
            </w:r>
          </w:p>
        </w:tc>
      </w:tr>
      <w:tr w:rsidR="00265466" w14:paraId="1873C072" w14:textId="77777777" w:rsidTr="00265466">
        <w:trPr>
          <w:trHeight w:val="315"/>
        </w:trPr>
        <w:tc>
          <w:tcPr>
            <w:tcW w:w="1217" w:type="dxa"/>
          </w:tcPr>
          <w:p w14:paraId="53C6C695" w14:textId="77777777" w:rsidR="00265466" w:rsidRDefault="00265466" w:rsidP="00265466">
            <w:pPr>
              <w:jc w:val="right"/>
            </w:pPr>
          </w:p>
        </w:tc>
        <w:tc>
          <w:tcPr>
            <w:tcW w:w="2600" w:type="dxa"/>
          </w:tcPr>
          <w:p w14:paraId="0BBD29D5" w14:textId="77777777" w:rsidR="00265466" w:rsidRDefault="00265466" w:rsidP="00265466">
            <w:pPr>
              <w:rPr>
                <w:b/>
                <w:sz w:val="18"/>
                <w:szCs w:val="18"/>
              </w:rPr>
            </w:pPr>
            <w:r>
              <w:rPr>
                <w:b/>
                <w:sz w:val="18"/>
                <w:szCs w:val="18"/>
              </w:rPr>
              <w:t>Vulnerability Index</w:t>
            </w:r>
          </w:p>
        </w:tc>
        <w:tc>
          <w:tcPr>
            <w:tcW w:w="1183" w:type="dxa"/>
            <w:tcBorders>
              <w:top w:val="nil"/>
              <w:left w:val="nil"/>
              <w:bottom w:val="nil"/>
              <w:right w:val="nil"/>
            </w:tcBorders>
            <w:tcMar>
              <w:top w:w="100" w:type="dxa"/>
              <w:left w:w="100" w:type="dxa"/>
              <w:bottom w:w="100" w:type="dxa"/>
              <w:right w:w="100" w:type="dxa"/>
            </w:tcMar>
          </w:tcPr>
          <w:p w14:paraId="72FA92D6" w14:textId="77777777" w:rsidR="00265466" w:rsidRDefault="00265466" w:rsidP="00265466">
            <w:pPr>
              <w:jc w:val="right"/>
            </w:pPr>
            <w:r>
              <w:t>0.487</w:t>
            </w:r>
          </w:p>
        </w:tc>
        <w:tc>
          <w:tcPr>
            <w:tcW w:w="954" w:type="dxa"/>
            <w:tcBorders>
              <w:top w:val="nil"/>
              <w:left w:val="nil"/>
              <w:bottom w:val="nil"/>
              <w:right w:val="nil"/>
            </w:tcBorders>
            <w:tcMar>
              <w:top w:w="100" w:type="dxa"/>
              <w:left w:w="100" w:type="dxa"/>
              <w:bottom w:w="100" w:type="dxa"/>
              <w:right w:w="100" w:type="dxa"/>
            </w:tcMar>
          </w:tcPr>
          <w:p w14:paraId="11E0205E" w14:textId="77777777" w:rsidR="00265466" w:rsidRDefault="00265466" w:rsidP="00265466">
            <w:pPr>
              <w:jc w:val="right"/>
            </w:pPr>
            <w:r>
              <w:t>0.411</w:t>
            </w:r>
          </w:p>
        </w:tc>
        <w:tc>
          <w:tcPr>
            <w:tcW w:w="992" w:type="dxa"/>
            <w:tcBorders>
              <w:top w:val="nil"/>
              <w:left w:val="nil"/>
              <w:bottom w:val="nil"/>
              <w:right w:val="nil"/>
            </w:tcBorders>
            <w:tcMar>
              <w:top w:w="100" w:type="dxa"/>
              <w:left w:w="100" w:type="dxa"/>
              <w:bottom w:w="100" w:type="dxa"/>
              <w:right w:w="100" w:type="dxa"/>
            </w:tcMar>
          </w:tcPr>
          <w:p w14:paraId="5E467D1B" w14:textId="77777777" w:rsidR="00265466" w:rsidRDefault="00265466" w:rsidP="00265466">
            <w:pPr>
              <w:jc w:val="right"/>
            </w:pPr>
            <w:r>
              <w:t>0.451</w:t>
            </w:r>
          </w:p>
        </w:tc>
        <w:tc>
          <w:tcPr>
            <w:tcW w:w="940" w:type="dxa"/>
            <w:tcBorders>
              <w:top w:val="nil"/>
              <w:left w:val="nil"/>
              <w:bottom w:val="nil"/>
              <w:right w:val="nil"/>
            </w:tcBorders>
            <w:tcMar>
              <w:top w:w="100" w:type="dxa"/>
              <w:left w:w="100" w:type="dxa"/>
              <w:bottom w:w="100" w:type="dxa"/>
              <w:right w:w="100" w:type="dxa"/>
            </w:tcMar>
          </w:tcPr>
          <w:p w14:paraId="513A4F2C" w14:textId="77777777" w:rsidR="00265466" w:rsidRDefault="00265466" w:rsidP="00265466">
            <w:pPr>
              <w:jc w:val="right"/>
            </w:pPr>
            <w:r>
              <w:t>0.571</w:t>
            </w:r>
          </w:p>
        </w:tc>
        <w:tc>
          <w:tcPr>
            <w:tcW w:w="1045" w:type="dxa"/>
            <w:tcBorders>
              <w:top w:val="nil"/>
              <w:left w:val="nil"/>
              <w:bottom w:val="nil"/>
              <w:right w:val="nil"/>
            </w:tcBorders>
            <w:tcMar>
              <w:top w:w="100" w:type="dxa"/>
              <w:left w:w="100" w:type="dxa"/>
              <w:bottom w:w="100" w:type="dxa"/>
              <w:right w:w="100" w:type="dxa"/>
            </w:tcMar>
          </w:tcPr>
          <w:p w14:paraId="44FC2712" w14:textId="77777777" w:rsidR="00265466" w:rsidRDefault="00265466" w:rsidP="00265466">
            <w:pPr>
              <w:jc w:val="right"/>
            </w:pPr>
            <w:r>
              <w:t>0.545</w:t>
            </w:r>
          </w:p>
        </w:tc>
      </w:tr>
    </w:tbl>
    <w:p w14:paraId="2BAAA643" w14:textId="77777777" w:rsidR="00265466" w:rsidRDefault="00265466" w:rsidP="00265466">
      <w:pPr>
        <w:widowControl w:val="0"/>
        <w:jc w:val="both"/>
        <w:rPr>
          <w:rFonts w:ascii="Calibri" w:hAnsi="Calibri" w:cs="Calibri"/>
        </w:rPr>
      </w:pPr>
    </w:p>
    <w:p w14:paraId="4CB931CE" w14:textId="77777777" w:rsidR="00265466" w:rsidRPr="00411594" w:rsidRDefault="00265466" w:rsidP="00265466">
      <w:pPr>
        <w:widowControl w:val="0"/>
        <w:jc w:val="both"/>
        <w:rPr>
          <w:rFonts w:eastAsia="Times New Roman"/>
          <w:sz w:val="22"/>
          <w:szCs w:val="22"/>
        </w:rPr>
      </w:pPr>
      <w:bookmarkStart w:id="9" w:name="_heading=h.17dp8vu" w:colFirst="0" w:colLast="0"/>
      <w:bookmarkEnd w:id="9"/>
      <w:r>
        <w:rPr>
          <w:rFonts w:eastAsia="Times New Roman"/>
          <w:b/>
        </w:rPr>
        <w:t xml:space="preserve">Note: </w:t>
      </w:r>
      <w:r w:rsidRPr="00411594">
        <w:rPr>
          <w:rFonts w:eastAsia="Times New Roman"/>
          <w:sz w:val="22"/>
          <w:szCs w:val="22"/>
        </w:rPr>
        <w:t>Only indicators associated with a territorial unit bigger than the census block are included.</w:t>
      </w:r>
    </w:p>
    <w:p w14:paraId="77B88107" w14:textId="77777777" w:rsidR="00265466" w:rsidRPr="00360503" w:rsidRDefault="00265466" w:rsidP="00360503">
      <w:pPr>
        <w:pStyle w:val="Heading-Secondary"/>
      </w:pPr>
      <w:bookmarkStart w:id="10" w:name="_heading=h.3rdcrjn" w:colFirst="0" w:colLast="0"/>
      <w:bookmarkEnd w:id="10"/>
      <w:r w:rsidRPr="00360503">
        <w:t>5.1 Profiles in high and low territorial water vulnerability at census Block level</w:t>
      </w:r>
    </w:p>
    <w:p w14:paraId="7C3AD789" w14:textId="34F7EA81" w:rsidR="00265466" w:rsidRPr="00773A6E" w:rsidRDefault="00265466" w:rsidP="00265466">
      <w:pPr>
        <w:jc w:val="both"/>
        <w:rPr>
          <w:rFonts w:eastAsia="Times New Roman"/>
        </w:rPr>
      </w:pPr>
      <w:bookmarkStart w:id="11" w:name="_heading=h.hvr1knea54n8" w:colFirst="0" w:colLast="0"/>
      <w:bookmarkEnd w:id="11"/>
      <w:r w:rsidRPr="00773A6E">
        <w:rPr>
          <w:rFonts w:eastAsia="Times New Roman"/>
        </w:rPr>
        <w:t>Based on the hierarchical cluste</w:t>
      </w:r>
      <w:r>
        <w:rPr>
          <w:rFonts w:eastAsia="Times New Roman"/>
        </w:rPr>
        <w:t>r grouping of all the variables</w:t>
      </w:r>
      <w:r w:rsidRPr="00773A6E">
        <w:rPr>
          <w:rFonts w:eastAsia="Times New Roman"/>
        </w:rPr>
        <w:t xml:space="preserve"> with a spatial resolution, equal to or smaller than a census block (according to their spatial resolution in table 1), we stud</w:t>
      </w:r>
      <w:r w:rsidR="00ED156C">
        <w:rPr>
          <w:rFonts w:eastAsia="Times New Roman"/>
        </w:rPr>
        <w:t>ied</w:t>
      </w:r>
      <w:r w:rsidRPr="00773A6E">
        <w:rPr>
          <w:rFonts w:eastAsia="Times New Roman"/>
        </w:rPr>
        <w:t xml:space="preserve"> the profiles of the households which fell into the most and least vulnerable deciles of the population (Figure 5)</w:t>
      </w:r>
      <w:r w:rsidR="00ED156C">
        <w:rPr>
          <w:rFonts w:eastAsia="Times New Roman"/>
        </w:rPr>
        <w:t>.</w:t>
      </w:r>
    </w:p>
    <w:p w14:paraId="786B957B" w14:textId="77777777" w:rsidR="00265466" w:rsidRPr="00773A6E" w:rsidRDefault="00265466" w:rsidP="00265466">
      <w:pPr>
        <w:jc w:val="both"/>
        <w:rPr>
          <w:rFonts w:eastAsia="Times New Roman"/>
        </w:rPr>
      </w:pPr>
      <w:bookmarkStart w:id="12" w:name="_heading=h.rdrg8uyrpiws" w:colFirst="0" w:colLast="0"/>
      <w:bookmarkEnd w:id="12"/>
    </w:p>
    <w:p w14:paraId="5252937B" w14:textId="29EE0D58" w:rsidR="00265466" w:rsidRDefault="00592FB1" w:rsidP="00265466">
      <w:pPr>
        <w:spacing w:after="200"/>
        <w:jc w:val="both"/>
        <w:rPr>
          <w:rFonts w:eastAsia="Times New Roman"/>
        </w:rPr>
      </w:pPr>
      <w:r w:rsidRPr="00760FF8">
        <w:rPr>
          <w:rFonts w:eastAsia="Times New Roman"/>
          <w:noProof/>
          <w:lang w:val="es-CL" w:eastAsia="es-CL"/>
        </w:rPr>
        <w:lastRenderedPageBreak/>
        <w:drawing>
          <wp:inline distT="0" distB="0" distL="0" distR="0" wp14:anchorId="695D75B6" wp14:editId="4B4B7C58">
            <wp:extent cx="5657850" cy="8229600"/>
            <wp:effectExtent l="0" t="0" r="0" b="0"/>
            <wp:docPr id="4" name="Imagen 2" descr="E:\Descargas\Paper VHT - Mapas Cluster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E:\Descargas\Paper VHT - Mapas Cluster (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7850" cy="8229600"/>
                    </a:xfrm>
                    <a:prstGeom prst="rect">
                      <a:avLst/>
                    </a:prstGeom>
                    <a:noFill/>
                    <a:ln>
                      <a:noFill/>
                    </a:ln>
                  </pic:spPr>
                </pic:pic>
              </a:graphicData>
            </a:graphic>
          </wp:inline>
        </w:drawing>
      </w:r>
    </w:p>
    <w:p w14:paraId="44F0C301" w14:textId="71E98EC8" w:rsidR="00265466" w:rsidRDefault="00265466" w:rsidP="00360503">
      <w:pPr>
        <w:pStyle w:val="FigureorTableCaption"/>
        <w:rPr>
          <w:highlight w:val="white"/>
        </w:rPr>
      </w:pPr>
      <w:r w:rsidRPr="00411594">
        <w:rPr>
          <w:b/>
          <w:highlight w:val="white"/>
        </w:rPr>
        <w:lastRenderedPageBreak/>
        <w:t>Figure 5:</w:t>
      </w:r>
      <w:r w:rsidRPr="00773A6E">
        <w:rPr>
          <w:highlight w:val="white"/>
        </w:rPr>
        <w:t xml:space="preserve"> spatialized clusters for the highest (a) and lowest (b) decile of the vulnerability index.</w:t>
      </w:r>
    </w:p>
    <w:p w14:paraId="28178904" w14:textId="77777777" w:rsidR="00360503" w:rsidRPr="00773A6E" w:rsidRDefault="00360503" w:rsidP="00360503">
      <w:pPr>
        <w:pStyle w:val="FigureorTableCaption"/>
        <w:rPr>
          <w:highlight w:val="white"/>
        </w:rPr>
      </w:pPr>
    </w:p>
    <w:p w14:paraId="6375D7BA" w14:textId="77777777" w:rsidR="00265466" w:rsidRPr="00773A6E" w:rsidRDefault="00265466" w:rsidP="00265466">
      <w:pPr>
        <w:jc w:val="both"/>
        <w:rPr>
          <w:rFonts w:eastAsia="Times New Roman"/>
          <w:sz w:val="24"/>
          <w:szCs w:val="24"/>
          <w:highlight w:val="white"/>
        </w:rPr>
      </w:pPr>
      <w:r w:rsidRPr="00773A6E">
        <w:rPr>
          <w:rFonts w:eastAsia="Times New Roman"/>
          <w:highlight w:val="white"/>
        </w:rPr>
        <w:t>In general, the most vulnerable census blocks are located on the outskirts of the citie</w:t>
      </w:r>
      <w:r>
        <w:rPr>
          <w:rFonts w:eastAsia="Times New Roman"/>
          <w:highlight w:val="white"/>
        </w:rPr>
        <w:t>s in the study area. Cluster 1H</w:t>
      </w:r>
      <w:r w:rsidRPr="00773A6E">
        <w:rPr>
          <w:rFonts w:eastAsia="Times New Roman"/>
          <w:highlight w:val="white"/>
        </w:rPr>
        <w:t xml:space="preserve"> (Figure 5a in red) groups 121 census blocks distributed throughout the territory, with an elevated quantity of unscheduled shortcuts, an annual mean of 2373 minutes without water services and households with high consumption (about 16 cubic meters monthly). Moreover, this cluster shares with Cluster 3H the presence of critical infrastructure.</w:t>
      </w:r>
    </w:p>
    <w:p w14:paraId="3AE1D6A8" w14:textId="4A82A206" w:rsidR="00265466" w:rsidRPr="00773A6E" w:rsidRDefault="00265466" w:rsidP="00265466">
      <w:pPr>
        <w:spacing w:before="240"/>
        <w:jc w:val="both"/>
        <w:rPr>
          <w:rFonts w:eastAsia="Times New Roman"/>
          <w:sz w:val="24"/>
          <w:szCs w:val="24"/>
          <w:highlight w:val="white"/>
        </w:rPr>
      </w:pPr>
      <w:r w:rsidRPr="00773A6E">
        <w:rPr>
          <w:rFonts w:eastAsia="Times New Roman"/>
          <w:highlight w:val="white"/>
        </w:rPr>
        <w:t xml:space="preserve">Cluster number 2H (Figure 5a in blue) contains 75 census blocks with a high </w:t>
      </w:r>
      <w:r w:rsidR="00F87B7A">
        <w:rPr>
          <w:rFonts w:eastAsia="Times New Roman"/>
          <w:highlight w:val="white"/>
        </w:rPr>
        <w:t>frequency</w:t>
      </w:r>
      <w:r w:rsidRPr="00773A6E">
        <w:rPr>
          <w:rFonts w:eastAsia="Times New Roman"/>
          <w:highlight w:val="white"/>
        </w:rPr>
        <w:t xml:space="preserve"> and time of unscheduled shortcuts.  On average, 30% of the area of the census block of this cluster is covered with informal settlements, meanwhile, in clusters 1H and 2H, the coverage with this kind of settlements is about 12% of the surface and in the whole study area, it’s the 3%. The water consumption of this census blocks (cluster 2H) is only ten cubic meters per month and has lower levels of alternative supply to face the great levels of average shortcuts time (7</w:t>
      </w:r>
      <w:r w:rsidR="000E3E15">
        <w:rPr>
          <w:rFonts w:eastAsia="Times New Roman"/>
          <w:highlight w:val="white"/>
        </w:rPr>
        <w:t>,</w:t>
      </w:r>
      <w:r w:rsidRPr="00773A6E">
        <w:rPr>
          <w:rFonts w:eastAsia="Times New Roman"/>
          <w:highlight w:val="white"/>
        </w:rPr>
        <w:t>072 minutes).</w:t>
      </w:r>
    </w:p>
    <w:p w14:paraId="04F4CDF1" w14:textId="6FE9AE30" w:rsidR="00265466" w:rsidRPr="00773A6E" w:rsidRDefault="00265466" w:rsidP="00265466">
      <w:pPr>
        <w:spacing w:before="240"/>
        <w:jc w:val="both"/>
        <w:rPr>
          <w:rFonts w:eastAsia="Times New Roman"/>
          <w:highlight w:val="white"/>
        </w:rPr>
      </w:pPr>
      <w:r w:rsidRPr="00773A6E">
        <w:rPr>
          <w:rFonts w:eastAsia="Times New Roman"/>
          <w:highlight w:val="white"/>
        </w:rPr>
        <w:t>Cluster 3H (Figure 5a in green) is composed of the largest number of census blocks (708) and highlights having the worst accessibility to drinking water, with 8.8% of the households without access to the public drinking water network, in comparison to the 4.4% and 3.6% of the groups 1 and 3 respectively</w:t>
      </w:r>
      <w:r w:rsidR="000E3E15">
        <w:rPr>
          <w:rFonts w:eastAsia="Times New Roman"/>
          <w:highlight w:val="white"/>
        </w:rPr>
        <w:t>,</w:t>
      </w:r>
      <w:r w:rsidRPr="00773A6E">
        <w:rPr>
          <w:rFonts w:eastAsia="Times New Roman"/>
          <w:highlight w:val="white"/>
        </w:rPr>
        <w:t xml:space="preserve"> the average</w:t>
      </w:r>
      <w:r w:rsidR="000E3E15">
        <w:rPr>
          <w:rFonts w:eastAsia="Times New Roman"/>
          <w:highlight w:val="white"/>
        </w:rPr>
        <w:t xml:space="preserve"> is</w:t>
      </w:r>
      <w:r w:rsidRPr="00773A6E">
        <w:rPr>
          <w:rFonts w:eastAsia="Times New Roman"/>
          <w:highlight w:val="white"/>
        </w:rPr>
        <w:t xml:space="preserve"> 2% </w:t>
      </w:r>
      <w:r w:rsidR="000E3E15">
        <w:rPr>
          <w:rFonts w:eastAsia="Times New Roman"/>
          <w:highlight w:val="white"/>
        </w:rPr>
        <w:t>in</w:t>
      </w:r>
      <w:r w:rsidRPr="00773A6E">
        <w:rPr>
          <w:rFonts w:eastAsia="Times New Roman"/>
          <w:highlight w:val="white"/>
        </w:rPr>
        <w:t xml:space="preserve"> the whole study area. On the other hand, the problems associated with the supply shortcuts are quite less than other groups having 1.4 shortcuts to the year.</w:t>
      </w:r>
    </w:p>
    <w:p w14:paraId="3E8D4109" w14:textId="41804E82" w:rsidR="00265466" w:rsidRPr="00773A6E" w:rsidRDefault="00265466" w:rsidP="00265466">
      <w:pPr>
        <w:spacing w:before="240"/>
        <w:jc w:val="both"/>
        <w:rPr>
          <w:rFonts w:eastAsia="Times New Roman"/>
          <w:sz w:val="24"/>
          <w:szCs w:val="24"/>
          <w:highlight w:val="white"/>
        </w:rPr>
      </w:pPr>
      <w:r w:rsidRPr="00773A6E">
        <w:rPr>
          <w:rFonts w:eastAsia="Times New Roman"/>
          <w:highlight w:val="white"/>
        </w:rPr>
        <w:t xml:space="preserve">Regarding the sociodemographic characteristics of these groups, the variables migrant population, elderly population and Child population are close to the average for all the census blocks in the study area (10.8%, 12.5%, and 3.91%, respectively). Meanwhile, the ethnic origin population it is near 7% in every group, significantly higher than the study area </w:t>
      </w:r>
      <w:r w:rsidR="00ED156C">
        <w:rPr>
          <w:rFonts w:eastAsia="Times New Roman"/>
          <w:highlight w:val="white"/>
        </w:rPr>
        <w:t xml:space="preserve">average </w:t>
      </w:r>
      <w:r w:rsidRPr="00773A6E">
        <w:rPr>
          <w:rFonts w:eastAsia="Times New Roman"/>
          <w:highlight w:val="white"/>
        </w:rPr>
        <w:t>of 4.95%</w:t>
      </w:r>
      <w:r w:rsidR="00ED156C">
        <w:rPr>
          <w:rFonts w:eastAsia="Times New Roman"/>
          <w:highlight w:val="white"/>
        </w:rPr>
        <w:t>.</w:t>
      </w:r>
    </w:p>
    <w:p w14:paraId="4C04CFBC" w14:textId="614A97AF" w:rsidR="00265466" w:rsidRPr="00773A6E" w:rsidRDefault="00ED156C" w:rsidP="00265466">
      <w:pPr>
        <w:spacing w:before="240"/>
        <w:jc w:val="both"/>
        <w:rPr>
          <w:rFonts w:eastAsia="Times New Roman"/>
          <w:highlight w:val="white"/>
        </w:rPr>
      </w:pPr>
      <w:r>
        <w:rPr>
          <w:rFonts w:eastAsia="Times New Roman"/>
          <w:highlight w:val="white"/>
        </w:rPr>
        <w:t>Conversely,</w:t>
      </w:r>
      <w:r w:rsidR="00265466" w:rsidRPr="00773A6E">
        <w:rPr>
          <w:rFonts w:eastAsia="Times New Roman"/>
          <w:highlight w:val="white"/>
        </w:rPr>
        <w:t xml:space="preserve"> the 10% least vulnerable census blocks are found in the central zones </w:t>
      </w:r>
      <w:r w:rsidR="00A37566">
        <w:rPr>
          <w:rFonts w:eastAsia="Times New Roman"/>
          <w:highlight w:val="white"/>
        </w:rPr>
        <w:t>in</w:t>
      </w:r>
      <w:r w:rsidR="00265466" w:rsidRPr="00773A6E">
        <w:rPr>
          <w:rFonts w:eastAsia="Times New Roman"/>
          <w:highlight w:val="white"/>
        </w:rPr>
        <w:t xml:space="preserve"> the localities of Concón and Viña del Mar</w:t>
      </w:r>
      <w:r w:rsidR="00A37566">
        <w:rPr>
          <w:rFonts w:eastAsia="Times New Roman"/>
          <w:highlight w:val="white"/>
        </w:rPr>
        <w:t>.</w:t>
      </w:r>
      <w:r w:rsidR="00265466" w:rsidRPr="00773A6E">
        <w:rPr>
          <w:rFonts w:eastAsia="Times New Roman"/>
          <w:highlight w:val="white"/>
        </w:rPr>
        <w:t xml:space="preserve"> </w:t>
      </w:r>
      <w:r w:rsidR="00A37566">
        <w:rPr>
          <w:rFonts w:eastAsia="Times New Roman"/>
          <w:highlight w:val="white"/>
        </w:rPr>
        <w:t>A</w:t>
      </w:r>
      <w:r w:rsidR="00265466" w:rsidRPr="00773A6E">
        <w:rPr>
          <w:rFonts w:eastAsia="Times New Roman"/>
          <w:highlight w:val="white"/>
        </w:rPr>
        <w:t>nd</w:t>
      </w:r>
      <w:r w:rsidR="00A37566">
        <w:rPr>
          <w:rFonts w:eastAsia="Times New Roman"/>
          <w:highlight w:val="white"/>
        </w:rPr>
        <w:t>,</w:t>
      </w:r>
      <w:r w:rsidR="00265466" w:rsidRPr="00773A6E">
        <w:rPr>
          <w:rFonts w:eastAsia="Times New Roman"/>
          <w:highlight w:val="white"/>
        </w:rPr>
        <w:t xml:space="preserve"> there is not any census block from Quilpué and Villa Alemana, which have higher TWV according to its reduced response capacity</w:t>
      </w:r>
      <w:r w:rsidR="00A37566">
        <w:rPr>
          <w:rFonts w:eastAsia="Times New Roman"/>
          <w:highlight w:val="white"/>
        </w:rPr>
        <w:t>,</w:t>
      </w:r>
      <w:r w:rsidR="00265466" w:rsidRPr="00773A6E">
        <w:rPr>
          <w:rFonts w:eastAsia="Times New Roman"/>
          <w:highlight w:val="white"/>
        </w:rPr>
        <w:t xml:space="preserve"> driven by the low distribution system autonomy (See table 3).</w:t>
      </w:r>
    </w:p>
    <w:p w14:paraId="6FA2347D" w14:textId="77777777" w:rsidR="00265466" w:rsidRPr="00773A6E" w:rsidRDefault="00265466" w:rsidP="00265466">
      <w:pPr>
        <w:spacing w:before="240"/>
        <w:jc w:val="both"/>
        <w:rPr>
          <w:rFonts w:eastAsia="Times New Roman"/>
          <w:sz w:val="24"/>
          <w:szCs w:val="24"/>
          <w:highlight w:val="white"/>
        </w:rPr>
      </w:pPr>
      <w:r w:rsidRPr="00773A6E">
        <w:rPr>
          <w:rFonts w:eastAsia="Times New Roman"/>
          <w:highlight w:val="white"/>
        </w:rPr>
        <w:t>The census block belonging to the 3 clusters associated with the less vulnerable decile share common characteristics (See table 4): a low presence of households without drinking water access associated with a very low area of informal settlements. An elevated water consumption (above 17m</w:t>
      </w:r>
      <w:r w:rsidRPr="00773A6E">
        <w:rPr>
          <w:rFonts w:eastAsia="Times New Roman"/>
          <w:highlight w:val="white"/>
          <w:vertAlign w:val="superscript"/>
        </w:rPr>
        <w:t xml:space="preserve">3 </w:t>
      </w:r>
      <w:r w:rsidRPr="00773A6E">
        <w:rPr>
          <w:rFonts w:eastAsia="Times New Roman"/>
          <w:highlight w:val="white"/>
        </w:rPr>
        <w:t>in comparison to the 14.5 m</w:t>
      </w:r>
      <w:r w:rsidRPr="00773A6E">
        <w:rPr>
          <w:rFonts w:eastAsia="Times New Roman"/>
          <w:highlight w:val="white"/>
          <w:vertAlign w:val="superscript"/>
        </w:rPr>
        <w:t>3</w:t>
      </w:r>
      <w:r w:rsidRPr="00773A6E">
        <w:rPr>
          <w:rFonts w:eastAsia="Times New Roman"/>
          <w:highlight w:val="white"/>
        </w:rPr>
        <w:t xml:space="preserve"> of the study area) and alternative supply sources volume above average. The socio-demographic characteristics are also similar, with ethnic and child populations below the study area average. Meanwhile, elderly and migrant populations are above the average in the studied territory. Although these variables should boost the vulnerability, this is attenuated probably because they belong to households with medium or high-income rates. </w:t>
      </w:r>
    </w:p>
    <w:p w14:paraId="3CC48D68" w14:textId="77777777" w:rsidR="00265466" w:rsidRPr="00773A6E" w:rsidRDefault="00265466" w:rsidP="00265466">
      <w:pPr>
        <w:spacing w:before="240"/>
        <w:jc w:val="both"/>
        <w:rPr>
          <w:rFonts w:eastAsia="Times New Roman"/>
          <w:sz w:val="24"/>
          <w:szCs w:val="24"/>
          <w:highlight w:val="white"/>
        </w:rPr>
      </w:pPr>
      <w:r w:rsidRPr="00773A6E">
        <w:rPr>
          <w:rFonts w:eastAsia="Times New Roman"/>
          <w:highlight w:val="white"/>
        </w:rPr>
        <w:t>The main difference between the three clusters is the number and time of unscheduled shortcuts, with 674, 269 and 65 minutes of average shortcuts for the census blocks of clusters 1L,2L and 3L, respectively.</w:t>
      </w:r>
    </w:p>
    <w:p w14:paraId="5B719B22" w14:textId="4074D7ED" w:rsidR="00265466" w:rsidRPr="00773A6E" w:rsidRDefault="00265466" w:rsidP="00360503">
      <w:pPr>
        <w:spacing w:before="240"/>
        <w:jc w:val="both"/>
        <w:rPr>
          <w:highlight w:val="white"/>
        </w:rPr>
      </w:pPr>
      <w:r w:rsidRPr="00773A6E">
        <w:rPr>
          <w:highlight w:val="white"/>
        </w:rPr>
        <w:t xml:space="preserve">While interpreting each cluster’s results, it must be remembered that these clusters only consider the variables </w:t>
      </w:r>
      <w:r w:rsidR="00ED156C">
        <w:rPr>
          <w:highlight w:val="white"/>
        </w:rPr>
        <w:t>at</w:t>
      </w:r>
      <w:r w:rsidRPr="00773A6E">
        <w:rPr>
          <w:highlight w:val="white"/>
        </w:rPr>
        <w:t xml:space="preserve"> a census block scale. Furthermore, census blocks in the same cluster but in different localities may have substantial and relevant differences, like the autonomy level of the distribution system, which affects the TWV index.</w:t>
      </w:r>
    </w:p>
    <w:p w14:paraId="253F8317" w14:textId="77777777" w:rsidR="00265466" w:rsidRPr="00773A6E" w:rsidRDefault="00265466" w:rsidP="00265466">
      <w:pPr>
        <w:spacing w:after="200"/>
        <w:jc w:val="both"/>
        <w:rPr>
          <w:rFonts w:eastAsia="Times New Roman"/>
        </w:rPr>
      </w:pPr>
    </w:p>
    <w:p w14:paraId="1094C90C" w14:textId="77777777" w:rsidR="00265466" w:rsidRPr="00360503" w:rsidRDefault="00265466" w:rsidP="00360503">
      <w:pPr>
        <w:pStyle w:val="FigureorTableCaption"/>
      </w:pPr>
      <w:r w:rsidRPr="00360503">
        <w:rPr>
          <w:b/>
          <w:highlight w:val="white"/>
        </w:rPr>
        <w:t>Table 4:</w:t>
      </w:r>
      <w:r w:rsidRPr="00360503">
        <w:rPr>
          <w:highlight w:val="white"/>
        </w:rPr>
        <w:t xml:space="preserve"> Average values for vulnerability indicators for each of the three clusters of the lowest and the highest decile of the vulnerability Index</w:t>
      </w:r>
    </w:p>
    <w:tbl>
      <w:tblPr>
        <w:tblW w:w="9100" w:type="dxa"/>
        <w:tblBorders>
          <w:top w:val="single" w:sz="4" w:space="0" w:color="7F7F7F"/>
          <w:bottom w:val="single" w:sz="4" w:space="0" w:color="7F7F7F"/>
        </w:tblBorders>
        <w:tblLayout w:type="fixed"/>
        <w:tblLook w:val="06A0" w:firstRow="1" w:lastRow="0" w:firstColumn="1" w:lastColumn="0" w:noHBand="1" w:noVBand="1"/>
      </w:tblPr>
      <w:tblGrid>
        <w:gridCol w:w="3760"/>
        <w:gridCol w:w="800"/>
        <w:gridCol w:w="800"/>
        <w:gridCol w:w="800"/>
        <w:gridCol w:w="1040"/>
        <w:gridCol w:w="1000"/>
        <w:gridCol w:w="900"/>
      </w:tblGrid>
      <w:tr w:rsidR="00265466" w14:paraId="37454CD0" w14:textId="77777777" w:rsidTr="00265466">
        <w:trPr>
          <w:trHeight w:val="255"/>
        </w:trPr>
        <w:tc>
          <w:tcPr>
            <w:tcW w:w="3760" w:type="dxa"/>
          </w:tcPr>
          <w:p w14:paraId="36F193F9" w14:textId="77777777" w:rsidR="00265466" w:rsidRPr="00773A6E" w:rsidRDefault="00265466" w:rsidP="00265466">
            <w:pPr>
              <w:rPr>
                <w:sz w:val="18"/>
                <w:szCs w:val="18"/>
              </w:rPr>
            </w:pPr>
            <w:bookmarkStart w:id="13" w:name="_heading=h.lnxbz9" w:colFirst="0" w:colLast="0"/>
            <w:bookmarkEnd w:id="13"/>
            <w:r w:rsidRPr="00773A6E">
              <w:rPr>
                <w:sz w:val="18"/>
                <w:szCs w:val="18"/>
              </w:rPr>
              <w:t> </w:t>
            </w:r>
          </w:p>
        </w:tc>
        <w:tc>
          <w:tcPr>
            <w:tcW w:w="2400" w:type="dxa"/>
            <w:gridSpan w:val="3"/>
          </w:tcPr>
          <w:p w14:paraId="6CC67D4A" w14:textId="77777777" w:rsidR="00265466" w:rsidRDefault="00265466" w:rsidP="00265466">
            <w:pPr>
              <w:jc w:val="center"/>
              <w:rPr>
                <w:sz w:val="18"/>
                <w:szCs w:val="18"/>
              </w:rPr>
            </w:pPr>
            <w:r>
              <w:rPr>
                <w:sz w:val="18"/>
                <w:szCs w:val="18"/>
              </w:rPr>
              <w:t>Low Vulnerability</w:t>
            </w:r>
          </w:p>
        </w:tc>
        <w:tc>
          <w:tcPr>
            <w:tcW w:w="2940" w:type="dxa"/>
            <w:gridSpan w:val="3"/>
          </w:tcPr>
          <w:p w14:paraId="15C164D0" w14:textId="77777777" w:rsidR="00265466" w:rsidRDefault="00265466" w:rsidP="00265466">
            <w:pPr>
              <w:jc w:val="center"/>
              <w:rPr>
                <w:sz w:val="18"/>
                <w:szCs w:val="18"/>
              </w:rPr>
            </w:pPr>
            <w:r>
              <w:rPr>
                <w:sz w:val="18"/>
                <w:szCs w:val="18"/>
              </w:rPr>
              <w:t>High Vulnerability</w:t>
            </w:r>
          </w:p>
        </w:tc>
      </w:tr>
      <w:tr w:rsidR="00265466" w14:paraId="0D555B14" w14:textId="77777777" w:rsidTr="00265466">
        <w:trPr>
          <w:trHeight w:val="285"/>
        </w:trPr>
        <w:tc>
          <w:tcPr>
            <w:tcW w:w="3760" w:type="dxa"/>
          </w:tcPr>
          <w:p w14:paraId="78A0ABD0" w14:textId="77777777" w:rsidR="00265466" w:rsidRDefault="00265466" w:rsidP="00265466">
            <w:pPr>
              <w:rPr>
                <w:sz w:val="18"/>
                <w:szCs w:val="18"/>
              </w:rPr>
            </w:pPr>
            <w:r>
              <w:rPr>
                <w:sz w:val="18"/>
                <w:szCs w:val="18"/>
              </w:rPr>
              <w:t>cluster</w:t>
            </w:r>
          </w:p>
        </w:tc>
        <w:tc>
          <w:tcPr>
            <w:tcW w:w="800" w:type="dxa"/>
          </w:tcPr>
          <w:p w14:paraId="46EC4C1D" w14:textId="113D1834" w:rsidR="00265466" w:rsidRDefault="00265466" w:rsidP="00265466">
            <w:pPr>
              <w:jc w:val="right"/>
              <w:rPr>
                <w:b/>
              </w:rPr>
            </w:pPr>
            <w:r>
              <w:rPr>
                <w:b/>
              </w:rPr>
              <w:t>1</w:t>
            </w:r>
            <w:r w:rsidR="00360503">
              <w:rPr>
                <w:b/>
              </w:rPr>
              <w:t>L</w:t>
            </w:r>
          </w:p>
        </w:tc>
        <w:tc>
          <w:tcPr>
            <w:tcW w:w="800" w:type="dxa"/>
          </w:tcPr>
          <w:p w14:paraId="7230D09F" w14:textId="6FD636E3" w:rsidR="00265466" w:rsidRDefault="00265466" w:rsidP="00265466">
            <w:pPr>
              <w:jc w:val="right"/>
              <w:rPr>
                <w:b/>
              </w:rPr>
            </w:pPr>
            <w:r>
              <w:rPr>
                <w:b/>
              </w:rPr>
              <w:t>2</w:t>
            </w:r>
            <w:r w:rsidR="00360503">
              <w:rPr>
                <w:b/>
              </w:rPr>
              <w:t>L</w:t>
            </w:r>
          </w:p>
        </w:tc>
        <w:tc>
          <w:tcPr>
            <w:tcW w:w="800" w:type="dxa"/>
          </w:tcPr>
          <w:p w14:paraId="55C046AB" w14:textId="0804A4EB" w:rsidR="00265466" w:rsidRDefault="00265466" w:rsidP="00265466">
            <w:pPr>
              <w:jc w:val="right"/>
              <w:rPr>
                <w:b/>
              </w:rPr>
            </w:pPr>
            <w:r>
              <w:rPr>
                <w:b/>
              </w:rPr>
              <w:t>3</w:t>
            </w:r>
            <w:r w:rsidR="00360503">
              <w:rPr>
                <w:b/>
              </w:rPr>
              <w:t>L</w:t>
            </w:r>
          </w:p>
        </w:tc>
        <w:tc>
          <w:tcPr>
            <w:tcW w:w="1040" w:type="dxa"/>
          </w:tcPr>
          <w:p w14:paraId="4C63DEF8" w14:textId="353787FD" w:rsidR="00265466" w:rsidRDefault="00265466" w:rsidP="00265466">
            <w:pPr>
              <w:jc w:val="right"/>
              <w:rPr>
                <w:b/>
              </w:rPr>
            </w:pPr>
            <w:r>
              <w:rPr>
                <w:b/>
              </w:rPr>
              <w:t>1</w:t>
            </w:r>
            <w:r w:rsidR="00360503">
              <w:rPr>
                <w:b/>
              </w:rPr>
              <w:t>H</w:t>
            </w:r>
          </w:p>
        </w:tc>
        <w:tc>
          <w:tcPr>
            <w:tcW w:w="1000" w:type="dxa"/>
          </w:tcPr>
          <w:p w14:paraId="2E6DA98F" w14:textId="2E68CCBA" w:rsidR="00265466" w:rsidRDefault="00265466" w:rsidP="00265466">
            <w:pPr>
              <w:jc w:val="right"/>
              <w:rPr>
                <w:b/>
              </w:rPr>
            </w:pPr>
            <w:r>
              <w:rPr>
                <w:b/>
              </w:rPr>
              <w:t>2</w:t>
            </w:r>
            <w:r w:rsidR="00360503">
              <w:rPr>
                <w:b/>
              </w:rPr>
              <w:t>H</w:t>
            </w:r>
          </w:p>
        </w:tc>
        <w:tc>
          <w:tcPr>
            <w:tcW w:w="900" w:type="dxa"/>
          </w:tcPr>
          <w:p w14:paraId="400EA825" w14:textId="0582D0EB" w:rsidR="00265466" w:rsidRDefault="00265466" w:rsidP="00265466">
            <w:pPr>
              <w:jc w:val="right"/>
              <w:rPr>
                <w:b/>
              </w:rPr>
            </w:pPr>
            <w:r>
              <w:rPr>
                <w:b/>
              </w:rPr>
              <w:t>3</w:t>
            </w:r>
            <w:r w:rsidR="00360503">
              <w:rPr>
                <w:b/>
              </w:rPr>
              <w:t>H</w:t>
            </w:r>
          </w:p>
        </w:tc>
      </w:tr>
      <w:tr w:rsidR="00265466" w14:paraId="7AD31DD4" w14:textId="77777777" w:rsidTr="00265466">
        <w:trPr>
          <w:trHeight w:val="285"/>
        </w:trPr>
        <w:tc>
          <w:tcPr>
            <w:tcW w:w="3760" w:type="dxa"/>
          </w:tcPr>
          <w:p w14:paraId="1E93B442" w14:textId="77777777" w:rsidR="00265466" w:rsidRDefault="00265466" w:rsidP="00265466">
            <w:pPr>
              <w:rPr>
                <w:sz w:val="18"/>
                <w:szCs w:val="18"/>
              </w:rPr>
            </w:pPr>
            <w:r>
              <w:rPr>
                <w:sz w:val="18"/>
                <w:szCs w:val="18"/>
              </w:rPr>
              <w:t>No potable water Supply</w:t>
            </w:r>
          </w:p>
        </w:tc>
        <w:tc>
          <w:tcPr>
            <w:tcW w:w="800" w:type="dxa"/>
            <w:tcBorders>
              <w:top w:val="nil"/>
              <w:left w:val="nil"/>
              <w:bottom w:val="nil"/>
              <w:right w:val="nil"/>
            </w:tcBorders>
            <w:tcMar>
              <w:top w:w="100" w:type="dxa"/>
              <w:left w:w="100" w:type="dxa"/>
              <w:bottom w:w="100" w:type="dxa"/>
              <w:right w:w="100" w:type="dxa"/>
            </w:tcMar>
          </w:tcPr>
          <w:p w14:paraId="2376FEFA" w14:textId="77777777" w:rsidR="00265466" w:rsidRDefault="00265466" w:rsidP="00265466">
            <w:pPr>
              <w:jc w:val="right"/>
            </w:pPr>
            <w:r>
              <w:t>0.10%</w:t>
            </w:r>
          </w:p>
        </w:tc>
        <w:tc>
          <w:tcPr>
            <w:tcW w:w="800" w:type="dxa"/>
            <w:tcBorders>
              <w:top w:val="nil"/>
              <w:left w:val="nil"/>
              <w:bottom w:val="nil"/>
              <w:right w:val="nil"/>
            </w:tcBorders>
            <w:tcMar>
              <w:top w:w="100" w:type="dxa"/>
              <w:left w:w="100" w:type="dxa"/>
              <w:bottom w:w="100" w:type="dxa"/>
              <w:right w:w="100" w:type="dxa"/>
            </w:tcMar>
          </w:tcPr>
          <w:p w14:paraId="27207CBC" w14:textId="77777777" w:rsidR="00265466" w:rsidRDefault="00265466" w:rsidP="00265466">
            <w:pPr>
              <w:jc w:val="right"/>
            </w:pPr>
            <w:bookmarkStart w:id="14" w:name="_heading=h.35nkun2" w:colFirst="0" w:colLast="0"/>
            <w:bookmarkEnd w:id="14"/>
            <w:r>
              <w:t>0.10%</w:t>
            </w:r>
          </w:p>
        </w:tc>
        <w:tc>
          <w:tcPr>
            <w:tcW w:w="800" w:type="dxa"/>
            <w:tcBorders>
              <w:top w:val="nil"/>
              <w:left w:val="nil"/>
              <w:bottom w:val="nil"/>
              <w:right w:val="nil"/>
            </w:tcBorders>
            <w:tcMar>
              <w:top w:w="100" w:type="dxa"/>
              <w:left w:w="100" w:type="dxa"/>
              <w:bottom w:w="100" w:type="dxa"/>
              <w:right w:w="100" w:type="dxa"/>
            </w:tcMar>
          </w:tcPr>
          <w:p w14:paraId="245E0FD1" w14:textId="77777777" w:rsidR="00265466" w:rsidRDefault="00265466" w:rsidP="00265466">
            <w:pPr>
              <w:jc w:val="right"/>
            </w:pPr>
            <w:r>
              <w:t>0.00%</w:t>
            </w:r>
          </w:p>
        </w:tc>
        <w:tc>
          <w:tcPr>
            <w:tcW w:w="1040" w:type="dxa"/>
            <w:tcBorders>
              <w:top w:val="nil"/>
              <w:left w:val="nil"/>
              <w:bottom w:val="nil"/>
              <w:right w:val="nil"/>
            </w:tcBorders>
            <w:tcMar>
              <w:top w:w="100" w:type="dxa"/>
              <w:left w:w="100" w:type="dxa"/>
              <w:bottom w:w="100" w:type="dxa"/>
              <w:right w:w="100" w:type="dxa"/>
            </w:tcMar>
          </w:tcPr>
          <w:p w14:paraId="47917E65" w14:textId="77777777" w:rsidR="00265466" w:rsidRDefault="00265466" w:rsidP="00265466">
            <w:pPr>
              <w:jc w:val="right"/>
            </w:pPr>
            <w:r>
              <w:t>4.40%</w:t>
            </w:r>
          </w:p>
        </w:tc>
        <w:tc>
          <w:tcPr>
            <w:tcW w:w="1000" w:type="dxa"/>
            <w:tcBorders>
              <w:top w:val="nil"/>
              <w:left w:val="nil"/>
              <w:bottom w:val="nil"/>
              <w:right w:val="nil"/>
            </w:tcBorders>
            <w:tcMar>
              <w:top w:w="100" w:type="dxa"/>
              <w:left w:w="100" w:type="dxa"/>
              <w:bottom w:w="100" w:type="dxa"/>
              <w:right w:w="100" w:type="dxa"/>
            </w:tcMar>
          </w:tcPr>
          <w:p w14:paraId="33AACEBF" w14:textId="77777777" w:rsidR="00265466" w:rsidRDefault="00265466" w:rsidP="00265466">
            <w:pPr>
              <w:jc w:val="right"/>
            </w:pPr>
            <w:r>
              <w:t>3.60%</w:t>
            </w:r>
          </w:p>
        </w:tc>
        <w:tc>
          <w:tcPr>
            <w:tcW w:w="900" w:type="dxa"/>
            <w:tcBorders>
              <w:top w:val="nil"/>
              <w:left w:val="nil"/>
              <w:bottom w:val="nil"/>
              <w:right w:val="nil"/>
            </w:tcBorders>
            <w:tcMar>
              <w:top w:w="100" w:type="dxa"/>
              <w:left w:w="100" w:type="dxa"/>
              <w:bottom w:w="100" w:type="dxa"/>
              <w:right w:w="100" w:type="dxa"/>
            </w:tcMar>
          </w:tcPr>
          <w:p w14:paraId="3ACA3800" w14:textId="77777777" w:rsidR="00265466" w:rsidRDefault="00265466" w:rsidP="00265466">
            <w:pPr>
              <w:jc w:val="right"/>
            </w:pPr>
            <w:r>
              <w:t>8.80%</w:t>
            </w:r>
          </w:p>
        </w:tc>
      </w:tr>
      <w:tr w:rsidR="00265466" w14:paraId="5126E8FA" w14:textId="77777777" w:rsidTr="00265466">
        <w:trPr>
          <w:trHeight w:val="285"/>
        </w:trPr>
        <w:tc>
          <w:tcPr>
            <w:tcW w:w="3760" w:type="dxa"/>
          </w:tcPr>
          <w:p w14:paraId="102C5950" w14:textId="77777777" w:rsidR="00265466" w:rsidRDefault="00265466" w:rsidP="00265466">
            <w:pPr>
              <w:rPr>
                <w:sz w:val="18"/>
                <w:szCs w:val="18"/>
              </w:rPr>
            </w:pPr>
            <w:r>
              <w:rPr>
                <w:sz w:val="18"/>
                <w:szCs w:val="18"/>
              </w:rPr>
              <w:t>Ethnic population</w:t>
            </w:r>
          </w:p>
        </w:tc>
        <w:tc>
          <w:tcPr>
            <w:tcW w:w="800" w:type="dxa"/>
            <w:tcBorders>
              <w:top w:val="nil"/>
              <w:left w:val="nil"/>
              <w:bottom w:val="nil"/>
              <w:right w:val="nil"/>
            </w:tcBorders>
            <w:tcMar>
              <w:top w:w="100" w:type="dxa"/>
              <w:left w:w="100" w:type="dxa"/>
              <w:bottom w:w="100" w:type="dxa"/>
              <w:right w:w="100" w:type="dxa"/>
            </w:tcMar>
          </w:tcPr>
          <w:p w14:paraId="106AF8F4" w14:textId="77777777" w:rsidR="00265466" w:rsidRDefault="00265466" w:rsidP="00265466">
            <w:pPr>
              <w:jc w:val="right"/>
            </w:pPr>
            <w:r>
              <w:t>1.70%</w:t>
            </w:r>
          </w:p>
        </w:tc>
        <w:tc>
          <w:tcPr>
            <w:tcW w:w="800" w:type="dxa"/>
            <w:tcBorders>
              <w:top w:val="nil"/>
              <w:left w:val="nil"/>
              <w:bottom w:val="nil"/>
              <w:right w:val="nil"/>
            </w:tcBorders>
            <w:tcMar>
              <w:top w:w="100" w:type="dxa"/>
              <w:left w:w="100" w:type="dxa"/>
              <w:bottom w:w="100" w:type="dxa"/>
              <w:right w:w="100" w:type="dxa"/>
            </w:tcMar>
          </w:tcPr>
          <w:p w14:paraId="72DD6687" w14:textId="77777777" w:rsidR="00265466" w:rsidRDefault="00265466" w:rsidP="00265466">
            <w:pPr>
              <w:jc w:val="right"/>
            </w:pPr>
            <w:r>
              <w:t>2.50%</w:t>
            </w:r>
          </w:p>
        </w:tc>
        <w:tc>
          <w:tcPr>
            <w:tcW w:w="800" w:type="dxa"/>
            <w:tcBorders>
              <w:top w:val="nil"/>
              <w:left w:val="nil"/>
              <w:bottom w:val="nil"/>
              <w:right w:val="nil"/>
            </w:tcBorders>
            <w:tcMar>
              <w:top w:w="100" w:type="dxa"/>
              <w:left w:w="100" w:type="dxa"/>
              <w:bottom w:w="100" w:type="dxa"/>
              <w:right w:w="100" w:type="dxa"/>
            </w:tcMar>
          </w:tcPr>
          <w:p w14:paraId="32B34A98" w14:textId="77777777" w:rsidR="00265466" w:rsidRDefault="00265466" w:rsidP="00265466">
            <w:pPr>
              <w:jc w:val="right"/>
            </w:pPr>
            <w:r>
              <w:t>2.00%</w:t>
            </w:r>
          </w:p>
        </w:tc>
        <w:tc>
          <w:tcPr>
            <w:tcW w:w="1040" w:type="dxa"/>
            <w:tcBorders>
              <w:top w:val="nil"/>
              <w:left w:val="nil"/>
              <w:bottom w:val="nil"/>
              <w:right w:val="nil"/>
            </w:tcBorders>
            <w:tcMar>
              <w:top w:w="100" w:type="dxa"/>
              <w:left w:w="100" w:type="dxa"/>
              <w:bottom w:w="100" w:type="dxa"/>
              <w:right w:w="100" w:type="dxa"/>
            </w:tcMar>
          </w:tcPr>
          <w:p w14:paraId="2341854F" w14:textId="77777777" w:rsidR="00265466" w:rsidRDefault="00265466" w:rsidP="00265466">
            <w:pPr>
              <w:jc w:val="right"/>
            </w:pPr>
            <w:r>
              <w:t>6.40%</w:t>
            </w:r>
          </w:p>
        </w:tc>
        <w:tc>
          <w:tcPr>
            <w:tcW w:w="1000" w:type="dxa"/>
            <w:tcBorders>
              <w:top w:val="nil"/>
              <w:left w:val="nil"/>
              <w:bottom w:val="nil"/>
              <w:right w:val="nil"/>
            </w:tcBorders>
            <w:tcMar>
              <w:top w:w="100" w:type="dxa"/>
              <w:left w:w="100" w:type="dxa"/>
              <w:bottom w:w="100" w:type="dxa"/>
              <w:right w:w="100" w:type="dxa"/>
            </w:tcMar>
          </w:tcPr>
          <w:p w14:paraId="23A3E43E" w14:textId="77777777" w:rsidR="00265466" w:rsidRDefault="00265466" w:rsidP="00265466">
            <w:pPr>
              <w:jc w:val="right"/>
            </w:pPr>
            <w:r>
              <w:t>7.80%</w:t>
            </w:r>
          </w:p>
        </w:tc>
        <w:tc>
          <w:tcPr>
            <w:tcW w:w="900" w:type="dxa"/>
            <w:tcBorders>
              <w:top w:val="nil"/>
              <w:left w:val="nil"/>
              <w:bottom w:val="nil"/>
              <w:right w:val="nil"/>
            </w:tcBorders>
            <w:tcMar>
              <w:top w:w="100" w:type="dxa"/>
              <w:left w:w="100" w:type="dxa"/>
              <w:bottom w:w="100" w:type="dxa"/>
              <w:right w:w="100" w:type="dxa"/>
            </w:tcMar>
          </w:tcPr>
          <w:p w14:paraId="6177EF5F" w14:textId="77777777" w:rsidR="00265466" w:rsidRDefault="00265466" w:rsidP="00265466">
            <w:pPr>
              <w:jc w:val="right"/>
            </w:pPr>
            <w:r>
              <w:t>7.00%</w:t>
            </w:r>
          </w:p>
        </w:tc>
      </w:tr>
      <w:tr w:rsidR="00265466" w14:paraId="5F81D067" w14:textId="77777777" w:rsidTr="00F87B7A">
        <w:trPr>
          <w:trHeight w:val="184"/>
        </w:trPr>
        <w:tc>
          <w:tcPr>
            <w:tcW w:w="3760" w:type="dxa"/>
          </w:tcPr>
          <w:p w14:paraId="5CC49403" w14:textId="77777777" w:rsidR="00265466" w:rsidRDefault="00265466" w:rsidP="00265466">
            <w:pPr>
              <w:rPr>
                <w:sz w:val="18"/>
                <w:szCs w:val="18"/>
              </w:rPr>
            </w:pPr>
            <w:r>
              <w:rPr>
                <w:sz w:val="18"/>
                <w:szCs w:val="18"/>
              </w:rPr>
              <w:lastRenderedPageBreak/>
              <w:t>Elderly population</w:t>
            </w:r>
          </w:p>
        </w:tc>
        <w:tc>
          <w:tcPr>
            <w:tcW w:w="800" w:type="dxa"/>
            <w:tcBorders>
              <w:top w:val="nil"/>
              <w:left w:val="nil"/>
              <w:bottom w:val="nil"/>
              <w:right w:val="nil"/>
            </w:tcBorders>
            <w:tcMar>
              <w:top w:w="100" w:type="dxa"/>
              <w:left w:w="100" w:type="dxa"/>
              <w:bottom w:w="100" w:type="dxa"/>
              <w:right w:w="100" w:type="dxa"/>
            </w:tcMar>
          </w:tcPr>
          <w:p w14:paraId="7C6F2515" w14:textId="533BFADA" w:rsidR="00265466" w:rsidRDefault="00F87B7A" w:rsidP="00265466">
            <w:pPr>
              <w:jc w:val="right"/>
            </w:pPr>
            <w:r>
              <w:t>12.7</w:t>
            </w:r>
            <w:r w:rsidR="00265466">
              <w:t>%</w:t>
            </w:r>
          </w:p>
        </w:tc>
        <w:tc>
          <w:tcPr>
            <w:tcW w:w="800" w:type="dxa"/>
            <w:tcBorders>
              <w:top w:val="nil"/>
              <w:left w:val="nil"/>
              <w:bottom w:val="nil"/>
              <w:right w:val="nil"/>
            </w:tcBorders>
            <w:tcMar>
              <w:top w:w="100" w:type="dxa"/>
              <w:left w:w="100" w:type="dxa"/>
              <w:bottom w:w="100" w:type="dxa"/>
              <w:right w:w="100" w:type="dxa"/>
            </w:tcMar>
          </w:tcPr>
          <w:p w14:paraId="4EEE8958" w14:textId="53DB3C54" w:rsidR="00265466" w:rsidRDefault="00F87B7A" w:rsidP="00265466">
            <w:pPr>
              <w:jc w:val="right"/>
            </w:pPr>
            <w:r>
              <w:t>13.9</w:t>
            </w:r>
            <w:r w:rsidR="00265466">
              <w:t>%</w:t>
            </w:r>
          </w:p>
        </w:tc>
        <w:tc>
          <w:tcPr>
            <w:tcW w:w="800" w:type="dxa"/>
            <w:tcBorders>
              <w:top w:val="nil"/>
              <w:left w:val="nil"/>
              <w:bottom w:val="nil"/>
              <w:right w:val="nil"/>
            </w:tcBorders>
            <w:tcMar>
              <w:top w:w="100" w:type="dxa"/>
              <w:left w:w="100" w:type="dxa"/>
              <w:bottom w:w="100" w:type="dxa"/>
              <w:right w:w="100" w:type="dxa"/>
            </w:tcMar>
          </w:tcPr>
          <w:p w14:paraId="3017D268" w14:textId="0959503A" w:rsidR="00265466" w:rsidRDefault="00F87B7A" w:rsidP="00265466">
            <w:pPr>
              <w:jc w:val="right"/>
            </w:pPr>
            <w:r>
              <w:t>15.1</w:t>
            </w:r>
            <w:r w:rsidR="00265466">
              <w:t>%</w:t>
            </w:r>
          </w:p>
        </w:tc>
        <w:tc>
          <w:tcPr>
            <w:tcW w:w="1040" w:type="dxa"/>
            <w:tcBorders>
              <w:top w:val="nil"/>
              <w:left w:val="nil"/>
              <w:bottom w:val="nil"/>
              <w:right w:val="nil"/>
            </w:tcBorders>
            <w:tcMar>
              <w:top w:w="100" w:type="dxa"/>
              <w:left w:w="100" w:type="dxa"/>
              <w:bottom w:w="100" w:type="dxa"/>
              <w:right w:w="100" w:type="dxa"/>
            </w:tcMar>
          </w:tcPr>
          <w:p w14:paraId="1CEFA6AA" w14:textId="77777777" w:rsidR="00265466" w:rsidRDefault="00265466" w:rsidP="00265466">
            <w:pPr>
              <w:jc w:val="right"/>
            </w:pPr>
            <w:r>
              <w:t>10.90%</w:t>
            </w:r>
          </w:p>
        </w:tc>
        <w:tc>
          <w:tcPr>
            <w:tcW w:w="1000" w:type="dxa"/>
            <w:tcBorders>
              <w:top w:val="nil"/>
              <w:left w:val="nil"/>
              <w:bottom w:val="nil"/>
              <w:right w:val="nil"/>
            </w:tcBorders>
            <w:tcMar>
              <w:top w:w="100" w:type="dxa"/>
              <w:left w:w="100" w:type="dxa"/>
              <w:bottom w:w="100" w:type="dxa"/>
              <w:right w:w="100" w:type="dxa"/>
            </w:tcMar>
          </w:tcPr>
          <w:p w14:paraId="30D99B27" w14:textId="77777777" w:rsidR="00265466" w:rsidRDefault="00265466" w:rsidP="00265466">
            <w:pPr>
              <w:jc w:val="right"/>
            </w:pPr>
            <w:r>
              <w:t>7.40%</w:t>
            </w:r>
          </w:p>
        </w:tc>
        <w:tc>
          <w:tcPr>
            <w:tcW w:w="900" w:type="dxa"/>
            <w:tcBorders>
              <w:top w:val="nil"/>
              <w:left w:val="nil"/>
              <w:bottom w:val="nil"/>
              <w:right w:val="nil"/>
            </w:tcBorders>
            <w:tcMar>
              <w:top w:w="100" w:type="dxa"/>
              <w:left w:w="100" w:type="dxa"/>
              <w:bottom w:w="100" w:type="dxa"/>
              <w:right w:w="100" w:type="dxa"/>
            </w:tcMar>
          </w:tcPr>
          <w:p w14:paraId="27220761" w14:textId="77777777" w:rsidR="00265466" w:rsidRDefault="00265466" w:rsidP="00265466">
            <w:pPr>
              <w:jc w:val="right"/>
            </w:pPr>
            <w:r>
              <w:t>8.90%</w:t>
            </w:r>
          </w:p>
        </w:tc>
      </w:tr>
      <w:tr w:rsidR="00265466" w14:paraId="20E2E711" w14:textId="77777777" w:rsidTr="00F87B7A">
        <w:trPr>
          <w:trHeight w:val="48"/>
        </w:trPr>
        <w:tc>
          <w:tcPr>
            <w:tcW w:w="3760" w:type="dxa"/>
          </w:tcPr>
          <w:p w14:paraId="1224FA27" w14:textId="77777777" w:rsidR="00265466" w:rsidRDefault="00265466" w:rsidP="00265466">
            <w:pPr>
              <w:rPr>
                <w:sz w:val="18"/>
                <w:szCs w:val="18"/>
              </w:rPr>
            </w:pPr>
            <w:r>
              <w:rPr>
                <w:sz w:val="18"/>
                <w:szCs w:val="18"/>
              </w:rPr>
              <w:t>Migrant population</w:t>
            </w:r>
          </w:p>
        </w:tc>
        <w:tc>
          <w:tcPr>
            <w:tcW w:w="800" w:type="dxa"/>
            <w:tcBorders>
              <w:top w:val="nil"/>
              <w:left w:val="nil"/>
              <w:bottom w:val="nil"/>
              <w:right w:val="nil"/>
            </w:tcBorders>
            <w:tcMar>
              <w:top w:w="100" w:type="dxa"/>
              <w:left w:w="100" w:type="dxa"/>
              <w:bottom w:w="100" w:type="dxa"/>
              <w:right w:w="100" w:type="dxa"/>
            </w:tcMar>
          </w:tcPr>
          <w:p w14:paraId="2F9D71E0" w14:textId="77777777" w:rsidR="00265466" w:rsidRDefault="00265466" w:rsidP="00265466">
            <w:pPr>
              <w:jc w:val="right"/>
            </w:pPr>
            <w:r>
              <w:t>2.00%</w:t>
            </w:r>
          </w:p>
        </w:tc>
        <w:tc>
          <w:tcPr>
            <w:tcW w:w="800" w:type="dxa"/>
            <w:tcBorders>
              <w:top w:val="nil"/>
              <w:left w:val="nil"/>
              <w:bottom w:val="nil"/>
              <w:right w:val="nil"/>
            </w:tcBorders>
            <w:tcMar>
              <w:top w:w="100" w:type="dxa"/>
              <w:left w:w="100" w:type="dxa"/>
              <w:bottom w:w="100" w:type="dxa"/>
              <w:right w:w="100" w:type="dxa"/>
            </w:tcMar>
          </w:tcPr>
          <w:p w14:paraId="462671B2" w14:textId="77777777" w:rsidR="00265466" w:rsidRDefault="00265466" w:rsidP="00265466">
            <w:pPr>
              <w:jc w:val="right"/>
            </w:pPr>
            <w:r>
              <w:t>2.20%</w:t>
            </w:r>
          </w:p>
        </w:tc>
        <w:tc>
          <w:tcPr>
            <w:tcW w:w="800" w:type="dxa"/>
            <w:tcBorders>
              <w:top w:val="nil"/>
              <w:left w:val="nil"/>
              <w:bottom w:val="nil"/>
              <w:right w:val="nil"/>
            </w:tcBorders>
            <w:tcMar>
              <w:top w:w="100" w:type="dxa"/>
              <w:left w:w="100" w:type="dxa"/>
              <w:bottom w:w="100" w:type="dxa"/>
              <w:right w:w="100" w:type="dxa"/>
            </w:tcMar>
          </w:tcPr>
          <w:p w14:paraId="4BE492E7" w14:textId="77777777" w:rsidR="00265466" w:rsidRDefault="00265466" w:rsidP="00265466">
            <w:pPr>
              <w:jc w:val="right"/>
            </w:pPr>
            <w:r>
              <w:t>1.70%</w:t>
            </w:r>
          </w:p>
        </w:tc>
        <w:tc>
          <w:tcPr>
            <w:tcW w:w="1040" w:type="dxa"/>
            <w:tcBorders>
              <w:top w:val="nil"/>
              <w:left w:val="nil"/>
              <w:bottom w:val="nil"/>
              <w:right w:val="nil"/>
            </w:tcBorders>
            <w:tcMar>
              <w:top w:w="100" w:type="dxa"/>
              <w:left w:w="100" w:type="dxa"/>
              <w:bottom w:w="100" w:type="dxa"/>
              <w:right w:w="100" w:type="dxa"/>
            </w:tcMar>
          </w:tcPr>
          <w:p w14:paraId="1AE48E93" w14:textId="77777777" w:rsidR="00265466" w:rsidRDefault="00265466" w:rsidP="00265466">
            <w:pPr>
              <w:jc w:val="right"/>
            </w:pPr>
            <w:r>
              <w:t>1.20%</w:t>
            </w:r>
          </w:p>
        </w:tc>
        <w:tc>
          <w:tcPr>
            <w:tcW w:w="1000" w:type="dxa"/>
            <w:tcBorders>
              <w:top w:val="nil"/>
              <w:left w:val="nil"/>
              <w:bottom w:val="nil"/>
              <w:right w:val="nil"/>
            </w:tcBorders>
            <w:tcMar>
              <w:top w:w="100" w:type="dxa"/>
              <w:left w:w="100" w:type="dxa"/>
              <w:bottom w:w="100" w:type="dxa"/>
              <w:right w:w="100" w:type="dxa"/>
            </w:tcMar>
          </w:tcPr>
          <w:p w14:paraId="4D3E4B08" w14:textId="77777777" w:rsidR="00265466" w:rsidRDefault="00265466" w:rsidP="00265466">
            <w:pPr>
              <w:jc w:val="right"/>
            </w:pPr>
            <w:r>
              <w:t>0.30%</w:t>
            </w:r>
          </w:p>
        </w:tc>
        <w:tc>
          <w:tcPr>
            <w:tcW w:w="900" w:type="dxa"/>
            <w:tcBorders>
              <w:top w:val="nil"/>
              <w:left w:val="nil"/>
              <w:bottom w:val="nil"/>
              <w:right w:val="nil"/>
            </w:tcBorders>
            <w:tcMar>
              <w:top w:w="100" w:type="dxa"/>
              <w:left w:w="100" w:type="dxa"/>
              <w:bottom w:w="100" w:type="dxa"/>
              <w:right w:w="100" w:type="dxa"/>
            </w:tcMar>
          </w:tcPr>
          <w:p w14:paraId="69D1637F" w14:textId="77777777" w:rsidR="00265466" w:rsidRDefault="00265466" w:rsidP="00265466">
            <w:pPr>
              <w:jc w:val="right"/>
            </w:pPr>
            <w:r>
              <w:t>1.20%</w:t>
            </w:r>
          </w:p>
        </w:tc>
      </w:tr>
      <w:tr w:rsidR="00265466" w14:paraId="1CEAEBA5" w14:textId="77777777" w:rsidTr="00265466">
        <w:trPr>
          <w:trHeight w:val="285"/>
        </w:trPr>
        <w:tc>
          <w:tcPr>
            <w:tcW w:w="3760" w:type="dxa"/>
          </w:tcPr>
          <w:p w14:paraId="3BC7282E" w14:textId="77777777" w:rsidR="00265466" w:rsidRDefault="00265466" w:rsidP="00265466">
            <w:pPr>
              <w:rPr>
                <w:sz w:val="18"/>
                <w:szCs w:val="18"/>
              </w:rPr>
            </w:pPr>
            <w:r>
              <w:rPr>
                <w:sz w:val="18"/>
                <w:szCs w:val="18"/>
              </w:rPr>
              <w:t>Child population</w:t>
            </w:r>
          </w:p>
        </w:tc>
        <w:tc>
          <w:tcPr>
            <w:tcW w:w="800" w:type="dxa"/>
            <w:tcBorders>
              <w:top w:val="nil"/>
              <w:left w:val="nil"/>
              <w:bottom w:val="nil"/>
              <w:right w:val="nil"/>
            </w:tcBorders>
            <w:tcMar>
              <w:top w:w="100" w:type="dxa"/>
              <w:left w:w="100" w:type="dxa"/>
              <w:bottom w:w="100" w:type="dxa"/>
              <w:right w:w="100" w:type="dxa"/>
            </w:tcMar>
          </w:tcPr>
          <w:p w14:paraId="625D3E9B" w14:textId="77777777" w:rsidR="00265466" w:rsidRDefault="00265466" w:rsidP="00265466">
            <w:pPr>
              <w:jc w:val="right"/>
            </w:pPr>
            <w:r>
              <w:t>3.20%</w:t>
            </w:r>
          </w:p>
        </w:tc>
        <w:tc>
          <w:tcPr>
            <w:tcW w:w="800" w:type="dxa"/>
            <w:tcBorders>
              <w:top w:val="nil"/>
              <w:left w:val="nil"/>
              <w:bottom w:val="nil"/>
              <w:right w:val="nil"/>
            </w:tcBorders>
            <w:tcMar>
              <w:top w:w="100" w:type="dxa"/>
              <w:left w:w="100" w:type="dxa"/>
              <w:bottom w:w="100" w:type="dxa"/>
              <w:right w:w="100" w:type="dxa"/>
            </w:tcMar>
          </w:tcPr>
          <w:p w14:paraId="2E37AE9B" w14:textId="77777777" w:rsidR="00265466" w:rsidRDefault="00265466" w:rsidP="00265466">
            <w:pPr>
              <w:jc w:val="right"/>
            </w:pPr>
            <w:r>
              <w:t>2.90%</w:t>
            </w:r>
          </w:p>
        </w:tc>
        <w:tc>
          <w:tcPr>
            <w:tcW w:w="800" w:type="dxa"/>
            <w:tcBorders>
              <w:top w:val="nil"/>
              <w:left w:val="nil"/>
              <w:bottom w:val="nil"/>
              <w:right w:val="nil"/>
            </w:tcBorders>
            <w:tcMar>
              <w:top w:w="100" w:type="dxa"/>
              <w:left w:w="100" w:type="dxa"/>
              <w:bottom w:w="100" w:type="dxa"/>
              <w:right w:w="100" w:type="dxa"/>
            </w:tcMar>
          </w:tcPr>
          <w:p w14:paraId="2932322C" w14:textId="77777777" w:rsidR="00265466" w:rsidRDefault="00265466" w:rsidP="00265466">
            <w:pPr>
              <w:jc w:val="right"/>
            </w:pPr>
            <w:r>
              <w:t>3.10%</w:t>
            </w:r>
          </w:p>
        </w:tc>
        <w:tc>
          <w:tcPr>
            <w:tcW w:w="1040" w:type="dxa"/>
            <w:tcBorders>
              <w:top w:val="nil"/>
              <w:left w:val="nil"/>
              <w:bottom w:val="nil"/>
              <w:right w:val="nil"/>
            </w:tcBorders>
            <w:tcMar>
              <w:top w:w="100" w:type="dxa"/>
              <w:left w:w="100" w:type="dxa"/>
              <w:bottom w:w="100" w:type="dxa"/>
              <w:right w:w="100" w:type="dxa"/>
            </w:tcMar>
          </w:tcPr>
          <w:p w14:paraId="05BB8EDD" w14:textId="77777777" w:rsidR="00265466" w:rsidRDefault="00265466" w:rsidP="00265466">
            <w:pPr>
              <w:jc w:val="right"/>
            </w:pPr>
            <w:r>
              <w:t>4.10%</w:t>
            </w:r>
          </w:p>
        </w:tc>
        <w:tc>
          <w:tcPr>
            <w:tcW w:w="1000" w:type="dxa"/>
            <w:tcBorders>
              <w:top w:val="nil"/>
              <w:left w:val="nil"/>
              <w:bottom w:val="nil"/>
              <w:right w:val="nil"/>
            </w:tcBorders>
            <w:tcMar>
              <w:top w:w="100" w:type="dxa"/>
              <w:left w:w="100" w:type="dxa"/>
              <w:bottom w:w="100" w:type="dxa"/>
              <w:right w:w="100" w:type="dxa"/>
            </w:tcMar>
          </w:tcPr>
          <w:p w14:paraId="076475B4" w14:textId="77777777" w:rsidR="00265466" w:rsidRDefault="00265466" w:rsidP="00265466">
            <w:pPr>
              <w:jc w:val="right"/>
            </w:pPr>
            <w:r>
              <w:t>4.00%</w:t>
            </w:r>
          </w:p>
        </w:tc>
        <w:tc>
          <w:tcPr>
            <w:tcW w:w="900" w:type="dxa"/>
            <w:tcBorders>
              <w:top w:val="nil"/>
              <w:left w:val="nil"/>
              <w:bottom w:val="nil"/>
              <w:right w:val="nil"/>
            </w:tcBorders>
            <w:tcMar>
              <w:top w:w="100" w:type="dxa"/>
              <w:left w:w="100" w:type="dxa"/>
              <w:bottom w:w="100" w:type="dxa"/>
              <w:right w:w="100" w:type="dxa"/>
            </w:tcMar>
          </w:tcPr>
          <w:p w14:paraId="34041D75" w14:textId="77777777" w:rsidR="00265466" w:rsidRDefault="00265466" w:rsidP="00265466">
            <w:pPr>
              <w:jc w:val="right"/>
            </w:pPr>
            <w:r>
              <w:t>5.40%</w:t>
            </w:r>
          </w:p>
        </w:tc>
      </w:tr>
      <w:tr w:rsidR="00265466" w14:paraId="6C510F1D" w14:textId="77777777" w:rsidTr="00265466">
        <w:trPr>
          <w:trHeight w:val="285"/>
        </w:trPr>
        <w:tc>
          <w:tcPr>
            <w:tcW w:w="3760" w:type="dxa"/>
          </w:tcPr>
          <w:p w14:paraId="7B5EE01F" w14:textId="77777777" w:rsidR="00265466" w:rsidRDefault="00265466" w:rsidP="00265466">
            <w:pPr>
              <w:rPr>
                <w:sz w:val="18"/>
                <w:szCs w:val="18"/>
              </w:rPr>
            </w:pPr>
            <w:r>
              <w:rPr>
                <w:sz w:val="18"/>
                <w:szCs w:val="18"/>
              </w:rPr>
              <w:t>Number of unscheduled outages</w:t>
            </w:r>
          </w:p>
        </w:tc>
        <w:tc>
          <w:tcPr>
            <w:tcW w:w="800" w:type="dxa"/>
            <w:tcBorders>
              <w:top w:val="nil"/>
              <w:left w:val="nil"/>
              <w:bottom w:val="nil"/>
              <w:right w:val="nil"/>
            </w:tcBorders>
            <w:tcMar>
              <w:top w:w="100" w:type="dxa"/>
              <w:left w:w="100" w:type="dxa"/>
              <w:bottom w:w="100" w:type="dxa"/>
              <w:right w:w="100" w:type="dxa"/>
            </w:tcMar>
          </w:tcPr>
          <w:p w14:paraId="01C8F489" w14:textId="77777777" w:rsidR="00265466" w:rsidRDefault="00265466" w:rsidP="00265466">
            <w:pPr>
              <w:jc w:val="right"/>
            </w:pPr>
            <w:r>
              <w:t>1.677</w:t>
            </w:r>
          </w:p>
        </w:tc>
        <w:tc>
          <w:tcPr>
            <w:tcW w:w="800" w:type="dxa"/>
            <w:tcBorders>
              <w:top w:val="nil"/>
              <w:left w:val="nil"/>
              <w:bottom w:val="nil"/>
              <w:right w:val="nil"/>
            </w:tcBorders>
            <w:tcMar>
              <w:top w:w="100" w:type="dxa"/>
              <w:left w:w="100" w:type="dxa"/>
              <w:bottom w:w="100" w:type="dxa"/>
              <w:right w:w="100" w:type="dxa"/>
            </w:tcMar>
          </w:tcPr>
          <w:p w14:paraId="1559D535" w14:textId="77777777" w:rsidR="00265466" w:rsidRDefault="00265466" w:rsidP="00265466">
            <w:pPr>
              <w:jc w:val="right"/>
            </w:pPr>
            <w:r>
              <w:t>0.918</w:t>
            </w:r>
          </w:p>
        </w:tc>
        <w:tc>
          <w:tcPr>
            <w:tcW w:w="800" w:type="dxa"/>
            <w:tcBorders>
              <w:top w:val="nil"/>
              <w:left w:val="nil"/>
              <w:bottom w:val="nil"/>
              <w:right w:val="nil"/>
            </w:tcBorders>
            <w:tcMar>
              <w:top w:w="100" w:type="dxa"/>
              <w:left w:w="100" w:type="dxa"/>
              <w:bottom w:w="100" w:type="dxa"/>
              <w:right w:w="100" w:type="dxa"/>
            </w:tcMar>
          </w:tcPr>
          <w:p w14:paraId="325516E4" w14:textId="77777777" w:rsidR="00265466" w:rsidRDefault="00265466" w:rsidP="00265466">
            <w:pPr>
              <w:jc w:val="right"/>
            </w:pPr>
            <w:r>
              <w:t>0.253</w:t>
            </w:r>
          </w:p>
        </w:tc>
        <w:tc>
          <w:tcPr>
            <w:tcW w:w="1040" w:type="dxa"/>
            <w:tcBorders>
              <w:top w:val="nil"/>
              <w:left w:val="nil"/>
              <w:bottom w:val="nil"/>
              <w:right w:val="nil"/>
            </w:tcBorders>
            <w:tcMar>
              <w:top w:w="100" w:type="dxa"/>
              <w:left w:w="100" w:type="dxa"/>
              <w:bottom w:w="100" w:type="dxa"/>
              <w:right w:w="100" w:type="dxa"/>
            </w:tcMar>
          </w:tcPr>
          <w:p w14:paraId="055C01FF" w14:textId="77777777" w:rsidR="00265466" w:rsidRDefault="00265466" w:rsidP="00265466">
            <w:pPr>
              <w:jc w:val="right"/>
            </w:pPr>
            <w:r>
              <w:t>6.331</w:t>
            </w:r>
          </w:p>
        </w:tc>
        <w:tc>
          <w:tcPr>
            <w:tcW w:w="1000" w:type="dxa"/>
            <w:tcBorders>
              <w:top w:val="nil"/>
              <w:left w:val="nil"/>
              <w:bottom w:val="nil"/>
              <w:right w:val="nil"/>
            </w:tcBorders>
            <w:tcMar>
              <w:top w:w="100" w:type="dxa"/>
              <w:left w:w="100" w:type="dxa"/>
              <w:bottom w:w="100" w:type="dxa"/>
              <w:right w:w="100" w:type="dxa"/>
            </w:tcMar>
          </w:tcPr>
          <w:p w14:paraId="35C54CF5" w14:textId="77777777" w:rsidR="00265466" w:rsidRDefault="00265466" w:rsidP="00265466">
            <w:pPr>
              <w:jc w:val="right"/>
            </w:pPr>
            <w:r>
              <w:t>15.079</w:t>
            </w:r>
          </w:p>
        </w:tc>
        <w:tc>
          <w:tcPr>
            <w:tcW w:w="900" w:type="dxa"/>
            <w:tcBorders>
              <w:top w:val="nil"/>
              <w:left w:val="nil"/>
              <w:bottom w:val="nil"/>
              <w:right w:val="nil"/>
            </w:tcBorders>
            <w:tcMar>
              <w:top w:w="100" w:type="dxa"/>
              <w:left w:w="100" w:type="dxa"/>
              <w:bottom w:w="100" w:type="dxa"/>
              <w:right w:w="100" w:type="dxa"/>
            </w:tcMar>
          </w:tcPr>
          <w:p w14:paraId="6D262B1E" w14:textId="77777777" w:rsidR="00265466" w:rsidRDefault="00265466" w:rsidP="00265466">
            <w:pPr>
              <w:jc w:val="right"/>
            </w:pPr>
            <w:r>
              <w:t>1.438</w:t>
            </w:r>
          </w:p>
        </w:tc>
      </w:tr>
      <w:tr w:rsidR="00265466" w14:paraId="2175CB32" w14:textId="77777777" w:rsidTr="00265466">
        <w:trPr>
          <w:trHeight w:val="285"/>
        </w:trPr>
        <w:tc>
          <w:tcPr>
            <w:tcW w:w="3760" w:type="dxa"/>
          </w:tcPr>
          <w:p w14:paraId="7CBDB70E" w14:textId="77777777" w:rsidR="00265466" w:rsidRPr="00773A6E" w:rsidRDefault="00265466" w:rsidP="00265466">
            <w:pPr>
              <w:rPr>
                <w:sz w:val="18"/>
                <w:szCs w:val="18"/>
              </w:rPr>
            </w:pPr>
            <w:r w:rsidRPr="00773A6E">
              <w:rPr>
                <w:sz w:val="18"/>
                <w:szCs w:val="18"/>
              </w:rPr>
              <w:t>Time of unscheduled outages (minutes)</w:t>
            </w:r>
          </w:p>
        </w:tc>
        <w:tc>
          <w:tcPr>
            <w:tcW w:w="800" w:type="dxa"/>
            <w:tcBorders>
              <w:top w:val="nil"/>
              <w:left w:val="nil"/>
              <w:bottom w:val="nil"/>
              <w:right w:val="nil"/>
            </w:tcBorders>
            <w:tcMar>
              <w:top w:w="100" w:type="dxa"/>
              <w:left w:w="100" w:type="dxa"/>
              <w:bottom w:w="100" w:type="dxa"/>
              <w:right w:w="100" w:type="dxa"/>
            </w:tcMar>
          </w:tcPr>
          <w:p w14:paraId="1524871B" w14:textId="77777777" w:rsidR="00265466" w:rsidRDefault="00265466" w:rsidP="00265466">
            <w:pPr>
              <w:jc w:val="right"/>
            </w:pPr>
            <w:r>
              <w:t>674.4</w:t>
            </w:r>
          </w:p>
        </w:tc>
        <w:tc>
          <w:tcPr>
            <w:tcW w:w="800" w:type="dxa"/>
            <w:tcBorders>
              <w:top w:val="nil"/>
              <w:left w:val="nil"/>
              <w:bottom w:val="nil"/>
              <w:right w:val="nil"/>
            </w:tcBorders>
            <w:tcMar>
              <w:top w:w="100" w:type="dxa"/>
              <w:left w:w="100" w:type="dxa"/>
              <w:bottom w:w="100" w:type="dxa"/>
              <w:right w:w="100" w:type="dxa"/>
            </w:tcMar>
          </w:tcPr>
          <w:p w14:paraId="355FC364" w14:textId="77777777" w:rsidR="00265466" w:rsidRDefault="00265466" w:rsidP="00265466">
            <w:pPr>
              <w:jc w:val="right"/>
            </w:pPr>
            <w:r>
              <w:t>269.84</w:t>
            </w:r>
          </w:p>
        </w:tc>
        <w:tc>
          <w:tcPr>
            <w:tcW w:w="800" w:type="dxa"/>
            <w:tcBorders>
              <w:top w:val="nil"/>
              <w:left w:val="nil"/>
              <w:bottom w:val="nil"/>
              <w:right w:val="nil"/>
            </w:tcBorders>
            <w:tcMar>
              <w:top w:w="100" w:type="dxa"/>
              <w:left w:w="100" w:type="dxa"/>
              <w:bottom w:w="100" w:type="dxa"/>
              <w:right w:w="100" w:type="dxa"/>
            </w:tcMar>
          </w:tcPr>
          <w:p w14:paraId="35D7B017" w14:textId="77777777" w:rsidR="00265466" w:rsidRDefault="00265466" w:rsidP="00265466">
            <w:pPr>
              <w:jc w:val="right"/>
            </w:pPr>
            <w:r>
              <w:t>65.921</w:t>
            </w:r>
          </w:p>
        </w:tc>
        <w:tc>
          <w:tcPr>
            <w:tcW w:w="1040" w:type="dxa"/>
            <w:tcBorders>
              <w:top w:val="nil"/>
              <w:left w:val="nil"/>
              <w:bottom w:val="nil"/>
              <w:right w:val="nil"/>
            </w:tcBorders>
            <w:tcMar>
              <w:top w:w="100" w:type="dxa"/>
              <w:left w:w="100" w:type="dxa"/>
              <w:bottom w:w="100" w:type="dxa"/>
              <w:right w:w="100" w:type="dxa"/>
            </w:tcMar>
          </w:tcPr>
          <w:p w14:paraId="2E8B3740" w14:textId="77777777" w:rsidR="00265466" w:rsidRDefault="00265466" w:rsidP="00265466">
            <w:pPr>
              <w:jc w:val="right"/>
            </w:pPr>
            <w:r>
              <w:t>2373.119</w:t>
            </w:r>
          </w:p>
        </w:tc>
        <w:tc>
          <w:tcPr>
            <w:tcW w:w="1000" w:type="dxa"/>
            <w:tcBorders>
              <w:top w:val="nil"/>
              <w:left w:val="nil"/>
              <w:bottom w:val="nil"/>
              <w:right w:val="nil"/>
            </w:tcBorders>
            <w:tcMar>
              <w:top w:w="100" w:type="dxa"/>
              <w:left w:w="100" w:type="dxa"/>
              <w:bottom w:w="100" w:type="dxa"/>
              <w:right w:w="100" w:type="dxa"/>
            </w:tcMar>
          </w:tcPr>
          <w:p w14:paraId="2DD3645F" w14:textId="77777777" w:rsidR="00265466" w:rsidRDefault="00265466" w:rsidP="00265466">
            <w:pPr>
              <w:jc w:val="right"/>
            </w:pPr>
            <w:r>
              <w:t>7072.465</w:t>
            </w:r>
          </w:p>
        </w:tc>
        <w:tc>
          <w:tcPr>
            <w:tcW w:w="900" w:type="dxa"/>
            <w:tcBorders>
              <w:top w:val="nil"/>
              <w:left w:val="nil"/>
              <w:bottom w:val="nil"/>
              <w:right w:val="nil"/>
            </w:tcBorders>
            <w:tcMar>
              <w:top w:w="100" w:type="dxa"/>
              <w:left w:w="100" w:type="dxa"/>
              <w:bottom w:w="100" w:type="dxa"/>
              <w:right w:w="100" w:type="dxa"/>
            </w:tcMar>
          </w:tcPr>
          <w:p w14:paraId="21BE6D5A" w14:textId="77777777" w:rsidR="00265466" w:rsidRDefault="00265466" w:rsidP="00265466">
            <w:pPr>
              <w:jc w:val="right"/>
            </w:pPr>
            <w:r>
              <w:t>460.672</w:t>
            </w:r>
          </w:p>
        </w:tc>
      </w:tr>
      <w:tr w:rsidR="00265466" w14:paraId="30F3A5A4" w14:textId="77777777" w:rsidTr="00265466">
        <w:trPr>
          <w:trHeight w:val="285"/>
        </w:trPr>
        <w:tc>
          <w:tcPr>
            <w:tcW w:w="3760" w:type="dxa"/>
          </w:tcPr>
          <w:p w14:paraId="3F010B2A" w14:textId="49BC3CA2" w:rsidR="00265466" w:rsidRPr="00773A6E" w:rsidRDefault="00265466" w:rsidP="00360503">
            <w:pPr>
              <w:rPr>
                <w:sz w:val="18"/>
                <w:szCs w:val="18"/>
              </w:rPr>
            </w:pPr>
            <w:r w:rsidRPr="00773A6E">
              <w:rPr>
                <w:sz w:val="18"/>
                <w:szCs w:val="18"/>
              </w:rPr>
              <w:t xml:space="preserve">Number of critical </w:t>
            </w:r>
            <w:r w:rsidR="00360503">
              <w:rPr>
                <w:sz w:val="18"/>
                <w:szCs w:val="18"/>
              </w:rPr>
              <w:t>infrastructure</w:t>
            </w:r>
            <w:r w:rsidRPr="00773A6E">
              <w:rPr>
                <w:sz w:val="18"/>
                <w:szCs w:val="18"/>
              </w:rPr>
              <w:t xml:space="preserve"> customers</w:t>
            </w:r>
          </w:p>
        </w:tc>
        <w:tc>
          <w:tcPr>
            <w:tcW w:w="800" w:type="dxa"/>
            <w:tcBorders>
              <w:top w:val="nil"/>
              <w:left w:val="nil"/>
              <w:bottom w:val="nil"/>
              <w:right w:val="nil"/>
            </w:tcBorders>
            <w:tcMar>
              <w:top w:w="100" w:type="dxa"/>
              <w:left w:w="100" w:type="dxa"/>
              <w:bottom w:w="100" w:type="dxa"/>
              <w:right w:w="100" w:type="dxa"/>
            </w:tcMar>
          </w:tcPr>
          <w:p w14:paraId="26162778" w14:textId="77777777" w:rsidR="00265466" w:rsidRDefault="00265466" w:rsidP="00265466">
            <w:pPr>
              <w:jc w:val="right"/>
            </w:pPr>
            <w:r>
              <w:t>0.012</w:t>
            </w:r>
          </w:p>
        </w:tc>
        <w:tc>
          <w:tcPr>
            <w:tcW w:w="800" w:type="dxa"/>
            <w:tcBorders>
              <w:top w:val="nil"/>
              <w:left w:val="nil"/>
              <w:bottom w:val="nil"/>
              <w:right w:val="nil"/>
            </w:tcBorders>
            <w:tcMar>
              <w:top w:w="100" w:type="dxa"/>
              <w:left w:w="100" w:type="dxa"/>
              <w:bottom w:w="100" w:type="dxa"/>
              <w:right w:w="100" w:type="dxa"/>
            </w:tcMar>
          </w:tcPr>
          <w:p w14:paraId="3AF4FEEF" w14:textId="77777777" w:rsidR="00265466" w:rsidRDefault="00265466" w:rsidP="00265466">
            <w:pPr>
              <w:jc w:val="right"/>
            </w:pPr>
            <w:r>
              <w:t>0.011</w:t>
            </w:r>
          </w:p>
        </w:tc>
        <w:tc>
          <w:tcPr>
            <w:tcW w:w="800" w:type="dxa"/>
            <w:tcBorders>
              <w:top w:val="nil"/>
              <w:left w:val="nil"/>
              <w:bottom w:val="nil"/>
              <w:right w:val="nil"/>
            </w:tcBorders>
            <w:tcMar>
              <w:top w:w="100" w:type="dxa"/>
              <w:left w:w="100" w:type="dxa"/>
              <w:bottom w:w="100" w:type="dxa"/>
              <w:right w:w="100" w:type="dxa"/>
            </w:tcMar>
          </w:tcPr>
          <w:p w14:paraId="63E4F695" w14:textId="77777777" w:rsidR="00265466" w:rsidRDefault="00265466" w:rsidP="00265466">
            <w:pPr>
              <w:jc w:val="right"/>
            </w:pPr>
            <w:r>
              <w:t>0.007</w:t>
            </w:r>
          </w:p>
        </w:tc>
        <w:tc>
          <w:tcPr>
            <w:tcW w:w="1040" w:type="dxa"/>
            <w:tcBorders>
              <w:top w:val="nil"/>
              <w:left w:val="nil"/>
              <w:bottom w:val="nil"/>
              <w:right w:val="nil"/>
            </w:tcBorders>
            <w:tcMar>
              <w:top w:w="100" w:type="dxa"/>
              <w:left w:w="100" w:type="dxa"/>
              <w:bottom w:w="100" w:type="dxa"/>
              <w:right w:w="100" w:type="dxa"/>
            </w:tcMar>
          </w:tcPr>
          <w:p w14:paraId="61D49136" w14:textId="77777777" w:rsidR="00265466" w:rsidRDefault="00265466" w:rsidP="00265466">
            <w:pPr>
              <w:jc w:val="right"/>
            </w:pPr>
            <w:r>
              <w:t>0.216</w:t>
            </w:r>
          </w:p>
        </w:tc>
        <w:tc>
          <w:tcPr>
            <w:tcW w:w="1000" w:type="dxa"/>
            <w:tcBorders>
              <w:top w:val="nil"/>
              <w:left w:val="nil"/>
              <w:bottom w:val="nil"/>
              <w:right w:val="nil"/>
            </w:tcBorders>
            <w:tcMar>
              <w:top w:w="100" w:type="dxa"/>
              <w:left w:w="100" w:type="dxa"/>
              <w:bottom w:w="100" w:type="dxa"/>
              <w:right w:w="100" w:type="dxa"/>
            </w:tcMar>
          </w:tcPr>
          <w:p w14:paraId="32D3B1B7" w14:textId="77777777" w:rsidR="00265466" w:rsidRDefault="00265466" w:rsidP="00265466">
            <w:pPr>
              <w:jc w:val="right"/>
            </w:pPr>
            <w:r>
              <w:t>0</w:t>
            </w:r>
          </w:p>
        </w:tc>
        <w:tc>
          <w:tcPr>
            <w:tcW w:w="900" w:type="dxa"/>
            <w:tcBorders>
              <w:top w:val="nil"/>
              <w:left w:val="nil"/>
              <w:bottom w:val="nil"/>
              <w:right w:val="nil"/>
            </w:tcBorders>
            <w:tcMar>
              <w:top w:w="100" w:type="dxa"/>
              <w:left w:w="100" w:type="dxa"/>
              <w:bottom w:w="100" w:type="dxa"/>
              <w:right w:w="100" w:type="dxa"/>
            </w:tcMar>
          </w:tcPr>
          <w:p w14:paraId="7E557EEF" w14:textId="77777777" w:rsidR="00265466" w:rsidRDefault="00265466" w:rsidP="00265466">
            <w:pPr>
              <w:jc w:val="right"/>
            </w:pPr>
            <w:r>
              <w:t>0.205</w:t>
            </w:r>
          </w:p>
        </w:tc>
      </w:tr>
      <w:tr w:rsidR="00265466" w14:paraId="449CE39E" w14:textId="77777777" w:rsidTr="00265466">
        <w:trPr>
          <w:trHeight w:val="285"/>
        </w:trPr>
        <w:tc>
          <w:tcPr>
            <w:tcW w:w="3760" w:type="dxa"/>
          </w:tcPr>
          <w:p w14:paraId="0E264026" w14:textId="5A7BF2FA" w:rsidR="00265466" w:rsidRDefault="00265466" w:rsidP="00265466">
            <w:pPr>
              <w:rPr>
                <w:sz w:val="18"/>
                <w:szCs w:val="18"/>
              </w:rPr>
            </w:pPr>
            <w:r>
              <w:rPr>
                <w:sz w:val="18"/>
                <w:szCs w:val="18"/>
              </w:rPr>
              <w:t xml:space="preserve">Informal </w:t>
            </w:r>
            <w:r w:rsidR="00F87B7A">
              <w:rPr>
                <w:sz w:val="18"/>
                <w:szCs w:val="18"/>
              </w:rPr>
              <w:t>human</w:t>
            </w:r>
            <w:r>
              <w:rPr>
                <w:sz w:val="18"/>
                <w:szCs w:val="18"/>
              </w:rPr>
              <w:t xml:space="preserve"> </w:t>
            </w:r>
            <w:r w:rsidR="00F87B7A">
              <w:rPr>
                <w:sz w:val="18"/>
                <w:szCs w:val="18"/>
              </w:rPr>
              <w:t>settlements</w:t>
            </w:r>
          </w:p>
        </w:tc>
        <w:tc>
          <w:tcPr>
            <w:tcW w:w="800" w:type="dxa"/>
            <w:tcBorders>
              <w:top w:val="nil"/>
              <w:left w:val="nil"/>
              <w:bottom w:val="nil"/>
              <w:right w:val="nil"/>
            </w:tcBorders>
            <w:tcMar>
              <w:top w:w="100" w:type="dxa"/>
              <w:left w:w="100" w:type="dxa"/>
              <w:bottom w:w="100" w:type="dxa"/>
              <w:right w:w="100" w:type="dxa"/>
            </w:tcMar>
          </w:tcPr>
          <w:p w14:paraId="6C77B4CA" w14:textId="77777777" w:rsidR="00265466" w:rsidRDefault="00265466" w:rsidP="00265466">
            <w:pPr>
              <w:jc w:val="right"/>
            </w:pPr>
            <w:r>
              <w:t>0.30%</w:t>
            </w:r>
          </w:p>
        </w:tc>
        <w:tc>
          <w:tcPr>
            <w:tcW w:w="800" w:type="dxa"/>
            <w:tcBorders>
              <w:top w:val="nil"/>
              <w:left w:val="nil"/>
              <w:bottom w:val="nil"/>
              <w:right w:val="nil"/>
            </w:tcBorders>
            <w:tcMar>
              <w:top w:w="100" w:type="dxa"/>
              <w:left w:w="100" w:type="dxa"/>
              <w:bottom w:w="100" w:type="dxa"/>
              <w:right w:w="100" w:type="dxa"/>
            </w:tcMar>
          </w:tcPr>
          <w:p w14:paraId="475F920F" w14:textId="77777777" w:rsidR="00265466" w:rsidRDefault="00265466" w:rsidP="00265466">
            <w:pPr>
              <w:jc w:val="right"/>
            </w:pPr>
            <w:r>
              <w:t>0.00%</w:t>
            </w:r>
          </w:p>
        </w:tc>
        <w:tc>
          <w:tcPr>
            <w:tcW w:w="800" w:type="dxa"/>
            <w:tcBorders>
              <w:top w:val="nil"/>
              <w:left w:val="nil"/>
              <w:bottom w:val="nil"/>
              <w:right w:val="nil"/>
            </w:tcBorders>
            <w:tcMar>
              <w:top w:w="100" w:type="dxa"/>
              <w:left w:w="100" w:type="dxa"/>
              <w:bottom w:w="100" w:type="dxa"/>
              <w:right w:w="100" w:type="dxa"/>
            </w:tcMar>
          </w:tcPr>
          <w:p w14:paraId="387319D9" w14:textId="77777777" w:rsidR="00265466" w:rsidRDefault="00265466" w:rsidP="00265466">
            <w:pPr>
              <w:jc w:val="right"/>
            </w:pPr>
            <w:r>
              <w:t>0.10%</w:t>
            </w:r>
          </w:p>
        </w:tc>
        <w:tc>
          <w:tcPr>
            <w:tcW w:w="1040" w:type="dxa"/>
            <w:tcBorders>
              <w:top w:val="nil"/>
              <w:left w:val="nil"/>
              <w:bottom w:val="nil"/>
              <w:right w:val="nil"/>
            </w:tcBorders>
            <w:tcMar>
              <w:top w:w="100" w:type="dxa"/>
              <w:left w:w="100" w:type="dxa"/>
              <w:bottom w:w="100" w:type="dxa"/>
              <w:right w:w="100" w:type="dxa"/>
            </w:tcMar>
          </w:tcPr>
          <w:p w14:paraId="32B36FDA" w14:textId="77777777" w:rsidR="00265466" w:rsidRDefault="00265466" w:rsidP="00265466">
            <w:pPr>
              <w:jc w:val="right"/>
            </w:pPr>
            <w:r>
              <w:t>12.30%</w:t>
            </w:r>
          </w:p>
        </w:tc>
        <w:tc>
          <w:tcPr>
            <w:tcW w:w="1000" w:type="dxa"/>
            <w:tcBorders>
              <w:top w:val="nil"/>
              <w:left w:val="nil"/>
              <w:bottom w:val="nil"/>
              <w:right w:val="nil"/>
            </w:tcBorders>
            <w:tcMar>
              <w:top w:w="100" w:type="dxa"/>
              <w:left w:w="100" w:type="dxa"/>
              <w:bottom w:w="100" w:type="dxa"/>
              <w:right w:w="100" w:type="dxa"/>
            </w:tcMar>
          </w:tcPr>
          <w:p w14:paraId="28D6C5C1" w14:textId="77777777" w:rsidR="00265466" w:rsidRDefault="00265466" w:rsidP="00265466">
            <w:pPr>
              <w:jc w:val="right"/>
            </w:pPr>
            <w:r>
              <w:t>32.40%</w:t>
            </w:r>
          </w:p>
        </w:tc>
        <w:tc>
          <w:tcPr>
            <w:tcW w:w="900" w:type="dxa"/>
            <w:tcBorders>
              <w:top w:val="nil"/>
              <w:left w:val="nil"/>
              <w:bottom w:val="nil"/>
              <w:right w:val="nil"/>
            </w:tcBorders>
            <w:tcMar>
              <w:top w:w="100" w:type="dxa"/>
              <w:left w:w="100" w:type="dxa"/>
              <w:bottom w:w="100" w:type="dxa"/>
              <w:right w:w="100" w:type="dxa"/>
            </w:tcMar>
          </w:tcPr>
          <w:p w14:paraId="526D427F" w14:textId="77777777" w:rsidR="00265466" w:rsidRDefault="00265466" w:rsidP="00265466">
            <w:pPr>
              <w:jc w:val="right"/>
            </w:pPr>
            <w:r>
              <w:t>12.90%</w:t>
            </w:r>
          </w:p>
        </w:tc>
      </w:tr>
      <w:tr w:rsidR="00265466" w14:paraId="707E2AA3" w14:textId="77777777" w:rsidTr="00265466">
        <w:trPr>
          <w:trHeight w:val="285"/>
        </w:trPr>
        <w:tc>
          <w:tcPr>
            <w:tcW w:w="3760" w:type="dxa"/>
          </w:tcPr>
          <w:p w14:paraId="51D50A4D" w14:textId="77777777" w:rsidR="00265466" w:rsidRDefault="00265466" w:rsidP="00265466">
            <w:pPr>
              <w:rPr>
                <w:sz w:val="18"/>
                <w:szCs w:val="18"/>
              </w:rPr>
            </w:pPr>
            <w:r>
              <w:rPr>
                <w:sz w:val="18"/>
                <w:szCs w:val="18"/>
              </w:rPr>
              <w:t>Monthly average consumption (</w:t>
            </w:r>
            <w:r>
              <w:rPr>
                <w:rFonts w:eastAsia="Times New Roman"/>
              </w:rPr>
              <w:t>m</w:t>
            </w:r>
            <w:r>
              <w:rPr>
                <w:rFonts w:eastAsia="Times New Roman"/>
                <w:vertAlign w:val="superscript"/>
              </w:rPr>
              <w:t>3</w:t>
            </w:r>
            <w:r>
              <w:rPr>
                <w:sz w:val="18"/>
                <w:szCs w:val="18"/>
              </w:rPr>
              <w:t>)</w:t>
            </w:r>
          </w:p>
        </w:tc>
        <w:tc>
          <w:tcPr>
            <w:tcW w:w="800" w:type="dxa"/>
            <w:tcBorders>
              <w:top w:val="nil"/>
              <w:left w:val="nil"/>
              <w:bottom w:val="nil"/>
              <w:right w:val="nil"/>
            </w:tcBorders>
            <w:tcMar>
              <w:top w:w="100" w:type="dxa"/>
              <w:left w:w="100" w:type="dxa"/>
              <w:bottom w:w="100" w:type="dxa"/>
              <w:right w:w="100" w:type="dxa"/>
            </w:tcMar>
          </w:tcPr>
          <w:p w14:paraId="74F90702" w14:textId="77777777" w:rsidR="00265466" w:rsidRDefault="00265466" w:rsidP="00265466">
            <w:pPr>
              <w:jc w:val="right"/>
            </w:pPr>
            <w:r>
              <w:t>17.431</w:t>
            </w:r>
          </w:p>
        </w:tc>
        <w:tc>
          <w:tcPr>
            <w:tcW w:w="800" w:type="dxa"/>
            <w:tcBorders>
              <w:top w:val="nil"/>
              <w:left w:val="nil"/>
              <w:bottom w:val="nil"/>
              <w:right w:val="nil"/>
            </w:tcBorders>
            <w:tcMar>
              <w:top w:w="100" w:type="dxa"/>
              <w:left w:w="100" w:type="dxa"/>
              <w:bottom w:w="100" w:type="dxa"/>
              <w:right w:w="100" w:type="dxa"/>
            </w:tcMar>
          </w:tcPr>
          <w:p w14:paraId="108ECC2B" w14:textId="77777777" w:rsidR="00265466" w:rsidRDefault="00265466" w:rsidP="00265466">
            <w:pPr>
              <w:jc w:val="right"/>
            </w:pPr>
            <w:r>
              <w:t>18.656</w:t>
            </w:r>
          </w:p>
        </w:tc>
        <w:tc>
          <w:tcPr>
            <w:tcW w:w="800" w:type="dxa"/>
            <w:tcBorders>
              <w:top w:val="nil"/>
              <w:left w:val="nil"/>
              <w:bottom w:val="nil"/>
              <w:right w:val="nil"/>
            </w:tcBorders>
            <w:tcMar>
              <w:top w:w="100" w:type="dxa"/>
              <w:left w:w="100" w:type="dxa"/>
              <w:bottom w:w="100" w:type="dxa"/>
              <w:right w:w="100" w:type="dxa"/>
            </w:tcMar>
          </w:tcPr>
          <w:p w14:paraId="513B4B96" w14:textId="77777777" w:rsidR="00265466" w:rsidRDefault="00265466" w:rsidP="00265466">
            <w:pPr>
              <w:jc w:val="right"/>
            </w:pPr>
            <w:r>
              <w:t>19.047</w:t>
            </w:r>
          </w:p>
        </w:tc>
        <w:tc>
          <w:tcPr>
            <w:tcW w:w="1040" w:type="dxa"/>
            <w:tcBorders>
              <w:top w:val="nil"/>
              <w:left w:val="nil"/>
              <w:bottom w:val="nil"/>
              <w:right w:val="nil"/>
            </w:tcBorders>
            <w:tcMar>
              <w:top w:w="100" w:type="dxa"/>
              <w:left w:w="100" w:type="dxa"/>
              <w:bottom w:w="100" w:type="dxa"/>
              <w:right w:w="100" w:type="dxa"/>
            </w:tcMar>
          </w:tcPr>
          <w:p w14:paraId="6ACF9BA5" w14:textId="77777777" w:rsidR="00265466" w:rsidRDefault="00265466" w:rsidP="00265466">
            <w:pPr>
              <w:jc w:val="right"/>
            </w:pPr>
            <w:r>
              <w:t>16.555</w:t>
            </w:r>
          </w:p>
        </w:tc>
        <w:tc>
          <w:tcPr>
            <w:tcW w:w="1000" w:type="dxa"/>
            <w:tcBorders>
              <w:top w:val="nil"/>
              <w:left w:val="nil"/>
              <w:bottom w:val="nil"/>
              <w:right w:val="nil"/>
            </w:tcBorders>
            <w:tcMar>
              <w:top w:w="100" w:type="dxa"/>
              <w:left w:w="100" w:type="dxa"/>
              <w:bottom w:w="100" w:type="dxa"/>
              <w:right w:w="100" w:type="dxa"/>
            </w:tcMar>
          </w:tcPr>
          <w:p w14:paraId="39930732" w14:textId="77777777" w:rsidR="00265466" w:rsidRDefault="00265466" w:rsidP="00265466">
            <w:pPr>
              <w:jc w:val="right"/>
            </w:pPr>
            <w:r>
              <w:t>10.550</w:t>
            </w:r>
          </w:p>
        </w:tc>
        <w:tc>
          <w:tcPr>
            <w:tcW w:w="900" w:type="dxa"/>
            <w:tcBorders>
              <w:top w:val="nil"/>
              <w:left w:val="nil"/>
              <w:bottom w:val="nil"/>
              <w:right w:val="nil"/>
            </w:tcBorders>
            <w:tcMar>
              <w:top w:w="100" w:type="dxa"/>
              <w:left w:w="100" w:type="dxa"/>
              <w:bottom w:w="100" w:type="dxa"/>
              <w:right w:w="100" w:type="dxa"/>
            </w:tcMar>
          </w:tcPr>
          <w:p w14:paraId="5887E58D" w14:textId="77777777" w:rsidR="00265466" w:rsidRDefault="00265466" w:rsidP="00265466">
            <w:pPr>
              <w:jc w:val="right"/>
            </w:pPr>
            <w:r>
              <w:t>14.713</w:t>
            </w:r>
          </w:p>
        </w:tc>
      </w:tr>
      <w:tr w:rsidR="00265466" w14:paraId="139DFCB0" w14:textId="77777777" w:rsidTr="00265466">
        <w:trPr>
          <w:trHeight w:val="285"/>
        </w:trPr>
        <w:tc>
          <w:tcPr>
            <w:tcW w:w="3760" w:type="dxa"/>
          </w:tcPr>
          <w:p w14:paraId="333695F1" w14:textId="77777777" w:rsidR="00265466" w:rsidRPr="00773A6E" w:rsidRDefault="00265466" w:rsidP="00265466">
            <w:pPr>
              <w:rPr>
                <w:sz w:val="18"/>
                <w:szCs w:val="18"/>
              </w:rPr>
            </w:pPr>
            <w:r w:rsidRPr="00773A6E">
              <w:rPr>
                <w:sz w:val="18"/>
                <w:szCs w:val="18"/>
              </w:rPr>
              <w:t>Summer monthly average consumption (</w:t>
            </w:r>
            <w:r w:rsidRPr="00773A6E">
              <w:rPr>
                <w:rFonts w:eastAsia="Times New Roman"/>
              </w:rPr>
              <w:t>m</w:t>
            </w:r>
            <w:r w:rsidRPr="00773A6E">
              <w:rPr>
                <w:rFonts w:eastAsia="Times New Roman"/>
                <w:vertAlign w:val="superscript"/>
              </w:rPr>
              <w:t>3</w:t>
            </w:r>
            <w:r w:rsidRPr="00773A6E">
              <w:rPr>
                <w:sz w:val="18"/>
                <w:szCs w:val="18"/>
              </w:rPr>
              <w:t>)</w:t>
            </w:r>
          </w:p>
        </w:tc>
        <w:tc>
          <w:tcPr>
            <w:tcW w:w="800" w:type="dxa"/>
            <w:tcBorders>
              <w:top w:val="nil"/>
              <w:left w:val="nil"/>
              <w:bottom w:val="nil"/>
              <w:right w:val="nil"/>
            </w:tcBorders>
            <w:tcMar>
              <w:top w:w="100" w:type="dxa"/>
              <w:left w:w="100" w:type="dxa"/>
              <w:bottom w:w="100" w:type="dxa"/>
              <w:right w:w="100" w:type="dxa"/>
            </w:tcMar>
          </w:tcPr>
          <w:p w14:paraId="50231997" w14:textId="77777777" w:rsidR="00265466" w:rsidRDefault="00265466" w:rsidP="00265466">
            <w:pPr>
              <w:jc w:val="right"/>
            </w:pPr>
            <w:r>
              <w:t>19.459</w:t>
            </w:r>
          </w:p>
        </w:tc>
        <w:tc>
          <w:tcPr>
            <w:tcW w:w="800" w:type="dxa"/>
            <w:tcBorders>
              <w:top w:val="nil"/>
              <w:left w:val="nil"/>
              <w:bottom w:val="nil"/>
              <w:right w:val="nil"/>
            </w:tcBorders>
            <w:tcMar>
              <w:top w:w="100" w:type="dxa"/>
              <w:left w:w="100" w:type="dxa"/>
              <w:bottom w:w="100" w:type="dxa"/>
              <w:right w:w="100" w:type="dxa"/>
            </w:tcMar>
          </w:tcPr>
          <w:p w14:paraId="6D9983EE" w14:textId="77777777" w:rsidR="00265466" w:rsidRDefault="00265466" w:rsidP="00265466">
            <w:pPr>
              <w:jc w:val="right"/>
            </w:pPr>
            <w:r>
              <w:t>21.058</w:t>
            </w:r>
          </w:p>
        </w:tc>
        <w:tc>
          <w:tcPr>
            <w:tcW w:w="800" w:type="dxa"/>
            <w:tcBorders>
              <w:top w:val="nil"/>
              <w:left w:val="nil"/>
              <w:bottom w:val="nil"/>
              <w:right w:val="nil"/>
            </w:tcBorders>
            <w:tcMar>
              <w:top w:w="100" w:type="dxa"/>
              <w:left w:w="100" w:type="dxa"/>
              <w:bottom w:w="100" w:type="dxa"/>
              <w:right w:w="100" w:type="dxa"/>
            </w:tcMar>
          </w:tcPr>
          <w:p w14:paraId="356725A4" w14:textId="77777777" w:rsidR="00265466" w:rsidRDefault="00265466" w:rsidP="00265466">
            <w:pPr>
              <w:jc w:val="right"/>
            </w:pPr>
            <w:r>
              <w:t>21.327</w:t>
            </w:r>
          </w:p>
        </w:tc>
        <w:tc>
          <w:tcPr>
            <w:tcW w:w="1040" w:type="dxa"/>
            <w:tcBorders>
              <w:top w:val="nil"/>
              <w:left w:val="nil"/>
              <w:bottom w:val="nil"/>
              <w:right w:val="nil"/>
            </w:tcBorders>
            <w:tcMar>
              <w:top w:w="100" w:type="dxa"/>
              <w:left w:w="100" w:type="dxa"/>
              <w:bottom w:w="100" w:type="dxa"/>
              <w:right w:w="100" w:type="dxa"/>
            </w:tcMar>
          </w:tcPr>
          <w:p w14:paraId="511BD8DF" w14:textId="77777777" w:rsidR="00265466" w:rsidRDefault="00265466" w:rsidP="00265466">
            <w:pPr>
              <w:jc w:val="right"/>
            </w:pPr>
            <w:r>
              <w:t>18.805</w:t>
            </w:r>
          </w:p>
        </w:tc>
        <w:tc>
          <w:tcPr>
            <w:tcW w:w="1000" w:type="dxa"/>
            <w:tcBorders>
              <w:top w:val="nil"/>
              <w:left w:val="nil"/>
              <w:bottom w:val="nil"/>
              <w:right w:val="nil"/>
            </w:tcBorders>
            <w:tcMar>
              <w:top w:w="100" w:type="dxa"/>
              <w:left w:w="100" w:type="dxa"/>
              <w:bottom w:w="100" w:type="dxa"/>
              <w:right w:w="100" w:type="dxa"/>
            </w:tcMar>
          </w:tcPr>
          <w:p w14:paraId="345BCA1D" w14:textId="77777777" w:rsidR="00265466" w:rsidRDefault="00265466" w:rsidP="00265466">
            <w:pPr>
              <w:jc w:val="right"/>
            </w:pPr>
            <w:r>
              <w:t>11.563</w:t>
            </w:r>
          </w:p>
        </w:tc>
        <w:tc>
          <w:tcPr>
            <w:tcW w:w="900" w:type="dxa"/>
            <w:tcBorders>
              <w:top w:val="nil"/>
              <w:left w:val="nil"/>
              <w:bottom w:val="nil"/>
              <w:right w:val="nil"/>
            </w:tcBorders>
            <w:tcMar>
              <w:top w:w="100" w:type="dxa"/>
              <w:left w:w="100" w:type="dxa"/>
              <w:bottom w:w="100" w:type="dxa"/>
              <w:right w:w="100" w:type="dxa"/>
            </w:tcMar>
          </w:tcPr>
          <w:p w14:paraId="406591FA" w14:textId="77777777" w:rsidR="00265466" w:rsidRDefault="00265466" w:rsidP="00265466">
            <w:pPr>
              <w:jc w:val="right"/>
            </w:pPr>
            <w:r>
              <w:t>14.807</w:t>
            </w:r>
          </w:p>
        </w:tc>
      </w:tr>
      <w:tr w:rsidR="00265466" w14:paraId="030FD8BF" w14:textId="77777777" w:rsidTr="00265466">
        <w:trPr>
          <w:trHeight w:val="285"/>
        </w:trPr>
        <w:tc>
          <w:tcPr>
            <w:tcW w:w="3760" w:type="dxa"/>
          </w:tcPr>
          <w:p w14:paraId="2EF3AFC0" w14:textId="77777777" w:rsidR="00265466" w:rsidRPr="00773A6E" w:rsidRDefault="00265466" w:rsidP="00265466">
            <w:pPr>
              <w:rPr>
                <w:sz w:val="18"/>
                <w:szCs w:val="18"/>
              </w:rPr>
            </w:pPr>
            <w:r w:rsidRPr="00773A6E">
              <w:rPr>
                <w:sz w:val="18"/>
                <w:szCs w:val="18"/>
              </w:rPr>
              <w:t>Number of alternative supply sources</w:t>
            </w:r>
          </w:p>
        </w:tc>
        <w:tc>
          <w:tcPr>
            <w:tcW w:w="800" w:type="dxa"/>
            <w:tcBorders>
              <w:top w:val="nil"/>
              <w:left w:val="nil"/>
              <w:bottom w:val="nil"/>
              <w:right w:val="nil"/>
            </w:tcBorders>
            <w:tcMar>
              <w:top w:w="100" w:type="dxa"/>
              <w:left w:w="100" w:type="dxa"/>
              <w:bottom w:w="100" w:type="dxa"/>
              <w:right w:w="100" w:type="dxa"/>
            </w:tcMar>
          </w:tcPr>
          <w:p w14:paraId="55AA1AFC" w14:textId="77777777" w:rsidR="00265466" w:rsidRDefault="00265466" w:rsidP="00265466">
            <w:pPr>
              <w:jc w:val="right"/>
            </w:pPr>
            <w:r>
              <w:t>0.007</w:t>
            </w:r>
          </w:p>
        </w:tc>
        <w:tc>
          <w:tcPr>
            <w:tcW w:w="800" w:type="dxa"/>
            <w:tcBorders>
              <w:top w:val="nil"/>
              <w:left w:val="nil"/>
              <w:bottom w:val="nil"/>
              <w:right w:val="nil"/>
            </w:tcBorders>
            <w:tcMar>
              <w:top w:w="100" w:type="dxa"/>
              <w:left w:w="100" w:type="dxa"/>
              <w:bottom w:w="100" w:type="dxa"/>
              <w:right w:w="100" w:type="dxa"/>
            </w:tcMar>
          </w:tcPr>
          <w:p w14:paraId="79DA2543" w14:textId="77777777" w:rsidR="00265466" w:rsidRDefault="00265466" w:rsidP="00265466">
            <w:pPr>
              <w:jc w:val="right"/>
            </w:pPr>
            <w:r>
              <w:t>0.006</w:t>
            </w:r>
          </w:p>
        </w:tc>
        <w:tc>
          <w:tcPr>
            <w:tcW w:w="800" w:type="dxa"/>
            <w:tcBorders>
              <w:top w:val="nil"/>
              <w:left w:val="nil"/>
              <w:bottom w:val="nil"/>
              <w:right w:val="nil"/>
            </w:tcBorders>
            <w:tcMar>
              <w:top w:w="100" w:type="dxa"/>
              <w:left w:w="100" w:type="dxa"/>
              <w:bottom w:w="100" w:type="dxa"/>
              <w:right w:w="100" w:type="dxa"/>
            </w:tcMar>
          </w:tcPr>
          <w:p w14:paraId="40D474E0" w14:textId="77777777" w:rsidR="00265466" w:rsidRDefault="00265466" w:rsidP="00265466">
            <w:pPr>
              <w:jc w:val="right"/>
            </w:pPr>
            <w:r>
              <w:t>0.007</w:t>
            </w:r>
          </w:p>
        </w:tc>
        <w:tc>
          <w:tcPr>
            <w:tcW w:w="1040" w:type="dxa"/>
            <w:tcBorders>
              <w:top w:val="nil"/>
              <w:left w:val="nil"/>
              <w:bottom w:val="nil"/>
              <w:right w:val="nil"/>
            </w:tcBorders>
            <w:tcMar>
              <w:top w:w="100" w:type="dxa"/>
              <w:left w:w="100" w:type="dxa"/>
              <w:bottom w:w="100" w:type="dxa"/>
              <w:right w:w="100" w:type="dxa"/>
            </w:tcMar>
          </w:tcPr>
          <w:p w14:paraId="319480D4" w14:textId="77777777" w:rsidR="00265466" w:rsidRDefault="00265466" w:rsidP="00265466">
            <w:pPr>
              <w:jc w:val="right"/>
            </w:pPr>
            <w:r>
              <w:t>0.007</w:t>
            </w:r>
          </w:p>
        </w:tc>
        <w:tc>
          <w:tcPr>
            <w:tcW w:w="1000" w:type="dxa"/>
            <w:tcBorders>
              <w:top w:val="nil"/>
              <w:left w:val="nil"/>
              <w:bottom w:val="nil"/>
              <w:right w:val="nil"/>
            </w:tcBorders>
            <w:tcMar>
              <w:top w:w="100" w:type="dxa"/>
              <w:left w:w="100" w:type="dxa"/>
              <w:bottom w:w="100" w:type="dxa"/>
              <w:right w:w="100" w:type="dxa"/>
            </w:tcMar>
          </w:tcPr>
          <w:p w14:paraId="291F1B7C" w14:textId="77777777" w:rsidR="00265466" w:rsidRDefault="00265466" w:rsidP="00265466">
            <w:pPr>
              <w:jc w:val="right"/>
            </w:pPr>
            <w:r>
              <w:t>0.002</w:t>
            </w:r>
          </w:p>
        </w:tc>
        <w:tc>
          <w:tcPr>
            <w:tcW w:w="900" w:type="dxa"/>
            <w:tcBorders>
              <w:top w:val="nil"/>
              <w:left w:val="nil"/>
              <w:bottom w:val="nil"/>
              <w:right w:val="nil"/>
            </w:tcBorders>
            <w:tcMar>
              <w:top w:w="100" w:type="dxa"/>
              <w:left w:w="100" w:type="dxa"/>
              <w:bottom w:w="100" w:type="dxa"/>
              <w:right w:w="100" w:type="dxa"/>
            </w:tcMar>
          </w:tcPr>
          <w:p w14:paraId="296E2F0D" w14:textId="77777777" w:rsidR="00265466" w:rsidRDefault="00265466" w:rsidP="00265466">
            <w:pPr>
              <w:jc w:val="right"/>
            </w:pPr>
            <w:r>
              <w:t>0.004</w:t>
            </w:r>
          </w:p>
        </w:tc>
      </w:tr>
      <w:tr w:rsidR="00265466" w14:paraId="12546AAA" w14:textId="77777777" w:rsidTr="00265466">
        <w:trPr>
          <w:trHeight w:val="285"/>
        </w:trPr>
        <w:tc>
          <w:tcPr>
            <w:tcW w:w="3760" w:type="dxa"/>
          </w:tcPr>
          <w:p w14:paraId="11FAD4C2" w14:textId="74F94E88" w:rsidR="00265466" w:rsidRPr="00773A6E" w:rsidRDefault="00360503" w:rsidP="00265466">
            <w:pPr>
              <w:rPr>
                <w:sz w:val="18"/>
                <w:szCs w:val="18"/>
              </w:rPr>
            </w:pPr>
            <w:r>
              <w:rPr>
                <w:sz w:val="18"/>
                <w:szCs w:val="18"/>
              </w:rPr>
              <w:t>A</w:t>
            </w:r>
            <w:r w:rsidR="00265466" w:rsidRPr="00773A6E">
              <w:rPr>
                <w:sz w:val="18"/>
                <w:szCs w:val="18"/>
              </w:rPr>
              <w:t xml:space="preserve">lternative supply sources </w:t>
            </w:r>
            <w:r>
              <w:rPr>
                <w:sz w:val="18"/>
                <w:szCs w:val="18"/>
              </w:rPr>
              <w:t>volume (M</w:t>
            </w:r>
            <w:r w:rsidRPr="00773A6E">
              <w:rPr>
                <w:rFonts w:eastAsia="Times New Roman"/>
                <w:vertAlign w:val="superscript"/>
              </w:rPr>
              <w:t>3</w:t>
            </w:r>
            <w:r w:rsidR="00265466" w:rsidRPr="00773A6E">
              <w:rPr>
                <w:sz w:val="18"/>
                <w:szCs w:val="18"/>
              </w:rPr>
              <w:t>)</w:t>
            </w:r>
          </w:p>
        </w:tc>
        <w:tc>
          <w:tcPr>
            <w:tcW w:w="800" w:type="dxa"/>
            <w:tcBorders>
              <w:top w:val="nil"/>
              <w:left w:val="nil"/>
              <w:bottom w:val="nil"/>
              <w:right w:val="nil"/>
            </w:tcBorders>
            <w:tcMar>
              <w:top w:w="100" w:type="dxa"/>
              <w:left w:w="100" w:type="dxa"/>
              <w:bottom w:w="100" w:type="dxa"/>
              <w:right w:w="100" w:type="dxa"/>
            </w:tcMar>
          </w:tcPr>
          <w:p w14:paraId="5EC0C0E3" w14:textId="77777777" w:rsidR="00265466" w:rsidRDefault="00265466" w:rsidP="00265466">
            <w:pPr>
              <w:jc w:val="right"/>
            </w:pPr>
            <w:r>
              <w:t>13.251</w:t>
            </w:r>
          </w:p>
        </w:tc>
        <w:tc>
          <w:tcPr>
            <w:tcW w:w="800" w:type="dxa"/>
            <w:tcBorders>
              <w:top w:val="nil"/>
              <w:left w:val="nil"/>
              <w:bottom w:val="nil"/>
              <w:right w:val="nil"/>
            </w:tcBorders>
            <w:tcMar>
              <w:top w:w="100" w:type="dxa"/>
              <w:left w:w="100" w:type="dxa"/>
              <w:bottom w:w="100" w:type="dxa"/>
              <w:right w:w="100" w:type="dxa"/>
            </w:tcMar>
          </w:tcPr>
          <w:p w14:paraId="23B4ADF7" w14:textId="77777777" w:rsidR="00265466" w:rsidRDefault="00265466" w:rsidP="00265466">
            <w:pPr>
              <w:jc w:val="right"/>
            </w:pPr>
            <w:r>
              <w:t>11.126</w:t>
            </w:r>
          </w:p>
        </w:tc>
        <w:tc>
          <w:tcPr>
            <w:tcW w:w="800" w:type="dxa"/>
            <w:tcBorders>
              <w:top w:val="nil"/>
              <w:left w:val="nil"/>
              <w:bottom w:val="nil"/>
              <w:right w:val="nil"/>
            </w:tcBorders>
            <w:tcMar>
              <w:top w:w="100" w:type="dxa"/>
              <w:left w:w="100" w:type="dxa"/>
              <w:bottom w:w="100" w:type="dxa"/>
              <w:right w:w="100" w:type="dxa"/>
            </w:tcMar>
          </w:tcPr>
          <w:p w14:paraId="6582ACFA" w14:textId="77777777" w:rsidR="00265466" w:rsidRDefault="00265466" w:rsidP="00265466">
            <w:pPr>
              <w:jc w:val="right"/>
            </w:pPr>
            <w:r>
              <w:t>13.454</w:t>
            </w:r>
          </w:p>
        </w:tc>
        <w:tc>
          <w:tcPr>
            <w:tcW w:w="1040" w:type="dxa"/>
            <w:tcBorders>
              <w:top w:val="nil"/>
              <w:left w:val="nil"/>
              <w:bottom w:val="nil"/>
              <w:right w:val="nil"/>
            </w:tcBorders>
            <w:tcMar>
              <w:top w:w="100" w:type="dxa"/>
              <w:left w:w="100" w:type="dxa"/>
              <w:bottom w:w="100" w:type="dxa"/>
              <w:right w:w="100" w:type="dxa"/>
            </w:tcMar>
          </w:tcPr>
          <w:p w14:paraId="6132E143" w14:textId="77777777" w:rsidR="00265466" w:rsidRDefault="00265466" w:rsidP="00265466">
            <w:pPr>
              <w:jc w:val="right"/>
            </w:pPr>
            <w:r>
              <w:t>13.468</w:t>
            </w:r>
          </w:p>
        </w:tc>
        <w:tc>
          <w:tcPr>
            <w:tcW w:w="1000" w:type="dxa"/>
            <w:tcBorders>
              <w:top w:val="nil"/>
              <w:left w:val="nil"/>
              <w:bottom w:val="nil"/>
              <w:right w:val="nil"/>
            </w:tcBorders>
            <w:tcMar>
              <w:top w:w="100" w:type="dxa"/>
              <w:left w:w="100" w:type="dxa"/>
              <w:bottom w:w="100" w:type="dxa"/>
              <w:right w:w="100" w:type="dxa"/>
            </w:tcMar>
          </w:tcPr>
          <w:p w14:paraId="77F8BD80" w14:textId="77777777" w:rsidR="00265466" w:rsidRDefault="00265466" w:rsidP="00265466">
            <w:pPr>
              <w:jc w:val="right"/>
            </w:pPr>
            <w:r>
              <w:t>4.395</w:t>
            </w:r>
          </w:p>
        </w:tc>
        <w:tc>
          <w:tcPr>
            <w:tcW w:w="900" w:type="dxa"/>
            <w:tcBorders>
              <w:top w:val="nil"/>
              <w:left w:val="nil"/>
              <w:bottom w:val="nil"/>
              <w:right w:val="nil"/>
            </w:tcBorders>
            <w:tcMar>
              <w:top w:w="100" w:type="dxa"/>
              <w:left w:w="100" w:type="dxa"/>
              <w:bottom w:w="100" w:type="dxa"/>
              <w:right w:w="100" w:type="dxa"/>
            </w:tcMar>
          </w:tcPr>
          <w:p w14:paraId="1C8AC280" w14:textId="77777777" w:rsidR="00265466" w:rsidRDefault="00265466" w:rsidP="00265466">
            <w:pPr>
              <w:jc w:val="right"/>
            </w:pPr>
            <w:r>
              <w:t>7.624</w:t>
            </w:r>
          </w:p>
        </w:tc>
      </w:tr>
      <w:tr w:rsidR="00265466" w14:paraId="09BD7D07" w14:textId="77777777" w:rsidTr="00265466">
        <w:trPr>
          <w:trHeight w:val="285"/>
        </w:trPr>
        <w:tc>
          <w:tcPr>
            <w:tcW w:w="3760" w:type="dxa"/>
          </w:tcPr>
          <w:p w14:paraId="4B8CBE25" w14:textId="77777777" w:rsidR="00265466" w:rsidRDefault="00265466" w:rsidP="00265466">
            <w:pPr>
              <w:rPr>
                <w:sz w:val="18"/>
                <w:szCs w:val="18"/>
              </w:rPr>
            </w:pPr>
            <w:r>
              <w:rPr>
                <w:sz w:val="18"/>
                <w:szCs w:val="18"/>
              </w:rPr>
              <w:t>Vulnerability Index</w:t>
            </w:r>
          </w:p>
        </w:tc>
        <w:tc>
          <w:tcPr>
            <w:tcW w:w="800" w:type="dxa"/>
            <w:tcBorders>
              <w:top w:val="nil"/>
              <w:left w:val="nil"/>
              <w:bottom w:val="nil"/>
              <w:right w:val="nil"/>
            </w:tcBorders>
            <w:tcMar>
              <w:top w:w="100" w:type="dxa"/>
              <w:left w:w="100" w:type="dxa"/>
              <w:bottom w:w="100" w:type="dxa"/>
              <w:right w:w="100" w:type="dxa"/>
            </w:tcMar>
          </w:tcPr>
          <w:p w14:paraId="716768BB" w14:textId="77777777" w:rsidR="00265466" w:rsidRDefault="00265466" w:rsidP="00265466">
            <w:pPr>
              <w:jc w:val="right"/>
            </w:pPr>
            <w:r>
              <w:t>0.313</w:t>
            </w:r>
          </w:p>
        </w:tc>
        <w:tc>
          <w:tcPr>
            <w:tcW w:w="800" w:type="dxa"/>
            <w:tcBorders>
              <w:top w:val="nil"/>
              <w:left w:val="nil"/>
              <w:bottom w:val="nil"/>
              <w:right w:val="nil"/>
            </w:tcBorders>
            <w:tcMar>
              <w:top w:w="100" w:type="dxa"/>
              <w:left w:w="100" w:type="dxa"/>
              <w:bottom w:w="100" w:type="dxa"/>
              <w:right w:w="100" w:type="dxa"/>
            </w:tcMar>
          </w:tcPr>
          <w:p w14:paraId="2729BF3A" w14:textId="77777777" w:rsidR="00265466" w:rsidRDefault="00265466" w:rsidP="00265466">
            <w:pPr>
              <w:jc w:val="right"/>
            </w:pPr>
            <w:r>
              <w:t>0.306</w:t>
            </w:r>
          </w:p>
        </w:tc>
        <w:tc>
          <w:tcPr>
            <w:tcW w:w="800" w:type="dxa"/>
            <w:tcBorders>
              <w:top w:val="nil"/>
              <w:left w:val="nil"/>
              <w:bottom w:val="nil"/>
              <w:right w:val="nil"/>
            </w:tcBorders>
            <w:tcMar>
              <w:top w:w="100" w:type="dxa"/>
              <w:left w:w="100" w:type="dxa"/>
              <w:bottom w:w="100" w:type="dxa"/>
              <w:right w:w="100" w:type="dxa"/>
            </w:tcMar>
          </w:tcPr>
          <w:p w14:paraId="0799E020" w14:textId="77777777" w:rsidR="00265466" w:rsidRDefault="00265466" w:rsidP="00265466">
            <w:pPr>
              <w:jc w:val="right"/>
            </w:pPr>
            <w:r>
              <w:t>0.303</w:t>
            </w:r>
          </w:p>
        </w:tc>
        <w:tc>
          <w:tcPr>
            <w:tcW w:w="1040" w:type="dxa"/>
            <w:tcBorders>
              <w:top w:val="nil"/>
              <w:left w:val="nil"/>
              <w:bottom w:val="nil"/>
              <w:right w:val="nil"/>
            </w:tcBorders>
            <w:tcMar>
              <w:top w:w="100" w:type="dxa"/>
              <w:left w:w="100" w:type="dxa"/>
              <w:bottom w:w="100" w:type="dxa"/>
              <w:right w:w="100" w:type="dxa"/>
            </w:tcMar>
          </w:tcPr>
          <w:p w14:paraId="3537ED1D" w14:textId="77777777" w:rsidR="00265466" w:rsidRDefault="00265466" w:rsidP="00265466">
            <w:pPr>
              <w:jc w:val="right"/>
            </w:pPr>
            <w:r>
              <w:t>0.694</w:t>
            </w:r>
          </w:p>
        </w:tc>
        <w:tc>
          <w:tcPr>
            <w:tcW w:w="1000" w:type="dxa"/>
            <w:tcBorders>
              <w:top w:val="nil"/>
              <w:left w:val="nil"/>
              <w:bottom w:val="nil"/>
              <w:right w:val="nil"/>
            </w:tcBorders>
            <w:tcMar>
              <w:top w:w="100" w:type="dxa"/>
              <w:left w:w="100" w:type="dxa"/>
              <w:bottom w:w="100" w:type="dxa"/>
              <w:right w:w="100" w:type="dxa"/>
            </w:tcMar>
          </w:tcPr>
          <w:p w14:paraId="3D9041EF" w14:textId="77777777" w:rsidR="00265466" w:rsidRDefault="00265466" w:rsidP="00265466">
            <w:pPr>
              <w:jc w:val="right"/>
            </w:pPr>
            <w:r>
              <w:t>0.702</w:t>
            </w:r>
          </w:p>
        </w:tc>
        <w:tc>
          <w:tcPr>
            <w:tcW w:w="900" w:type="dxa"/>
            <w:tcBorders>
              <w:top w:val="nil"/>
              <w:left w:val="nil"/>
              <w:bottom w:val="nil"/>
              <w:right w:val="nil"/>
            </w:tcBorders>
            <w:tcMar>
              <w:top w:w="100" w:type="dxa"/>
              <w:left w:w="100" w:type="dxa"/>
              <w:bottom w:w="100" w:type="dxa"/>
              <w:right w:w="100" w:type="dxa"/>
            </w:tcMar>
          </w:tcPr>
          <w:p w14:paraId="623E43D7" w14:textId="77777777" w:rsidR="00265466" w:rsidRDefault="00265466" w:rsidP="00265466">
            <w:pPr>
              <w:jc w:val="right"/>
            </w:pPr>
            <w:r>
              <w:t>0.692</w:t>
            </w:r>
          </w:p>
        </w:tc>
      </w:tr>
      <w:tr w:rsidR="00265466" w14:paraId="2BD1C28D" w14:textId="77777777" w:rsidTr="00265466">
        <w:trPr>
          <w:trHeight w:val="300"/>
        </w:trPr>
        <w:tc>
          <w:tcPr>
            <w:tcW w:w="3760" w:type="dxa"/>
          </w:tcPr>
          <w:p w14:paraId="45723AED" w14:textId="77777777" w:rsidR="00265466" w:rsidRDefault="00265466" w:rsidP="00265466">
            <w:pPr>
              <w:rPr>
                <w:sz w:val="18"/>
                <w:szCs w:val="18"/>
              </w:rPr>
            </w:pPr>
            <w:r>
              <w:rPr>
                <w:sz w:val="18"/>
                <w:szCs w:val="18"/>
              </w:rPr>
              <w:t>Total Census Block</w:t>
            </w:r>
          </w:p>
        </w:tc>
        <w:tc>
          <w:tcPr>
            <w:tcW w:w="800" w:type="dxa"/>
            <w:tcBorders>
              <w:top w:val="nil"/>
              <w:left w:val="nil"/>
              <w:bottom w:val="nil"/>
              <w:right w:val="nil"/>
            </w:tcBorders>
            <w:tcMar>
              <w:top w:w="100" w:type="dxa"/>
              <w:left w:w="100" w:type="dxa"/>
              <w:bottom w:w="100" w:type="dxa"/>
              <w:right w:w="100" w:type="dxa"/>
            </w:tcMar>
          </w:tcPr>
          <w:p w14:paraId="4A4B7794" w14:textId="77777777" w:rsidR="00265466" w:rsidRDefault="00265466" w:rsidP="00265466">
            <w:pPr>
              <w:jc w:val="right"/>
            </w:pPr>
            <w:r>
              <w:t>70</w:t>
            </w:r>
          </w:p>
        </w:tc>
        <w:tc>
          <w:tcPr>
            <w:tcW w:w="800" w:type="dxa"/>
            <w:tcBorders>
              <w:top w:val="nil"/>
              <w:left w:val="nil"/>
              <w:bottom w:val="nil"/>
              <w:right w:val="nil"/>
            </w:tcBorders>
            <w:tcMar>
              <w:top w:w="100" w:type="dxa"/>
              <w:left w:w="100" w:type="dxa"/>
              <w:bottom w:w="100" w:type="dxa"/>
              <w:right w:w="100" w:type="dxa"/>
            </w:tcMar>
          </w:tcPr>
          <w:p w14:paraId="4C374EAB" w14:textId="77777777" w:rsidR="00265466" w:rsidRDefault="00265466" w:rsidP="00265466">
            <w:pPr>
              <w:jc w:val="right"/>
            </w:pPr>
            <w:r>
              <w:t>406</w:t>
            </w:r>
          </w:p>
        </w:tc>
        <w:tc>
          <w:tcPr>
            <w:tcW w:w="800" w:type="dxa"/>
            <w:tcBorders>
              <w:top w:val="nil"/>
              <w:left w:val="nil"/>
              <w:bottom w:val="nil"/>
              <w:right w:val="nil"/>
            </w:tcBorders>
            <w:tcMar>
              <w:top w:w="100" w:type="dxa"/>
              <w:left w:w="100" w:type="dxa"/>
              <w:bottom w:w="100" w:type="dxa"/>
              <w:right w:w="100" w:type="dxa"/>
            </w:tcMar>
          </w:tcPr>
          <w:p w14:paraId="00D1D12A" w14:textId="77777777" w:rsidR="00265466" w:rsidRDefault="00265466" w:rsidP="00265466">
            <w:pPr>
              <w:jc w:val="right"/>
            </w:pPr>
            <w:r>
              <w:t>415</w:t>
            </w:r>
          </w:p>
        </w:tc>
        <w:tc>
          <w:tcPr>
            <w:tcW w:w="1040" w:type="dxa"/>
            <w:tcBorders>
              <w:top w:val="nil"/>
              <w:left w:val="nil"/>
              <w:bottom w:val="nil"/>
              <w:right w:val="nil"/>
            </w:tcBorders>
            <w:tcMar>
              <w:top w:w="100" w:type="dxa"/>
              <w:left w:w="100" w:type="dxa"/>
              <w:bottom w:w="100" w:type="dxa"/>
              <w:right w:w="100" w:type="dxa"/>
            </w:tcMar>
          </w:tcPr>
          <w:p w14:paraId="0C51DFF9" w14:textId="77777777" w:rsidR="00265466" w:rsidRDefault="00265466" w:rsidP="00265466">
            <w:pPr>
              <w:jc w:val="right"/>
            </w:pPr>
            <w:r>
              <w:t>121</w:t>
            </w:r>
          </w:p>
        </w:tc>
        <w:tc>
          <w:tcPr>
            <w:tcW w:w="1000" w:type="dxa"/>
            <w:tcBorders>
              <w:top w:val="nil"/>
              <w:left w:val="nil"/>
              <w:bottom w:val="nil"/>
              <w:right w:val="nil"/>
            </w:tcBorders>
            <w:tcMar>
              <w:top w:w="100" w:type="dxa"/>
              <w:left w:w="100" w:type="dxa"/>
              <w:bottom w:w="100" w:type="dxa"/>
              <w:right w:w="100" w:type="dxa"/>
            </w:tcMar>
          </w:tcPr>
          <w:p w14:paraId="3C0A1146" w14:textId="77777777" w:rsidR="00265466" w:rsidRDefault="00265466" w:rsidP="00265466">
            <w:pPr>
              <w:jc w:val="right"/>
            </w:pPr>
            <w:r>
              <w:t>75</w:t>
            </w:r>
          </w:p>
        </w:tc>
        <w:tc>
          <w:tcPr>
            <w:tcW w:w="900" w:type="dxa"/>
            <w:tcBorders>
              <w:top w:val="nil"/>
              <w:left w:val="nil"/>
              <w:bottom w:val="nil"/>
              <w:right w:val="nil"/>
            </w:tcBorders>
            <w:tcMar>
              <w:top w:w="100" w:type="dxa"/>
              <w:left w:w="100" w:type="dxa"/>
              <w:bottom w:w="100" w:type="dxa"/>
              <w:right w:w="100" w:type="dxa"/>
            </w:tcMar>
          </w:tcPr>
          <w:p w14:paraId="69458A26" w14:textId="77777777" w:rsidR="00265466" w:rsidRDefault="00265466" w:rsidP="00265466">
            <w:pPr>
              <w:jc w:val="right"/>
            </w:pPr>
            <w:r>
              <w:t>708</w:t>
            </w:r>
          </w:p>
        </w:tc>
      </w:tr>
    </w:tbl>
    <w:p w14:paraId="48566AB5" w14:textId="6906FDFD" w:rsidR="00265466" w:rsidRPr="00265466" w:rsidRDefault="00265466" w:rsidP="00265466">
      <w:pPr>
        <w:spacing w:before="240" w:line="276" w:lineRule="auto"/>
        <w:jc w:val="both"/>
        <w:rPr>
          <w:rFonts w:eastAsia="Times New Roman"/>
          <w:sz w:val="22"/>
          <w:szCs w:val="22"/>
          <w:highlight w:val="white"/>
        </w:rPr>
      </w:pPr>
      <w:r>
        <w:rPr>
          <w:rFonts w:eastAsia="Times New Roman"/>
          <w:highlight w:val="white"/>
        </w:rPr>
        <w:t>Note:</w:t>
      </w:r>
      <w:r w:rsidRPr="00411594">
        <w:rPr>
          <w:rFonts w:eastAsia="Times New Roman"/>
          <w:sz w:val="22"/>
          <w:szCs w:val="22"/>
          <w:highlight w:val="white"/>
        </w:rPr>
        <w:t xml:space="preserve"> Only indicators associated with a territorial unit equal or smaller than the census block </w:t>
      </w:r>
      <w:r w:rsidR="00F87B7A" w:rsidRPr="00411594">
        <w:rPr>
          <w:rFonts w:eastAsia="Times New Roman"/>
          <w:sz w:val="22"/>
          <w:szCs w:val="22"/>
          <w:highlight w:val="white"/>
        </w:rPr>
        <w:t>is</w:t>
      </w:r>
      <w:r w:rsidRPr="00411594">
        <w:rPr>
          <w:rFonts w:eastAsia="Times New Roman"/>
          <w:sz w:val="22"/>
          <w:szCs w:val="22"/>
          <w:highlight w:val="white"/>
        </w:rPr>
        <w:t xml:space="preserve"> included.</w:t>
      </w:r>
    </w:p>
    <w:p w14:paraId="36288703" w14:textId="5D9FF72D" w:rsidR="00A606ED" w:rsidRDefault="00A606ED" w:rsidP="00C81368">
      <w:pPr>
        <w:pStyle w:val="Heading-Main"/>
      </w:pPr>
      <w:r>
        <w:t xml:space="preserve">6 Discussion </w:t>
      </w:r>
    </w:p>
    <w:p w14:paraId="17E6032A" w14:textId="004685CC" w:rsidR="00265466" w:rsidRPr="00773A6E" w:rsidRDefault="00265466" w:rsidP="00265466">
      <w:pPr>
        <w:spacing w:before="240"/>
        <w:jc w:val="both"/>
        <w:rPr>
          <w:rFonts w:eastAsia="Times New Roman"/>
          <w:highlight w:val="white"/>
        </w:rPr>
      </w:pPr>
      <w:r w:rsidRPr="00773A6E">
        <w:rPr>
          <w:rFonts w:eastAsia="Times New Roman"/>
          <w:highlight w:val="white"/>
        </w:rPr>
        <w:t xml:space="preserve">This paper provides at least three relevant contributions to fill gaps identified in the existing literature (see also section 2): (1) an analytical framework to assess water security observed from households considering its social dimensions, (2) a methodological approach to carry out high-resolution analysis that considers the ecological, technical and social systems of a territory; and (3) specific evidence to guide public policies in the Chilean case, which </w:t>
      </w:r>
      <w:r w:rsidR="00ED156C">
        <w:rPr>
          <w:rFonts w:eastAsia="Times New Roman"/>
          <w:highlight w:val="white"/>
        </w:rPr>
        <w:t>have up to the moment been</w:t>
      </w:r>
      <w:r w:rsidRPr="00773A6E">
        <w:rPr>
          <w:rFonts w:eastAsia="Times New Roman"/>
          <w:highlight w:val="white"/>
        </w:rPr>
        <w:t xml:space="preserve"> currently scarcely studied</w:t>
      </w:r>
      <w:r w:rsidR="00ED156C">
        <w:rPr>
          <w:rFonts w:eastAsia="Times New Roman"/>
          <w:highlight w:val="white"/>
        </w:rPr>
        <w:t>.</w:t>
      </w:r>
    </w:p>
    <w:p w14:paraId="6E142757" w14:textId="3F2EA660" w:rsidR="00265466" w:rsidRPr="00773A6E" w:rsidRDefault="00265466" w:rsidP="00265466">
      <w:pPr>
        <w:jc w:val="both"/>
        <w:rPr>
          <w:rFonts w:eastAsia="Times New Roman"/>
          <w:highlight w:val="white"/>
        </w:rPr>
      </w:pPr>
      <w:r w:rsidRPr="00773A6E">
        <w:rPr>
          <w:rFonts w:eastAsia="Times New Roman"/>
          <w:highlight w:val="white"/>
        </w:rPr>
        <w:t>The analytical and methodological framework of the TWV allows addressing water security</w:t>
      </w:r>
      <w:r w:rsidR="00FD2714">
        <w:rPr>
          <w:rFonts w:eastAsia="Times New Roman"/>
          <w:highlight w:val="white"/>
        </w:rPr>
        <w:t xml:space="preserve"> based on a deep understanding of the</w:t>
      </w:r>
      <w:r w:rsidRPr="00773A6E">
        <w:rPr>
          <w:rFonts w:eastAsia="Times New Roman"/>
          <w:highlight w:val="white"/>
        </w:rPr>
        <w:t xml:space="preserve"> vulnerability</w:t>
      </w:r>
      <w:r w:rsidR="00FC6E9C">
        <w:rPr>
          <w:rFonts w:eastAsia="Times New Roman"/>
          <w:highlight w:val="white"/>
        </w:rPr>
        <w:t xml:space="preserve"> drivers associated to</w:t>
      </w:r>
      <w:r w:rsidRPr="00773A6E">
        <w:rPr>
          <w:rFonts w:eastAsia="Times New Roman"/>
          <w:highlight w:val="white"/>
        </w:rPr>
        <w:t xml:space="preserve"> </w:t>
      </w:r>
      <w:r w:rsidR="00FC6E9C" w:rsidRPr="00773A6E">
        <w:rPr>
          <w:rFonts w:eastAsia="Times New Roman"/>
          <w:highlight w:val="white"/>
        </w:rPr>
        <w:t>different</w:t>
      </w:r>
      <w:r w:rsidRPr="00773A6E">
        <w:rPr>
          <w:rFonts w:eastAsia="Times New Roman"/>
          <w:highlight w:val="white"/>
        </w:rPr>
        <w:t xml:space="preserve"> systems </w:t>
      </w:r>
      <w:r w:rsidR="00A16B9D">
        <w:rPr>
          <w:rFonts w:eastAsia="Times New Roman"/>
          <w:highlight w:val="white"/>
        </w:rPr>
        <w:t>presents in</w:t>
      </w:r>
      <w:r w:rsidRPr="00773A6E">
        <w:rPr>
          <w:rFonts w:eastAsia="Times New Roman"/>
          <w:highlight w:val="white"/>
        </w:rPr>
        <w:t xml:space="preserve"> </w:t>
      </w:r>
      <w:r w:rsidR="00A16B9D">
        <w:rPr>
          <w:rFonts w:eastAsia="Times New Roman"/>
          <w:highlight w:val="white"/>
        </w:rPr>
        <w:t>a</w:t>
      </w:r>
      <w:r w:rsidRPr="00773A6E">
        <w:rPr>
          <w:rFonts w:eastAsia="Times New Roman"/>
          <w:highlight w:val="white"/>
        </w:rPr>
        <w:t xml:space="preserve"> territory (households, health system, decision-makers, ecological system)</w:t>
      </w:r>
      <w:r w:rsidR="00FD2714">
        <w:rPr>
          <w:rFonts w:eastAsia="Times New Roman"/>
          <w:highlight w:val="white"/>
        </w:rPr>
        <w:t>. This allows</w:t>
      </w:r>
      <w:r w:rsidRPr="00773A6E">
        <w:rPr>
          <w:rFonts w:eastAsia="Times New Roman"/>
          <w:highlight w:val="white"/>
        </w:rPr>
        <w:t xml:space="preserve"> considering the heterogeneity of urban areas, making it possible to carry out high-resolution analy</w:t>
      </w:r>
      <w:r w:rsidR="00FD2714">
        <w:rPr>
          <w:rFonts w:eastAsia="Times New Roman"/>
          <w:highlight w:val="white"/>
        </w:rPr>
        <w:t>s</w:t>
      </w:r>
      <w:r w:rsidRPr="00773A6E">
        <w:rPr>
          <w:rFonts w:eastAsia="Times New Roman"/>
          <w:highlight w:val="white"/>
        </w:rPr>
        <w:t>es. The</w:t>
      </w:r>
      <w:r w:rsidR="00FD2714">
        <w:rPr>
          <w:rFonts w:eastAsia="Times New Roman"/>
          <w:highlight w:val="white"/>
        </w:rPr>
        <w:t>se, in tu</w:t>
      </w:r>
      <w:r w:rsidR="001C0865">
        <w:rPr>
          <w:rFonts w:eastAsia="Times New Roman"/>
          <w:highlight w:val="white"/>
        </w:rPr>
        <w:t>r</w:t>
      </w:r>
      <w:r w:rsidR="00FD2714">
        <w:rPr>
          <w:rFonts w:eastAsia="Times New Roman"/>
          <w:highlight w:val="white"/>
        </w:rPr>
        <w:t>n</w:t>
      </w:r>
      <w:r w:rsidR="001C0865">
        <w:rPr>
          <w:rFonts w:eastAsia="Times New Roman"/>
          <w:highlight w:val="white"/>
        </w:rPr>
        <w:t xml:space="preserve"> </w:t>
      </w:r>
      <w:r w:rsidR="00FD2714">
        <w:rPr>
          <w:rFonts w:eastAsia="Times New Roman"/>
          <w:highlight w:val="white"/>
        </w:rPr>
        <w:t>offer</w:t>
      </w:r>
      <w:r w:rsidRPr="00773A6E">
        <w:rPr>
          <w:rFonts w:eastAsia="Times New Roman"/>
          <w:highlight w:val="white"/>
        </w:rPr>
        <w:t xml:space="preserve"> fundamental </w:t>
      </w:r>
      <w:r w:rsidR="00FD2714">
        <w:rPr>
          <w:rFonts w:eastAsia="Times New Roman"/>
          <w:highlight w:val="white"/>
        </w:rPr>
        <w:t>information to assess</w:t>
      </w:r>
      <w:r w:rsidRPr="00773A6E">
        <w:rPr>
          <w:rFonts w:eastAsia="Times New Roman"/>
          <w:highlight w:val="white"/>
        </w:rPr>
        <w:t xml:space="preserve"> water security </w:t>
      </w:r>
      <w:r w:rsidR="00FD2714">
        <w:rPr>
          <w:rFonts w:eastAsia="Times New Roman"/>
          <w:highlight w:val="white"/>
        </w:rPr>
        <w:t>from a</w:t>
      </w:r>
      <w:r w:rsidRPr="00773A6E">
        <w:rPr>
          <w:rFonts w:eastAsia="Times New Roman"/>
          <w:highlight w:val="white"/>
        </w:rPr>
        <w:t xml:space="preserve"> risk</w:t>
      </w:r>
      <w:r w:rsidR="00FD2714">
        <w:rPr>
          <w:rFonts w:eastAsia="Times New Roman"/>
          <w:highlight w:val="white"/>
        </w:rPr>
        <w:t>-info</w:t>
      </w:r>
      <w:r w:rsidR="001C0865">
        <w:rPr>
          <w:rFonts w:eastAsia="Times New Roman"/>
          <w:highlight w:val="white"/>
        </w:rPr>
        <w:t>r</w:t>
      </w:r>
      <w:r w:rsidR="00FD2714">
        <w:rPr>
          <w:rFonts w:eastAsia="Times New Roman"/>
          <w:highlight w:val="white"/>
        </w:rPr>
        <w:t>med</w:t>
      </w:r>
      <w:r w:rsidRPr="00773A6E">
        <w:rPr>
          <w:rFonts w:eastAsia="Times New Roman"/>
          <w:highlight w:val="white"/>
        </w:rPr>
        <w:t xml:space="preserve"> approach, favoring the design and implementation of adaptation measures taking into account the most significant variables for TWV and spatial units within the cities, </w:t>
      </w:r>
      <w:r w:rsidR="00FD2714">
        <w:rPr>
          <w:rFonts w:eastAsia="Times New Roman"/>
          <w:highlight w:val="white"/>
        </w:rPr>
        <w:t xml:space="preserve">and thus contributing to </w:t>
      </w:r>
      <w:r w:rsidR="00360503">
        <w:rPr>
          <w:rFonts w:eastAsia="Times New Roman"/>
          <w:highlight w:val="white"/>
        </w:rPr>
        <w:t>reduc</w:t>
      </w:r>
      <w:r w:rsidR="00FD2714">
        <w:rPr>
          <w:rFonts w:eastAsia="Times New Roman"/>
          <w:highlight w:val="white"/>
        </w:rPr>
        <w:t>e</w:t>
      </w:r>
      <w:r w:rsidRPr="00773A6E">
        <w:rPr>
          <w:rFonts w:eastAsia="Times New Roman"/>
          <w:highlight w:val="white"/>
        </w:rPr>
        <w:t xml:space="preserve"> water insecurity in an efficient and </w:t>
      </w:r>
      <w:r w:rsidR="00A16B9D">
        <w:rPr>
          <w:rFonts w:eastAsia="Times New Roman"/>
          <w:highlight w:val="white"/>
        </w:rPr>
        <w:t>place specific way</w:t>
      </w:r>
      <w:r w:rsidRPr="00773A6E">
        <w:rPr>
          <w:rFonts w:eastAsia="Times New Roman"/>
          <w:highlight w:val="white"/>
        </w:rPr>
        <w:t xml:space="preserve">. </w:t>
      </w:r>
      <w:r w:rsidR="00FD2714">
        <w:rPr>
          <w:rFonts w:eastAsia="Times New Roman"/>
          <w:highlight w:val="white"/>
        </w:rPr>
        <w:t>Our methodology allows to extend the analysis to the level of</w:t>
      </w:r>
      <w:r w:rsidRPr="00773A6E">
        <w:rPr>
          <w:rFonts w:eastAsia="Times New Roman"/>
          <w:highlight w:val="white"/>
        </w:rPr>
        <w:t xml:space="preserve"> households grouped in small territorial units </w:t>
      </w:r>
      <w:r w:rsidR="00FD2714">
        <w:rPr>
          <w:rFonts w:eastAsia="Times New Roman"/>
          <w:highlight w:val="white"/>
        </w:rPr>
        <w:t>(</w:t>
      </w:r>
      <w:r w:rsidRPr="00773A6E">
        <w:rPr>
          <w:rFonts w:eastAsia="Times New Roman"/>
          <w:highlight w:val="white"/>
        </w:rPr>
        <w:t>census blocks</w:t>
      </w:r>
      <w:r w:rsidR="00FD2714">
        <w:rPr>
          <w:rFonts w:eastAsia="Times New Roman"/>
          <w:highlight w:val="white"/>
        </w:rPr>
        <w:t>)</w:t>
      </w:r>
      <w:r w:rsidRPr="00773A6E">
        <w:rPr>
          <w:rFonts w:eastAsia="Times New Roman"/>
          <w:highlight w:val="white"/>
        </w:rPr>
        <w:t xml:space="preserve">, </w:t>
      </w:r>
      <w:r w:rsidR="00FD2714">
        <w:rPr>
          <w:rFonts w:eastAsia="Times New Roman"/>
          <w:highlight w:val="white"/>
        </w:rPr>
        <w:t xml:space="preserve">which </w:t>
      </w:r>
      <w:r w:rsidRPr="00773A6E">
        <w:rPr>
          <w:rFonts w:eastAsia="Times New Roman"/>
          <w:highlight w:val="white"/>
        </w:rPr>
        <w:t xml:space="preserve">is a relevant contribution to the literature as </w:t>
      </w:r>
      <w:r w:rsidR="00FD2714">
        <w:rPr>
          <w:rFonts w:eastAsia="Times New Roman"/>
          <w:highlight w:val="white"/>
        </w:rPr>
        <w:t xml:space="preserve">very </w:t>
      </w:r>
      <w:r w:rsidRPr="00773A6E">
        <w:rPr>
          <w:rFonts w:eastAsia="Times New Roman"/>
          <w:highlight w:val="white"/>
        </w:rPr>
        <w:t xml:space="preserve">few studies carry out robust evaluations of water security at a </w:t>
      </w:r>
      <w:r w:rsidR="00FD2714">
        <w:rPr>
          <w:rFonts w:eastAsia="Times New Roman"/>
          <w:highlight w:val="white"/>
        </w:rPr>
        <w:t xml:space="preserve">fine-grained scale, </w:t>
      </w:r>
      <w:r w:rsidRPr="00773A6E">
        <w:rPr>
          <w:rFonts w:eastAsia="Times New Roman"/>
          <w:highlight w:val="white"/>
        </w:rPr>
        <w:t>instead</w:t>
      </w:r>
      <w:r w:rsidR="00FD2714">
        <w:rPr>
          <w:rFonts w:eastAsia="Times New Roman"/>
          <w:highlight w:val="white"/>
        </w:rPr>
        <w:t xml:space="preserve"> opting for </w:t>
      </w:r>
      <w:r w:rsidRPr="00773A6E">
        <w:rPr>
          <w:rFonts w:eastAsia="Times New Roman"/>
          <w:highlight w:val="white"/>
        </w:rPr>
        <w:t xml:space="preserve"> focusing </w:t>
      </w:r>
      <w:r w:rsidR="00FD2714">
        <w:rPr>
          <w:rFonts w:eastAsia="Times New Roman"/>
          <w:highlight w:val="white"/>
        </w:rPr>
        <w:t>at</w:t>
      </w:r>
      <w:r w:rsidR="00FD2714" w:rsidRPr="00773A6E">
        <w:rPr>
          <w:rFonts w:eastAsia="Times New Roman"/>
          <w:highlight w:val="white"/>
        </w:rPr>
        <w:t xml:space="preserve"> </w:t>
      </w:r>
      <w:r w:rsidRPr="00773A6E">
        <w:rPr>
          <w:rFonts w:eastAsia="Times New Roman"/>
          <w:highlight w:val="white"/>
        </w:rPr>
        <w:t>the city</w:t>
      </w:r>
      <w:r w:rsidR="00FD2714">
        <w:rPr>
          <w:rFonts w:eastAsia="Times New Roman"/>
          <w:highlight w:val="white"/>
        </w:rPr>
        <w:t xml:space="preserve"> level, understood</w:t>
      </w:r>
      <w:r w:rsidRPr="00773A6E">
        <w:rPr>
          <w:rFonts w:eastAsia="Times New Roman"/>
          <w:highlight w:val="white"/>
        </w:rPr>
        <w:t xml:space="preserve"> as a relatively homogeneous unit </w:t>
      </w:r>
      <w:r w:rsidR="00C060B1">
        <w:rPr>
          <w:rFonts w:eastAsia="Times New Roman"/>
          <w:highlight w:val="white"/>
        </w:rPr>
        <w:fldChar w:fldCharType="begin" w:fldLock="1"/>
      </w:r>
      <w:r w:rsidR="00497278">
        <w:rPr>
          <w:rFonts w:eastAsia="Times New Roman"/>
          <w:highlight w:val="white"/>
        </w:rPr>
        <w:instrText>ADDIN CSL_CITATION {"citationItems":[{"id":"ITEM-1","itemData":{"DOI":"10.1016/j.jclepro.2021.129004","ISSN":"09596526","abstract":"Water plays a quintessential role in the lives of individuals and communities. In recent decades, population growth, migration from rural to urban areas, industrialization, and climate change have increasingly jeopardized the sustainability of cities, especially in developing countries, including Iran. The purpose of this study is to assess recent and future perspectives for urban water security in Iran. To do so, the paper extends previous water security studies within the region by collecting data on urban water security from a cohort of cities rather than a single location. To assess the state of water security in the recent past, from 2013 to 2019, we introduce a dedicated framework comprised of five dimensions and twelve indicators. In estimating future water resources for Iran in the period up to 2100, ensemble-based hydro-climatic regional climate model projections for RCPs 4.5 and 8.5 were analyzed in time and space. The results show that four of the five dimensions of present-day urban water security, including accessibility, availability, water health and sanitation, and the economic value of water, all demonstrate general improvements in water-related urban infrastructure, whereas the environmental indicator depicts a decreasing trend. Future projected trends for Iran's hydro-climate show a general decline in its net availability from already scarce conditions and also increased variability due to climate change. In general, the study indicates both advances in Iran's urban water security recently and severe implications for future water availability in certain regions and periods in the decades to come. The study also advises policymakers to seek to mitigate the water crisis in so far, as also enforced by climate change, by increasing the appropriate infrastructure and using new technologies in the water and wastewater industry.","author":[{"dropping-particle":"","family":"Karimi Alavijeh","given":"Nooshin","non-dropping-particle":"","parse-names":false,"suffix":""},{"dropping-particle":"","family":"Falahi","given":"Mohammad Ali","non-dropping-particle":"","parse-names":false,"suffix":""},{"dropping-particle":"","family":"Ahmadi Shadmehri","given":"Mohammad Taher","non-dropping-particle":"","parse-names":false,"suffix":""},{"dropping-particle":"","family":"Salehnia","given":"Narges","non-dropping-particle":"","parse-names":false,"suffix":""},{"dropping-particle":"","family":"Larsen","given":"Morten Andreas Dahl","non-dropping-particle":"","parse-names":false,"suffix":""},{"dropping-particle":"","family":"Drews","given":"Martin","non-dropping-particle":"","parse-names":false,"suffix":""}],"container-title":"Journal of Cleaner Production","id":"ITEM-1","issue":"December 2020","issued":{"date-parts":[["2021"]]},"page":"129004","publisher":"Elsevier Ltd","title":"Perspectives of current and future urban water security in Iran","type":"article-journal","volume":"321"},"uris":["http://www.mendeley.com/documents/?uuid=030a7e3c-fb62-4aa6-a283-d339dc7aa447"]},{"id":"ITEM-2","itemData":{"DOI":"10.1016/j.ssmph.2018.10.007","ISSN":"23528273","abstract":"A composite metric assessing water security's physical dimension at the micro/ community level is lacking but is essential for setting priorities for program and policy implementations. We prepared an objective index (OI) of water security to measure the physical dimension using a model centered on household water-use behavior in developing countries’ urban areas. A cross-sectional household survey (n = 1500) with multi-stage cluster design was conducted from December 2015 to February 2016 in the Kathmandu Valley, which has faced long-term, severe water shortage. A structured questionnaire probed socio-demographic characteristics, water sources, frequency and quantity of water use, cost related to water, etc. A 15-item water insecurity scale was used to measure subjective and experiential dimension of water insecurity. The World Health Organization Quality of Life – BREF was used to measure quality of life (QoL). The QoL has been considered as proxy of well-being in this study. The OI measured differential water security within small cities, the utility's service areas for instance, and identified area-specific key dimensions that need improvement. Overall, the OI and its key dimensions can be useful measures to design water-scarcity averting programs and policies, specific to a particular community's needs. The increased OI values were significantly and positively associated with better physical and psychological health and better social relationship domains of QoL suggesting health implications of water security.","author":[{"dropping-particle":"","family":"Shrestha","given":"Sadhana","non-dropping-particle":"","parse-names":false,"suffix":""},{"dropping-particle":"","family":"Aihara","given":"Yoko","non-dropping-particle":"","parse-names":false,"suffix":""},{"dropping-particle":"","family":"Bhattarai","given":"Arun P.","non-dropping-particle":"","parse-names":false,"suffix":""},{"dropping-particle":"","family":"Bista","given":"Niranjan","non-dropping-particle":"","parse-names":false,"suffix":""},{"dropping-particle":"","family":"Kondo","given":"Naoki","non-dropping-particle":"","parse-names":false,"suffix":""},{"dropping-particle":"","family":"Futaba","given":"Kazama","non-dropping-particle":"","parse-names":false,"suffix":""},{"dropping-particle":"","family":"Nishida","given":"Kei","non-dropping-particle":"","parse-names":false,"suffix":""},{"dropping-particle":"","family":"Shindo","given":"Junko","non-dropping-particle":"","parse-names":false,"suffix":""}],"container-title":"SSM - Population Health","id":"ITEM-2","issue":"July","issued":{"date-parts":[["2018"]]},"page":"276-285","publisher":"Elsevier","title":"Development of an objective water security index and assessment of its association with quality of life in urban areas of developing countries","type":"article-journal","volume":"6"},"uris":["http://www.mendeley.com/documents/?uuid=137b1be3-8407-4107-8795-cabed4e66329"]}],"mendeley":{"formattedCitation":"(Karimi Alavijeh et al., 2021; Shrestha et al., 2018)","plainTextFormattedCitation":"(Karimi Alavijeh et al., 2021; Shrestha et al., 2018)","previouslyFormattedCitation":"(Karimi Alavijeh et al., 2021; Shrestha et al., 2018)"},"properties":{"noteIndex":0},"schema":"https://github.com/citation-style-language/schema/raw/master/csl-citation.json"}</w:instrText>
      </w:r>
      <w:r w:rsidR="00C060B1">
        <w:rPr>
          <w:rFonts w:eastAsia="Times New Roman"/>
          <w:highlight w:val="white"/>
        </w:rPr>
        <w:fldChar w:fldCharType="separate"/>
      </w:r>
      <w:r w:rsidR="00E700C0" w:rsidRPr="00E700C0">
        <w:rPr>
          <w:rFonts w:eastAsia="Times New Roman"/>
          <w:noProof/>
          <w:highlight w:val="white"/>
        </w:rPr>
        <w:t>(Karimi Alavijeh et al., 2021; Shrestha et al., 2018)</w:t>
      </w:r>
      <w:r w:rsidR="00C060B1">
        <w:rPr>
          <w:rFonts w:eastAsia="Times New Roman"/>
          <w:highlight w:val="white"/>
        </w:rPr>
        <w:fldChar w:fldCharType="end"/>
      </w:r>
      <w:r w:rsidRPr="00773A6E">
        <w:rPr>
          <w:rFonts w:eastAsia="Times New Roman"/>
          <w:highlight w:val="white"/>
        </w:rPr>
        <w:t xml:space="preserve">. </w:t>
      </w:r>
    </w:p>
    <w:p w14:paraId="16362094"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358C9DDD" w14:textId="196A46FD" w:rsidR="00265466" w:rsidRDefault="00265466" w:rsidP="00265466">
      <w:pPr>
        <w:jc w:val="both"/>
        <w:rPr>
          <w:rFonts w:eastAsia="Times New Roman"/>
          <w:highlight w:val="white"/>
        </w:rPr>
      </w:pPr>
      <w:r w:rsidRPr="00773A6E">
        <w:rPr>
          <w:rFonts w:eastAsia="Times New Roman"/>
          <w:highlight w:val="white"/>
        </w:rPr>
        <w:t>In addition, this article uses robust methodological tools for operationalizing the conceptual framework proposed. For the study, indicators that describe the t</w:t>
      </w:r>
      <w:r>
        <w:rPr>
          <w:rFonts w:eastAsia="Times New Roman"/>
          <w:highlight w:val="white"/>
        </w:rPr>
        <w:t xml:space="preserve">erritorial water vulnerability </w:t>
      </w:r>
      <w:r w:rsidRPr="00773A6E">
        <w:rPr>
          <w:rFonts w:eastAsia="Times New Roman"/>
          <w:highlight w:val="white"/>
        </w:rPr>
        <w:t>focusing on the characteristics of the urban drinking water service were developed.</w:t>
      </w:r>
      <w:r w:rsidR="00FD2714">
        <w:rPr>
          <w:rFonts w:eastAsia="Times New Roman"/>
          <w:highlight w:val="white"/>
        </w:rPr>
        <w:t xml:space="preserve"> </w:t>
      </w:r>
      <w:r w:rsidR="00FD2714" w:rsidRPr="00773A6E">
        <w:rPr>
          <w:rFonts w:eastAsia="Times New Roman"/>
          <w:highlight w:val="white"/>
        </w:rPr>
        <w:t>According to our results, variables such as informal settlement coverage, socioeconomic and demographic population conditions and water utility direct services to households should be considered in water security and TWV studies.</w:t>
      </w:r>
    </w:p>
    <w:p w14:paraId="59AF80B6" w14:textId="77777777" w:rsidR="008147D7" w:rsidRPr="00773A6E" w:rsidRDefault="008147D7" w:rsidP="00265466">
      <w:pPr>
        <w:jc w:val="both"/>
        <w:rPr>
          <w:rFonts w:eastAsia="Times New Roman"/>
          <w:highlight w:val="white"/>
        </w:rPr>
      </w:pPr>
    </w:p>
    <w:p w14:paraId="6E9107CA" w14:textId="2C39B3B7" w:rsidR="00265466" w:rsidRPr="00773A6E" w:rsidRDefault="00265466" w:rsidP="00265466">
      <w:pPr>
        <w:jc w:val="both"/>
        <w:rPr>
          <w:rFonts w:eastAsia="Times New Roman"/>
          <w:highlight w:val="white"/>
        </w:rPr>
      </w:pPr>
      <w:r w:rsidRPr="00773A6E">
        <w:rPr>
          <w:rFonts w:eastAsia="Times New Roman"/>
          <w:highlight w:val="white"/>
        </w:rPr>
        <w:t xml:space="preserve">This type of evaluation </w:t>
      </w:r>
      <w:r w:rsidR="00965519">
        <w:rPr>
          <w:rFonts w:eastAsia="Times New Roman"/>
          <w:highlight w:val="white"/>
        </w:rPr>
        <w:t>is not very c</w:t>
      </w:r>
      <w:r w:rsidR="00C23D2B">
        <w:rPr>
          <w:rFonts w:eastAsia="Times New Roman"/>
          <w:highlight w:val="white"/>
        </w:rPr>
        <w:t>ommon</w:t>
      </w:r>
      <w:r w:rsidRPr="00773A6E">
        <w:rPr>
          <w:rFonts w:eastAsia="Times New Roman"/>
          <w:highlight w:val="white"/>
        </w:rPr>
        <w:t xml:space="preserve"> for urban territories in the Latin American contexts. Studies in the region address notions of water security that do not integrate risk as an important element, and the few urban studies in Rio </w:t>
      </w:r>
      <w:r w:rsidRPr="00773A6E">
        <w:rPr>
          <w:rFonts w:eastAsia="Times New Roman"/>
          <w:highlight w:val="white"/>
        </w:rPr>
        <w:lastRenderedPageBreak/>
        <w:t xml:space="preserve">de Janeiro </w:t>
      </w:r>
      <w:r w:rsidR="00C060B1">
        <w:rPr>
          <w:rFonts w:eastAsia="Times New Roman"/>
          <w:highlight w:val="white"/>
        </w:rPr>
        <w:fldChar w:fldCharType="begin" w:fldLock="1"/>
      </w:r>
      <w:r w:rsidR="00C060B1">
        <w:rPr>
          <w:rFonts w:eastAsia="Times New Roman"/>
          <w:highlight w:val="white"/>
        </w:rPr>
        <w:instrText xml:space="preserve">ADDIN CSL_CITATION {"citationItems":[{"id":"ITEM-1","itemData":{"DOI":"10.1590/1809-4422ASOC20190207R1VU2020L6TD","ISSN":"1414753X","abstract":"In this article the authors assess the current level of water security of the population of the Rio de Janeiro metropolis supplied by the Guandu System. It sets out from the premise that water security is only achieved when universal access to water is ensured – that is, when water resources are available, in adequate quantity and quality, along with water services that guarantee the human right to safe drinking water. Based on previous research, a review of the literature and official documents, it was possible to adapt and apply an analytic schema to the case study in order to evaluate the level of water security. The authors conclude that there are many risks associated with the water resources, including climate stressors, but it is the performance of the water supply service that most jeopardizes the current water security of the population of the Rio de Janeiro metropolis; the availability of water resources, both current and future, is not an obstacle to universal access to water.","author":[{"dropping-particle":"","family":"Formiga-Johnsson","given":"Rosa Maria","non-dropping-particle":"","parse-names":false,"suffix":""},{"dropping-particle":"","family":"Britto","given":"Ana Lucia","non-dropping-particle":"","parse-names":false,"suffix":""}],"container-title":"Ambiente e Sociedade","id":"ITEM-1","issued":{"date-parts":[["2020"]]},"page":"1-24","title":"Water security, metropolitan supply and climate change: some considerations concerning the Rio de Janeiro case","type":"article-journal","volume":"23"},"uris":["http://www.mendeley.com/documents/?uuid=814cd091-f9d2-4e08-9cdf-784913cef7ef"]},{"id":"ITEM-2","itemData":{"DOI":"10.1590/1809-4422ASOC150132R1V1912016","ISSN":"1414753X","abstract":"This article aims to contribute to discussions on the management of water resources and the elements associated to water security. The discussion has focused on two main aspects, first, in the theoretical frame </w:instrText>
      </w:r>
      <w:r w:rsidR="00C060B1" w:rsidRPr="00BE1D7E">
        <w:rPr>
          <w:rFonts w:eastAsia="Times New Roman"/>
          <w:highlight w:val="white"/>
          <w:lang w:val="es-CL"/>
        </w:rPr>
        <w:instrText>about discussions of water security and second, in the presentation of the elements which composes the current scenario of water management in the Metropolitan Region of Rio de Janeiro (RMRJ), based in the discussions about the centrality for Rio de Janeiro's water supply focused in Paraíba do Sul river, and in the role of agencies and organisms associated to water management in this territory. Based in the researching about the water availability and quality in Rio de Janeiro and the mechanisms presents in this State, the elements presented in this article demonstrated a context of water insecurity in RMRJ.","author":[{"dropping-particle":"","family":"Santos"</w:instrText>
      </w:r>
      <w:r w:rsidR="00C060B1" w:rsidRPr="00EC2386">
        <w:rPr>
          <w:rFonts w:eastAsia="Times New Roman"/>
          <w:highlight w:val="white"/>
          <w:lang w:val="es-CL"/>
        </w:rPr>
        <w:instrText>,"given":"Bianca Borges Medeiros","non-dropping-particle":"","parse-names":false,"suffix":""}],"container-title":"Ambiente e Sociedade","id":"ITEM-2","issue":"1","issued":{"date-parts":[["2016"]]},"page":"103-120","title":"Water security in the metropolitan region of rio de janeiro: Contributions to the debate","type":"article-journal","volume":"19"},"uris":["http://www.mendeley.com/documents/?uuid=7cb64e93-bc97-40f0-95d2-b09ec9ed302c"]}],"mendeley":{"formattedCitation":"(Formiga-Johnsson &amp; Britto, 2020; B. B. M. Santos, 2016)","plainTextFormattedCitation":"(Formiga-Johnsson &amp; Britto, 2020; B. B. M. Santos, 2016)","previouslyFormattedCitation":"(Formiga-Johnsson &amp; Britto, 2020; B. B. M. Santos, 2016)"},"properties":{"noteIndex":0},"schema":"https://github.com/citation-style-language/schema/raw/master/csl-citation.json"}</w:instrText>
      </w:r>
      <w:r w:rsidR="00C060B1">
        <w:rPr>
          <w:rFonts w:eastAsia="Times New Roman"/>
          <w:highlight w:val="white"/>
        </w:rPr>
        <w:fldChar w:fldCharType="separate"/>
      </w:r>
      <w:r w:rsidR="00C060B1" w:rsidRPr="00EC2386">
        <w:rPr>
          <w:rFonts w:eastAsia="Times New Roman"/>
          <w:noProof/>
          <w:highlight w:val="white"/>
          <w:lang w:val="es-CL"/>
        </w:rPr>
        <w:t>(Formiga-Johnsson &amp; Britto, 2020; B. B. M. Santos, 2016)</w:t>
      </w:r>
      <w:r w:rsidR="00C060B1">
        <w:rPr>
          <w:rFonts w:eastAsia="Times New Roman"/>
          <w:highlight w:val="white"/>
        </w:rPr>
        <w:fldChar w:fldCharType="end"/>
      </w:r>
      <w:r w:rsidRPr="00EC2386">
        <w:rPr>
          <w:rFonts w:eastAsia="Times New Roman"/>
          <w:highlight w:val="white"/>
          <w:lang w:val="es-CL"/>
        </w:rPr>
        <w:t xml:space="preserve">, Fortaleza </w:t>
      </w:r>
      <w:r w:rsidR="00F03FC3">
        <w:rPr>
          <w:rFonts w:eastAsia="Times New Roman"/>
          <w:highlight w:val="white"/>
        </w:rPr>
        <w:fldChar w:fldCharType="begin" w:fldLock="1"/>
      </w:r>
      <w:r w:rsidR="00E700C0">
        <w:rPr>
          <w:rFonts w:eastAsia="Times New Roman"/>
          <w:highlight w:val="white"/>
          <w:lang w:val="es-CL"/>
        </w:rPr>
        <w:instrText>ADDIN CSL_CITATION {"citationItems":[{"id":"ITEM-1","itemData":{"DOI":"10.1590/s1413-41522019181776","ISSN":"14134152","abstract":"The study proposes the use of integrated urban water-management models as a strategy to promote water security and drought preparedness. It was developed in two stages: assessment of water system’s vulnerability; proposition of the integrated urban water management model. In the first step, a flow network model was used to simulate the water system. In the second stage, the inductive method was applied after conducting an exploratory research. The assessment of the water vulnerabilities revealed a deficit in Fortaleza’s water supply in 2.56% of the simulated period and the complete emptying of Castanhão’s reservoir in 6.52% of the months. The integrated urban water management model is based on the management of water supply and water demand. In the first case, it is proposed that Fortaleza’s supply system be constituted by conventional water sources (surface waters) and by alternative sources (groundwater, rainwater, desalination of sea water). For the management of demand, it is pointed out the use of water saving plumbing fixtures and financial mechanisms. This model presents a more robust matrix of water supply sources, which increases the water security of urban centers.","author":[{"dropping-particle":"","family":"Silva","given":"Samiria Maria Oliveira","non-dropping-particle":"","parse-names":false,"suffix":""},{"dropping-particle":"","family":"Filho","given":"Francisco de Assis Souza","non-dropping-particle":"","parse-names":false,"suffix":""},{"dropping-particle":"","family":"Cid","given":"Daniel Antônio Camelo","non-dropping-particle":"","parse-names":false,"suffix":""},{"dropping-particle":"","family":"Aquino","given":"Sandra Helena Silva","non-dropping-particle":"de","parse-names":false,"suffix":""},{"dropping-particle":"","family":"Xavier","given":"Louisse Caroline Peixoto","non-dropping-particle":"","parse-names":false,"suffix":""}],"container-title":"Engenharia Sanitaria e Ambiental","id":"ITEM-1","issue":"2","issued":{"date-parts":[["2019"]]},"page":"239-250","title":"Proposal of integrated urban waters management as a strategy to promote water security: The fortaleza case","type":"article-journal","volume":"24"},"uris":["http://www.mendeley.com/documents/?uuid=a7ff4672-cb5d-4c30-987b-ce76bd0ff5d8"]}],"mendeley":{"formattedCitation":"(Silva et al., 2019)","plainTextFormattedCitation":"(Silva et al., 2019)","previouslyFormattedCitation":"(Silva et al., 2019)"},"properties":{"noteIndex":0},"schema":"https://github.com/citation-style-language/schema/raw/master/csl-citation.json"}</w:instrText>
      </w:r>
      <w:r w:rsidR="00F03FC3">
        <w:rPr>
          <w:rFonts w:eastAsia="Times New Roman"/>
          <w:highlight w:val="white"/>
        </w:rPr>
        <w:fldChar w:fldCharType="separate"/>
      </w:r>
      <w:r w:rsidR="00F03FC3" w:rsidRPr="00EC2386">
        <w:rPr>
          <w:rFonts w:eastAsia="Times New Roman"/>
          <w:noProof/>
          <w:highlight w:val="white"/>
          <w:lang w:val="es-CL"/>
        </w:rPr>
        <w:t>(Silva et al., 2019)</w:t>
      </w:r>
      <w:r w:rsidR="00F03FC3">
        <w:rPr>
          <w:rFonts w:eastAsia="Times New Roman"/>
          <w:highlight w:val="white"/>
        </w:rPr>
        <w:fldChar w:fldCharType="end"/>
      </w:r>
      <w:r w:rsidR="00F03FC3" w:rsidRPr="00EC2386">
        <w:rPr>
          <w:rFonts w:eastAsia="Times New Roman"/>
          <w:highlight w:val="white"/>
          <w:lang w:val="es-CL"/>
        </w:rPr>
        <w:t xml:space="preserve"> </w:t>
      </w:r>
      <w:r w:rsidRPr="00EC2386">
        <w:rPr>
          <w:rFonts w:eastAsia="Times New Roman"/>
          <w:highlight w:val="white"/>
          <w:lang w:val="es-CL"/>
        </w:rPr>
        <w:t xml:space="preserve">and La Paz </w:t>
      </w:r>
      <w:r w:rsidR="00C060B1">
        <w:rPr>
          <w:rFonts w:eastAsia="Times New Roman"/>
          <w:highlight w:val="white"/>
        </w:rPr>
        <w:fldChar w:fldCharType="begin" w:fldLock="1"/>
      </w:r>
      <w:r w:rsidR="00C060B1" w:rsidRPr="00EC2386">
        <w:rPr>
          <w:rFonts w:eastAsia="Times New Roman"/>
          <w:highlight w:val="white"/>
          <w:lang w:val="es-CL"/>
        </w:rPr>
        <w:instrText>ADDIN CSL_CITATION {"citationItems":[{"id":"ITEM-1","itemData":{"DOI":"10.23881/idupbo.021.1-5i","ISSN":"1814-6333","abstract":"El embalse Milluni Grande depende principalmente de la precipitación, siendo vulnerable ante periodos de sequía, de forma que puede afectar a la seguridad hídrica de las ciudades de La Paz y El Alto. Por lo tanto, el presente estudio busca determinar la variación de la cantidad de agua disponible en el embalse bajo el set de escenarios de cambio climático establecidos en el quinto informe del Panel Intergubernamental sobre el Cambio Climático (IPCC) para el periodo 2022-2090. El área de estudio se limitó a la microcuenca Milluni, tomando el embalse Milluni Grande como punto de desemboque. La modelación hidrológica se realizó mediante la herramienta Water Evaluation and Planning System (WEAP) utilizando el ensamble de datos diarios de precipitación y temperatura generado a través de la herramienta Gridded Meteorological Ensemble Tool (GMET). Se incorporaron los escenarios de cambio climático empleando el Modelo 1 del Sistema Terrestre de Noruega NorESM1-M, reduciendo su escala mediante el método no paramétrico de vecinos más cercanos (knn-bootstr</w:instrText>
      </w:r>
      <w:r w:rsidR="00C060B1" w:rsidRPr="00BE1D7E">
        <w:rPr>
          <w:rFonts w:eastAsia="Times New Roman"/>
          <w:highlight w:val="white"/>
          <w:lang w:val="es-CL"/>
        </w:rPr>
        <w:instrText xml:space="preserve">ap). Se obtuvieron las siguientes tendencias para el periodo y área de estudio: incremento general de temperatura, incremento de precipitación en época seca y reducción de precipitación en época húmeda, lo cual puede generar situaciones de sequía. Por otra parte, el caudal de </w:instrText>
      </w:r>
      <w:r w:rsidR="00C060B1" w:rsidRPr="003E0E91">
        <w:rPr>
          <w:rFonts w:eastAsia="Times New Roman"/>
          <w:highlight w:val="white"/>
        </w:rPr>
        <w:instrText>entrada al em</w:instrText>
      </w:r>
      <w:r w:rsidR="00C060B1">
        <w:rPr>
          <w:rFonts w:eastAsia="Times New Roman"/>
          <w:highlight w:val="white"/>
        </w:rPr>
        <w:instrText>balse Milluni Grande tiene tendencia a variar de forma directamente proporcional a la precipitación, mientras que su volumen tiene tendencia a reducirse. Asimismo, puede existir un déficit en la cobertura de los requerimientos de los sitios de demanda, llegando a valores mínimos de 45% para el sistema de distribución Achachicala y 27% para el sistema Meseta. Todos los resultados son acentuados en el escenario pesimista RCP 8.5.","author":[{"dropping-particle":"","family":"Medina","given":"Claudia","non-dropping-particle":"","parse-names":false,"suffix":""}],"container-title":"Investigacion &amp; Desarrollo","id":"ITEM-1","issue":"1","issued":{"date-parts":[["2021"]]},"page":"63-78","title":"Modelación Hidrológica Bajo Escenarios De Cambio Climático Para Un Embalse De Abastecimiento De Agua En La Paz, Bolivia","type":"article-journal","volume":"21"},"uris":["http://www.mendeley.com/documents/?uuid=787e3a85-a75f-4c0f-b930-36adbb8373ff"]}],"mendeley":{"formattedCitation":"(Medina, 2021)","plainTextFormattedCitation":"(Medina, 2021)","previouslyFormattedCitation":"(Medina, 2021)"},"properties":{"noteIndex":0},"schema":"https://github.com/citation-style-language/schema/raw/master/csl-citation.json"}</w:instrText>
      </w:r>
      <w:r w:rsidR="00C060B1">
        <w:rPr>
          <w:rFonts w:eastAsia="Times New Roman"/>
          <w:highlight w:val="white"/>
        </w:rPr>
        <w:fldChar w:fldCharType="separate"/>
      </w:r>
      <w:r w:rsidR="00C060B1" w:rsidRPr="00C060B1">
        <w:rPr>
          <w:rFonts w:eastAsia="Times New Roman"/>
          <w:noProof/>
          <w:highlight w:val="white"/>
        </w:rPr>
        <w:t>(Medina, 2021)</w:t>
      </w:r>
      <w:r w:rsidR="00C060B1">
        <w:rPr>
          <w:rFonts w:eastAsia="Times New Roman"/>
          <w:highlight w:val="white"/>
        </w:rPr>
        <w:fldChar w:fldCharType="end"/>
      </w:r>
      <w:r w:rsidR="00C23D2B">
        <w:rPr>
          <w:rFonts w:eastAsia="Times New Roman"/>
          <w:highlight w:val="white"/>
        </w:rPr>
        <w:t xml:space="preserve"> </w:t>
      </w:r>
      <w:r w:rsidRPr="00773A6E">
        <w:rPr>
          <w:rFonts w:eastAsia="Times New Roman"/>
          <w:highlight w:val="white"/>
        </w:rPr>
        <w:t xml:space="preserve">do not analyze the intra-urban differences and the domestic dimensions of water security quantitatively. On the other hand, recent Latin American literature </w:t>
      </w:r>
      <w:r w:rsidR="00C060B1">
        <w:rPr>
          <w:rFonts w:eastAsia="Times New Roman"/>
          <w:highlight w:val="white"/>
        </w:rPr>
        <w:fldChar w:fldCharType="begin" w:fldLock="1"/>
      </w:r>
      <w:r w:rsidR="00A82EA7">
        <w:rPr>
          <w:rFonts w:eastAsia="Times New Roman"/>
          <w:highlight w:val="white"/>
        </w:rPr>
        <w:instrText>ADDIN CSL_CITATION {"citationItems":[{"id":"ITEM-1","itemData":{"ISBN":"9213225636","abstract":"Este trabajo tiene por objeto analizar el estado de los servicios de agua potable y saneamiento en los países de América Latina y el Caribe al inicio del siglo XXI. A tal fin, y por razones metodológicas, el estudio se divide en dos partes. Una primera sección está dedicada al análisis del acceso a los servicios y la calidad de los mismos. Los niveles de cobertura alcanzados en la región pueden considerarse razonables, con la posible excepción del tratamiento de aguas servidas. Sin embargo, persisten todavía serias deficiencias en el acceso a los servicios, las cuales afectan desproporcionadamente a los grupos de bajos ingresos y las áreas rurales. La insuficiente cobertura y la mala calidad de los servicios no sólo causan efectos negativos en la salud de la población sino que, además, afectan el medio ambiente, la economía, el comercio exterior y la disponibilidad de agua para varios usos. En la segunda parte del estudio se analizan las reformas efectuadas por los países de la región en los años recientes. A pesar de las diferencias que cabe esperar en una región que alberga países muy distintos, las reformas tienen muchas características comunes, como la separación institucional entre las funciones de definición de políticas sectoriales, de regulación económica y de administración de los sistemas; la profundización y consolidación de los procesos de descentralización en la prestación de los servicios; el interés generalizado en promover la participación privada; la formulación de nuevos marcos regulatorios; y la exigencia, nacida de la crisis de los años ochenta, de que los servicios deben tender a autofinanciarse, y cuando así sucede, deben crearse sistemas de subsidio para grupos de bajos ingresos. Por último, se esbozan algunas conclusiones.","author":[{"dropping-particle":"","family":"Peña","given":"Humberto","non-dropping-particle":"","parse-names":false,"suffix":""}],"container-title":"dwwq","id":"ITEM-1","issued":{"date-parts":[["2016"]]},"number-of-pages":"57","title":"Desafíos de la seguridad hídrica en América Latina y el Caribe","type":"report"},"uris":["http://www.mendeley.com/documents/?uuid=60ce2f86-d7c5-49ac-a44f-4caa3f1cdeb8","http://www.mendeley.com/documents/?uuid=7eda6772-b9e6-446a-9f53-d30a8deda0ed"]},{"id":"ITEM-2","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(CEPAL)","id":"ITEM-2","issued":{"date-parts":[["2020"]]},"number-of-pages":"133","title":"Seguridad hídrica y energética en América Latina y el Caribe Definición y aproximación territorial para el análisis Gracias por su interés en esta publicación de la CEPAL","type":"report"},"uris":["http://www.mendeley.com/documents/?uuid=6f1a197d-b9f3-4537-88d6-7224d575d724","http://www.mendeley.com/documents/?uuid=2d2877e3-dabf-4923-9c1c-f2dd59c5e2f6","http://www.mendeley.com/documents/?uuid=eeb42b79-c910-4972-bc26-68261ffe1886"]}],"mendeley":{"formattedCitation":"(Peña, 2016; Urquiza &amp; Billi, 2020)","plainTextFormattedCitation":"(Peña, 2016; Urquiza &amp; Billi, 2020)","previouslyFormattedCitation":"(Peña, 2016; Urquiza &amp; Billi, 2020)"},"properties":{"noteIndex":0},"schema":"https://github.com/citation-style-language/schema/raw/master/csl-citation.json"}</w:instrText>
      </w:r>
      <w:r w:rsidR="00C060B1">
        <w:rPr>
          <w:rFonts w:eastAsia="Times New Roman"/>
          <w:highlight w:val="white"/>
        </w:rPr>
        <w:fldChar w:fldCharType="separate"/>
      </w:r>
      <w:r w:rsidR="00C060B1" w:rsidRPr="00C060B1">
        <w:rPr>
          <w:rFonts w:eastAsia="Times New Roman"/>
          <w:noProof/>
          <w:highlight w:val="white"/>
        </w:rPr>
        <w:t>(Peña, 2016; Urquiza &amp; Billi, 2020)</w:t>
      </w:r>
      <w:r w:rsidR="00C060B1">
        <w:rPr>
          <w:rFonts w:eastAsia="Times New Roman"/>
          <w:highlight w:val="white"/>
        </w:rPr>
        <w:fldChar w:fldCharType="end"/>
      </w:r>
      <w:r w:rsidR="001C0865">
        <w:rPr>
          <w:rFonts w:eastAsia="Times New Roman"/>
          <w:highlight w:val="white"/>
        </w:rPr>
        <w:t xml:space="preserve"> </w:t>
      </w:r>
      <w:r w:rsidRPr="00773A6E">
        <w:rPr>
          <w:rFonts w:eastAsia="Times New Roman"/>
          <w:highlight w:val="white"/>
        </w:rPr>
        <w:t>has advanced in the conceptual discussion without proposing a methodological approach. With the TWV analytical and methodological framework, this gap is addressed.</w:t>
      </w:r>
    </w:p>
    <w:p w14:paraId="4CE4CEC9"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4D6DD624" w14:textId="78C4A041" w:rsidR="008147D7" w:rsidRPr="00773A6E" w:rsidRDefault="00265466" w:rsidP="00265466">
      <w:pPr>
        <w:jc w:val="both"/>
        <w:rPr>
          <w:rFonts w:eastAsia="Times New Roman"/>
          <w:highlight w:val="white"/>
        </w:rPr>
      </w:pPr>
      <w:r w:rsidRPr="00773A6E">
        <w:rPr>
          <w:rFonts w:eastAsia="Times New Roman"/>
          <w:highlight w:val="white"/>
        </w:rPr>
        <w:t>The TWV framework application on the Gran Valparaiso conurbation offers relevant inputs to guide and evaluate public policies in this matter. In particular, in the Chilean case, it is urgent to promote the design of public policies to achieve water security, which is at severe risk, considering that 47.5% of the population in 188 of the 346 communes in the country are under scenarios of water scarcity (DGA, 2022)</w:t>
      </w:r>
    </w:p>
    <w:p w14:paraId="5ACE0324"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11364694" w14:textId="672492AF" w:rsidR="008147D7" w:rsidRPr="00773A6E" w:rsidRDefault="00265466" w:rsidP="008147D7">
      <w:pPr>
        <w:jc w:val="both"/>
        <w:rPr>
          <w:rFonts w:eastAsia="Times New Roman"/>
          <w:highlight w:val="white"/>
        </w:rPr>
      </w:pPr>
      <w:r w:rsidRPr="00773A6E">
        <w:rPr>
          <w:rFonts w:eastAsia="Times New Roman"/>
          <w:highlight w:val="white"/>
        </w:rPr>
        <w:t xml:space="preserve">According to our results and considering the more vulnerable census block profiles from the cluster analysis, some relevant measures that should be addressed for the urban drinking water system of Gran Valparaíso are: increasing the autonomy and efficiency of the drinking water network, strengthening the distribution system to reduce the frequency and duration of unscheduled outages, the regularization of continuous access to drinking water in places supplied by cistern trucks, the development of education programs on water efficiency criteria and the use of alternative sources for the different needs of the system, among others. </w:t>
      </w:r>
      <w:r w:rsidR="008147D7">
        <w:rPr>
          <w:rFonts w:eastAsia="Times New Roman"/>
          <w:highlight w:val="white"/>
        </w:rPr>
        <w:t xml:space="preserve">The design of these </w:t>
      </w:r>
      <w:r w:rsidR="008147D7" w:rsidRPr="00773A6E">
        <w:rPr>
          <w:rFonts w:eastAsia="Times New Roman"/>
          <w:highlight w:val="white"/>
        </w:rPr>
        <w:t>a</w:t>
      </w:r>
      <w:r w:rsidR="008147D7">
        <w:rPr>
          <w:rFonts w:eastAsia="Times New Roman"/>
          <w:highlight w:val="white"/>
        </w:rPr>
        <w:t>daptation actions should consider the</w:t>
      </w:r>
      <w:r w:rsidR="00360503">
        <w:rPr>
          <w:rFonts w:eastAsia="Times New Roman"/>
          <w:highlight w:val="white"/>
        </w:rPr>
        <w:t xml:space="preserve"> </w:t>
      </w:r>
      <w:r w:rsidR="008147D7">
        <w:rPr>
          <w:rFonts w:eastAsia="Times New Roman"/>
          <w:highlight w:val="white"/>
        </w:rPr>
        <w:t xml:space="preserve">cluster profile of the census block, as well </w:t>
      </w:r>
      <w:r w:rsidR="00360503">
        <w:rPr>
          <w:rFonts w:eastAsia="Times New Roman"/>
          <w:highlight w:val="white"/>
        </w:rPr>
        <w:t xml:space="preserve">as </w:t>
      </w:r>
      <w:r w:rsidR="008147D7">
        <w:rPr>
          <w:rFonts w:eastAsia="Times New Roman"/>
          <w:highlight w:val="white"/>
        </w:rPr>
        <w:t xml:space="preserve">the </w:t>
      </w:r>
      <w:r w:rsidR="008147D7" w:rsidRPr="00773A6E">
        <w:rPr>
          <w:rFonts w:eastAsia="Times New Roman"/>
          <w:highlight w:val="white"/>
        </w:rPr>
        <w:t>characteristics at the commune and locality levels where</w:t>
      </w:r>
      <w:r w:rsidR="00360503">
        <w:rPr>
          <w:rFonts w:eastAsia="Times New Roman"/>
          <w:highlight w:val="white"/>
        </w:rPr>
        <w:t xml:space="preserve"> </w:t>
      </w:r>
      <w:r w:rsidR="008147D7">
        <w:rPr>
          <w:rFonts w:eastAsia="Times New Roman"/>
          <w:highlight w:val="white"/>
        </w:rPr>
        <w:t>it</w:t>
      </w:r>
      <w:r w:rsidR="00360503">
        <w:rPr>
          <w:rFonts w:eastAsia="Times New Roman"/>
          <w:highlight w:val="white"/>
        </w:rPr>
        <w:t>’</w:t>
      </w:r>
      <w:r w:rsidR="008147D7">
        <w:rPr>
          <w:rFonts w:eastAsia="Times New Roman"/>
          <w:highlight w:val="white"/>
        </w:rPr>
        <w:t>s located</w:t>
      </w:r>
      <w:r w:rsidR="008147D7" w:rsidRPr="00773A6E">
        <w:rPr>
          <w:rFonts w:eastAsia="Times New Roman"/>
          <w:highlight w:val="white"/>
        </w:rPr>
        <w:t>. These indicators could not be included in the cluster analysis</w:t>
      </w:r>
      <w:r w:rsidR="00FD2714">
        <w:rPr>
          <w:rFonts w:eastAsia="Times New Roman"/>
          <w:highlight w:val="white"/>
        </w:rPr>
        <w:t xml:space="preserve"> because of lack of data at the census block level,</w:t>
      </w:r>
      <w:r w:rsidR="008147D7" w:rsidRPr="00773A6E">
        <w:rPr>
          <w:rFonts w:eastAsia="Times New Roman"/>
          <w:highlight w:val="white"/>
        </w:rPr>
        <w:t xml:space="preserve"> but could reveal key information, such as the different levels of autonomy in the distribution system. In addition, it should be considered that measures aimed at the provision of water services must be addressed in conjunction with the water utility company and the households affected, implying a coordination challenge between local decision-makers, private companies and civil society.</w:t>
      </w:r>
    </w:p>
    <w:p w14:paraId="49071DF8"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311595B3" w14:textId="778DA693" w:rsidR="00265466" w:rsidRPr="00773A6E" w:rsidRDefault="00265466" w:rsidP="00265466">
      <w:pPr>
        <w:jc w:val="both"/>
        <w:rPr>
          <w:rFonts w:eastAsia="Times New Roman"/>
          <w:highlight w:val="white"/>
        </w:rPr>
      </w:pPr>
      <w:r w:rsidRPr="00773A6E">
        <w:rPr>
          <w:rFonts w:eastAsia="Times New Roman"/>
          <w:highlight w:val="white"/>
        </w:rPr>
        <w:t>The analysis presented in the article requires a large amount of spatially disaggregated information, which is not always easily available. The gap in the available data (and</w:t>
      </w:r>
      <w:r w:rsidR="0073457B">
        <w:rPr>
          <w:rFonts w:eastAsia="Times New Roman"/>
          <w:highlight w:val="white"/>
        </w:rPr>
        <w:t xml:space="preserve"> the difficulty in</w:t>
      </w:r>
      <w:r w:rsidRPr="00773A6E">
        <w:rPr>
          <w:rFonts w:eastAsia="Times New Roman"/>
          <w:highlight w:val="white"/>
        </w:rPr>
        <w:t xml:space="preserve"> its access) </w:t>
      </w:r>
      <w:r w:rsidR="0073457B">
        <w:rPr>
          <w:rFonts w:eastAsia="Times New Roman"/>
          <w:highlight w:val="white"/>
        </w:rPr>
        <w:t>restrict</w:t>
      </w:r>
      <w:r w:rsidRPr="00773A6E">
        <w:rPr>
          <w:rFonts w:eastAsia="Times New Roman"/>
          <w:highlight w:val="white"/>
        </w:rPr>
        <w:t xml:space="preserve"> the application of this methodology. In the Chilean case, the fragmentation of the institutionality linked to water management and in charge of raising relevant information for the sector is an obstacle to using and accessing quality information. Some information sources come from the superintendence of water utility services, The Ministry of Public Works water </w:t>
      </w:r>
      <w:r w:rsidR="003E0E91">
        <w:rPr>
          <w:rFonts w:eastAsia="Times New Roman"/>
          <w:highlight w:val="white"/>
        </w:rPr>
        <w:t>department</w:t>
      </w:r>
      <w:r w:rsidRPr="00773A6E">
        <w:rPr>
          <w:rFonts w:eastAsia="Times New Roman"/>
          <w:highlight w:val="white"/>
        </w:rPr>
        <w:t xml:space="preserve">, the regional government, and household surveys, among others. Specifically, we observe that the self-reporting processes carried out by the water utility companies to the superintendence lack a transparency system, adequate accessibility for users, and optimal quality control of what is reported. In this sense, it is urgent to develop methods of indicators, which serve as support for evidence-based decision-making in water resources management, and meet the standards of credibility, legitimacy and relevance for it </w:t>
      </w:r>
      <w:r w:rsidR="00F03FC3">
        <w:rPr>
          <w:rFonts w:eastAsia="Times New Roman"/>
          <w:highlight w:val="white"/>
        </w:rPr>
        <w:fldChar w:fldCharType="begin" w:fldLock="1"/>
      </w:r>
      <w:r w:rsidR="00E700C0">
        <w:rPr>
          <w:rFonts w:eastAsia="Times New Roman"/>
          <w:highlight w:val="white"/>
        </w:rPr>
        <w:instrText>ADDIN CSL_CITATION {"citationItems":[{"id":"ITEM-1","itemData":{"DOI":"10.4337/9781783477043.00015","ISBN":"9781783477043","author":[{"dropping-particle":"","family":"Lehtonen","given":"Markku","non-dropping-particle":"","parse-names":false,"suffix":""}],"container-title":"The Tools of Policy Formulation: Actors, Capacities, Venues and Effects","id":"ITEM-1","issue":"April","issued":{"date-parts":[["2015"]]},"page":"76-99","title":"Indicators: Tools for informing, monitoring or controlling?","type":"article-journal"},"uris":["http://www.mendeley.com/documents/?uuid=02be3df1-9629-4abf-b6a7-683de9061761"]},{"id":"ITEM-2","itemData":{"DOI":"10.1007/s11269-012-0200-4","ISBN":"1126901202004","ISSN":"09204741","abstract":"A new approach is developed for assessing water security status: the Water Security Status Indicators (WSSI) assessment method. The WSSI has four innovative aspects which address important gaps in the literature. First, it was developed in cooperation with end-users, whose participation enabled the design of a user-friendly assessment method. Second, this method is designed to be implemented at the local scale (small scale watershed or sub-watershed). Third, the WSSI is multivariate: it integrates variables pertaining to water quality and water quantity as they relate to aquatic ecosystems and human health. Fourth, the method provides concrete outputs for incorporation into water decision-making processes. In this paper, we document the WSSI assessment method and its application in a community in British Columbia (Canada), including the incorporation of community input into the development and application of the WSSI, and the integration of WSSI results into community water governance. © 2012 Springer Science+Business Media Dordrecht.","author":[{"dropping-particle":"","family":"Norman","given":"Emma S.","non-dropping-particle":"","parse-names":false,"suffix":""},{"dropping-particle":"","family":"Dunn","given":"Gemma","non-dropping-particle":"","parse-names":false,"suffix":""},{"dropping-particle":"","family":"Bakker","given":"Karen","non-dropping-particle":"","parse-names":false,"suffix":""},{"dropping-particle":"","family":"Allen","given":"Diana M.","non-dropping-particle":"","parse-names":false,"suffix":""},{"dropping-particle":"","family":"Albuquerque","given":"Rafael Cavalcanti","non-dropping-particle":"de","parse-names":false,"suffix":""}],"container-title":"Water Resources Management","id":"ITEM-2","issue":"2","issued":{"date-parts":[["2013"]]},"page":"535-551","title":"Water Security Assessment: Integrating Governance and Freshwater Indicators","type":"article-journal","volume":"27"},"uris":["http://www.mendeley.com/documents/?uuid=fb67a566-2c3a-4060-aa43-144261148154"]},{"id":"ITEM-3","itemData":{"DOI":"10.1016/j.envsci.2018.02.003","ISSN":"18736416","abstract":"Water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Policy","id":"ITEM-3","issue":"September 2017","issued":{"date-parts":[["2018"]]},"page":"33-45","publisher":"Elsevier","title":"Urban water security indicators: Development and pilot","type":"article-journal","volume":"83"},"uris":["http://www.mendeley.com/documents/?uuid=e7afa2e0-9e23-40fc-9cf3-be2b7d571e34"]}],"mendeley":{"formattedCitation":"(Jensen &amp; Wu, 2018; Lehtonen, 2015; Norman et al., 2013)","plainTextFormattedCitation":"(Jensen &amp; Wu, 2018; Lehtonen, 2015; Norman et al., 2013)","previouslyFormattedCitation":"(Jensen &amp; Wu, 2018; Lehtonen, 2015; Norman et al., 2013)"},"properties":{"noteIndex":0},"schema":"https://github.com/citation-style-language/schema/raw/master/csl-citation.json"}</w:instrText>
      </w:r>
      <w:r w:rsidR="00F03FC3">
        <w:rPr>
          <w:rFonts w:eastAsia="Times New Roman"/>
          <w:highlight w:val="white"/>
        </w:rPr>
        <w:fldChar w:fldCharType="separate"/>
      </w:r>
      <w:r w:rsidR="00EC2386" w:rsidRPr="00EC2386">
        <w:rPr>
          <w:rFonts w:eastAsia="Times New Roman"/>
          <w:noProof/>
          <w:highlight w:val="white"/>
        </w:rPr>
        <w:t>(Jensen &amp; Wu, 2018; Lehtonen, 2015; Norman et al., 2013)</w:t>
      </w:r>
      <w:r w:rsidR="00F03FC3">
        <w:rPr>
          <w:rFonts w:eastAsia="Times New Roman"/>
          <w:highlight w:val="white"/>
        </w:rPr>
        <w:fldChar w:fldCharType="end"/>
      </w:r>
      <w:r w:rsidR="00F03FC3">
        <w:rPr>
          <w:rFonts w:eastAsia="Times New Roman"/>
          <w:highlight w:val="white"/>
        </w:rPr>
        <w:t>.</w:t>
      </w:r>
    </w:p>
    <w:p w14:paraId="004C0CBD" w14:textId="052D1619"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00915BFF" w14:textId="48475838" w:rsidR="00265466" w:rsidRPr="00773A6E" w:rsidRDefault="00265466" w:rsidP="00265466">
      <w:pPr>
        <w:jc w:val="both"/>
        <w:rPr>
          <w:rFonts w:eastAsia="Times New Roman"/>
          <w:highlight w:val="white"/>
        </w:rPr>
      </w:pPr>
      <w:r w:rsidRPr="00773A6E">
        <w:rPr>
          <w:rFonts w:eastAsia="Times New Roman"/>
          <w:highlight w:val="white"/>
        </w:rPr>
        <w:t xml:space="preserve">In addition, the literature highlights the importance of characterizing two dimensions that are not addressed in the TWV analysis in this paper because of the lack of information: governance aspects that affect water management </w:t>
      </w:r>
      <w:r w:rsidR="006F5566">
        <w:rPr>
          <w:rFonts w:eastAsia="Times New Roman"/>
          <w:highlight w:val="white"/>
        </w:rPr>
        <w:fldChar w:fldCharType="begin" w:fldLock="1"/>
      </w:r>
      <w:r w:rsidR="00E700C0">
        <w:rPr>
          <w:rFonts w:eastAsia="Times New Roman"/>
          <w:highlight w:val="white"/>
        </w:rPr>
        <w:instrText>ADDIN CSL_CITATION {"citationItems":[{"id":"ITEM-1","itemData":{"DOI":"10.1016/j.envsci.2018.02.003","ISSN":"18736416","abstract":"Water security is widely recognised as an important and increasingly urgent policy challenge. To address this challenge, appropriate indicators are needed to stimulate policy action and measure the effectiveness of interventions. Indicators are more likely to have an impact on policy formulation when they are valid, credible and salient. This paper applies a co-production approach to develop a set of Urban Water Security Indicators which aim to meet these criteria. The approach was piloted in two cities, Singapore and Hong Kong. Data for a 15-year period were collected and stakeholder consultation and validation conducted. The paper reports on the indicator development process and findings, and reflects on the value of the Urban Water Security Indicators as a tool in policy formulation. The approach is being replicated in a larger group of cities as part of an ongoing research programme.","author":[{"dropping-particle":"","family":"Jensen","given":"Olivia","non-dropping-particle":"","parse-names":false,"suffix":""},{"dropping-particle":"","family":"Wu","given":"Huijuan","non-dropping-particle":"","parse-names":false,"suffix":""}],"container-title":"Environmental Science and Policy","id":"ITEM-1","issue":"September 2017","issued":{"date-parts":[["2018"]]},"page":"33-45","publisher":"Elsevier","title":"Urban water security indicators: Development and pilot","type":"article-journal","volume":"83"},"uris":["http://www.mendeley.com/documents/?uuid=e7afa2e0-9e23-40fc-9cf3-be2b7d571e34"]},{"id":"ITEM-2","itemData":{"DOI":"10.1061/(asce)wr.1943-5452.0000997","ISSN":"0733-9496","abstract":"Urban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Management","id":"ITEM-2","issue":"12","issued":{"date-parts":[["2018"]]},"page":"04018075","title":"Urban Water Security Dashboard: Systems Approach to Characterizing the Water Security of Cities","type":"article-journal","volume":"144"},"uris":["http://www.mendeley.com/documents/?uuid=b992867e-e69c-4237-89b3-40699222dd16"]}],"mendeley":{"formattedCitation":"(Jensen &amp; Wu, 2018; van Ginkel et al., 2018)","plainTextFormattedCitation":"(Jensen &amp; Wu, 2018; van Ginkel et al., 2018)","previouslyFormattedCitation":"(Jensen &amp; Wu, 2018; van Ginkel et al., 2018)"},"properties":{"noteIndex":0},"schema":"https://github.com/citation-style-language/schema/raw/master/csl-citation.json"}</w:instrText>
      </w:r>
      <w:r w:rsidR="006F5566">
        <w:rPr>
          <w:rFonts w:eastAsia="Times New Roman"/>
          <w:highlight w:val="white"/>
        </w:rPr>
        <w:fldChar w:fldCharType="separate"/>
      </w:r>
      <w:r w:rsidR="00EC2386" w:rsidRPr="00EC2386">
        <w:rPr>
          <w:rFonts w:eastAsia="Times New Roman"/>
          <w:noProof/>
          <w:highlight w:val="white"/>
        </w:rPr>
        <w:t>(Jensen &amp; Wu, 2018; van Ginkel et al., 2018)</w:t>
      </w:r>
      <w:r w:rsidR="006F5566">
        <w:rPr>
          <w:rFonts w:eastAsia="Times New Roman"/>
          <w:highlight w:val="white"/>
        </w:rPr>
        <w:fldChar w:fldCharType="end"/>
      </w:r>
      <w:r w:rsidR="0073457B">
        <w:rPr>
          <w:rFonts w:eastAsia="Times New Roman"/>
          <w:highlight w:val="white"/>
        </w:rPr>
        <w:t xml:space="preserve"> </w:t>
      </w:r>
      <w:r w:rsidRPr="00773A6E">
        <w:rPr>
          <w:rFonts w:eastAsia="Times New Roman"/>
          <w:highlight w:val="white"/>
        </w:rPr>
        <w:t xml:space="preserve">and environmental </w:t>
      </w:r>
      <w:r w:rsidR="00FD2714">
        <w:rPr>
          <w:rFonts w:eastAsia="Times New Roman"/>
          <w:highlight w:val="white"/>
        </w:rPr>
        <w:t>degradation at the watershed level</w:t>
      </w:r>
      <w:r w:rsidRPr="00773A6E">
        <w:rPr>
          <w:rFonts w:eastAsia="Times New Roman"/>
          <w:highlight w:val="white"/>
        </w:rPr>
        <w:t>. For the lat</w:t>
      </w:r>
      <w:r w:rsidR="0073457B">
        <w:rPr>
          <w:rFonts w:eastAsia="Times New Roman"/>
          <w:highlight w:val="white"/>
        </w:rPr>
        <w:t>ter</w:t>
      </w:r>
      <w:r w:rsidRPr="00773A6E">
        <w:rPr>
          <w:rFonts w:eastAsia="Times New Roman"/>
          <w:highlight w:val="white"/>
        </w:rPr>
        <w:t xml:space="preserve">, it is especially important to characterize the ecosystems and basins that support the provision of water </w:t>
      </w:r>
      <w:r w:rsidR="006F5566">
        <w:rPr>
          <w:rFonts w:eastAsia="Times New Roman"/>
          <w:highlight w:val="white"/>
        </w:rPr>
        <w:fldChar w:fldCharType="begin" w:fldLock="1"/>
      </w:r>
      <w:r w:rsidR="00E700C0">
        <w:rPr>
          <w:rFonts w:eastAsia="Times New Roman"/>
          <w:highlight w:val="white"/>
        </w:rPr>
        <w:instrText>ADDIN CSL_CITATION {"citationItems":[{"id":"ITEM-1","itemData":{"DOI":"10.3390/su13084132","ISSN":"20711050","abstract":"Ecosystem services refer to the direct and indirect benefits to humanity from an ecosystem. The ability to spatially incorporate multiple biophysical environments is crucial to ecosystem services, thus promoting cooperation between science and policy in seeking solutions to global challenges, including drought disasters. Therefore, understanding ecosystem services, for instance, from forest/vegetation in view of contributing to drought disaster risk adaptation is critical to human-nature interactions and proper sustainable conservation thereof. No known study has been done on ecosystem services and their contributions to drought management or other climate adaptation in South Africa. This study aimed at quantifying drought disaster risk adaptation based on ecosystem services in South Africa. It was identified that ecosystem services to society have been directly affected by anthropogenic and natural phenomena, thereby influencing drought severity and its impacts. These impacts and their associated risks are evident globally, including in South Africa. We found out that ecosystems in South Africa have been affected and extremely vulnerable to recurrent natural disasters, such as droughts. To achieve long-term solutions to such drought-related risks and challenges, feedback mechanisms between human-natural and related factors and ecosystem services-based drought adaptation need to be understood and planned. Timely spatiotemporal assessment, planning and management strategies need to be considered to find solutions or ways forward to South Africa in combating drought disasters.","author":[{"dropping-particle":"","family":"Orimoloye","given":"Israel Ropo","non-dropping-particle":"","parse-names":false,"suffix":""},{"dropping-particle":"","family":"Zhou","given":"Leocadia","non-dropping-particle":"","parse-names":false,"suffix":""},{"dropping-particle":"","family":"Kalumba","given":"Ahmed M.","non-dropping-particle":"","parse-names":false,"suffix":""}],"container-title":"Sustainability (Switzerland)","id":"ITEM-1","issue":"8","issued":{"date-parts":[["2021"]]},"title":"Drought disaster risk adaptation through ecosystem services-based solutions: Way forward for south africa","type":"article-journal","volume":"13"},"uris":["http://www.mendeley.com/documents/?uuid=64c9b459-554e-3f29-90e8-8e243e26ec26","http://www.mendeley.com/documents/?uuid=813bc733-dc3c-414b-a7ff-bf77c222d575"]},{"id":"ITEM-2","itemData":{"DOI":"10.1016/j.scitotenv.2021.146237","ISSN":"18791026","PMID":"34030251","abstract":"The concept of Nature-Based Solutions (NBS) has emerged to foster sustainable development by transversally addressing social, economic, and environmental urban challenges. However, there is still a considerable lack of agreement on the conceptualization of NBS, especially concerning typologies, nomenclature, and performance assessments in terms of ecosystem services (ES) and urban challenges (UC). Therefore, this article consolidates the knowledge from 4 European projects to set a path for a common understanding of NBS and thus, facilitate their mainstreaming. To do so, firstly, we performed elicitation workshops to develop an integrative list of NBS, based on the identification of overlaps among NBS from different projects. The terminologies were formalized via web-based surveys. Secondly, the NBS were clustered, following a conceptual hierarchical classification. Thirdly, we developed an integrative assessment of NBS performance (ES and UC) based on the qualitative evaluations from each project. Afterwards, we run a PCA and calculated the evenness index to explore patterns among NBS. The main conceptual advancement resides in providing a list of 32 NBS and putting forward two novel NBS categories: NBS units (NBSu) that are stand-alone green technologies or green urban spaces, which can be combined with other solutions (nature-based or not); NBS interventions (NBSi) that refer to the act of intervening in existing ecosystems and in NBSu, by applying techniques to support natural processes. The statistical analysis suggests that NBSu are more versatile than NBSi in terms of UC and ES. Moreover, the results of the integrative assessment of NBS performance suggest a greater agreement concerning the role of NBS in addressing environmental UC, cultural and regulating ES than regarding socio-economic UC and supporting and provision ES. Finally, the ‘green factor’ and the replication of non-intensive practices occurring in nature seem to be key criteria for practitioners to identify a particular solution as an NBS.","author":[{"dropping-particle":"","family":"Castellar","given":"J. A.C.","non-dropping-particle":"","parse-names":false,"suffix":""},{"dropping-particle":"","family":"Popartan","given":"L. A.","non-dropping-particle":"","parse-names":false,"suffix":""},{"dropping-particle":"","family":"Pueyo-Ros","given":"J.","non-dropping-particle":"","parse-names":false,"suffix":""},{"dropping-particle":"","family":"Atanasova","given":"N.","non-dropping-particle":"","parse-names":false,"suffix":""},{"dropping-particle":"","family":"Langergraber","given":"G.","non-dropping-particle":"","parse-names":false,"suffix":""},{"dropping-particle":"","family":"Säumel","given":"I.","non-dropping-particle":"","parse-names":false,"suffix":""},{"dropping-particle":"","family":"Corominas","given":"L.","non-dropping-particle":"","parse-names":false,"suffix":""},{"dropping-particle":"","family":"Comas","given":"J.","non-dropping-particle":"","parse-names":false,"suffix":""},{"dropping-particle":"","family":"Acuña","given":"V.","non-dropping-particle":"","parse-names":false,"suffix":""}],"container-title":"Science of the Total Environment","id":"ITEM-2","issued":{"date-parts":[["2021"]]},"page":"146237","publisher":"Elsevier B.V.","title":"Nature-based solutions in the urban context: terminology, classification and scoring for urban challenges and ecosystem services","type":"article-journal","volume":"779"},"uris":["http://www.mendeley.com/documents/?uuid=0bfa15d2-b930-422f-906e-9cab9351cb3f","http://www.mendeley.com/documents/?uuid=2385e782-f96d-4cb1-bca4-453b9284e0f7"]}],"mendeley":{"formattedCitation":"(Castellar et al., 2021; Orimoloye et al., 2021)","plainTextFormattedCitation":"(Castellar et al., 2021; Orimoloye et al., 2021)","previouslyFormattedCitation":"(Castellar et al., 2021; Orimoloye et al., 2021)"},"properties":{"noteIndex":0},"schema":"https://github.com/citation-style-language/schema/raw/master/csl-citation.json"}</w:instrText>
      </w:r>
      <w:r w:rsidR="006F5566">
        <w:rPr>
          <w:rFonts w:eastAsia="Times New Roman"/>
          <w:highlight w:val="white"/>
        </w:rPr>
        <w:fldChar w:fldCharType="separate"/>
      </w:r>
      <w:r w:rsidR="006F5566" w:rsidRPr="006F5566">
        <w:rPr>
          <w:rFonts w:eastAsia="Times New Roman"/>
          <w:noProof/>
          <w:highlight w:val="white"/>
        </w:rPr>
        <w:t>(Castellar et al., 2021; Orimoloye et al., 2021)</w:t>
      </w:r>
      <w:r w:rsidR="006F5566">
        <w:rPr>
          <w:rFonts w:eastAsia="Times New Roman"/>
          <w:highlight w:val="white"/>
        </w:rPr>
        <w:fldChar w:fldCharType="end"/>
      </w:r>
      <w:r w:rsidRPr="00773A6E">
        <w:rPr>
          <w:rFonts w:eastAsia="Times New Roman"/>
          <w:highlight w:val="white"/>
        </w:rPr>
        <w:t xml:space="preserve"> and the risks of natural disasters to which they are exposed </w:t>
      </w:r>
      <w:r w:rsidR="00A03411">
        <w:rPr>
          <w:rFonts w:eastAsia="Times New Roman"/>
          <w:highlight w:val="white"/>
        </w:rPr>
        <w:fldChar w:fldCharType="begin" w:fldLock="1"/>
      </w:r>
      <w:r w:rsidR="00E700C0">
        <w:rPr>
          <w:rFonts w:eastAsia="Times New Roman"/>
          <w:highlight w:val="white"/>
        </w:rPr>
        <w:instrText>ADDIN CSL_CITATION {"citationItems":[{"id":"ITEM-1","itemData":{"DOI":"10.3390/W12051299","ISSN":"20734441","abstract":"Water security is a major concern for water-scarce cities that face dynamic water challenges due to limited water supply, climate change and increasing water demand. Framing urban water security is challenging due to the complexity and uncertainties of the definitions and assessment frameworks concerning urban water security. Several studies have assessed water security by granting priority indicators equal weight without considering or adapting to the local conditions. This study develops a new urban water security assessment framework with application to the water-scarce city of Madaba, Jordan. The study applies the new assessment framework on the study area and measures urban water security using the integrated urban water security index (IUWSI) and the analytic hierarchy process (AHP) as a decision management tool to prioritise and distinguish indicators that affect the four dimensions of urban water security: drinking water, ecosystems, climate change and water-related hazards, and socioeconomic aspects (DECS). The integrated urban water security index (IUWSI) highlights the state of water security and intervention strategies in Madaba. The study reveals that urban water security in Madaba is satisfactory to meet basic needs, with shortcomings in some aspects of the DECS. However, Madaba faces poor security in terms of managing climate-and water-related risks. The IUWSI framework assists with a rational and evidence-based decision-making process, which is important for enhancing water resources management in water-scarce cities.","author":[{"dropping-particle":"","family":"Aboelnga","given":"Hassan Tolba","non-dropping-particle":"","parse-names":false,"suffix":""},{"dropping-particle":"","family":"El-Naser","given":"Hazim","non-dropping-particle":"","parse-names":false,"suffix":""},{"dropping-particle":"","family":"Ribbe","given":"Lars","non-dropping-particle":"","parse-names":false,"suffix":""},{"dropping-particle":"","family":"Frechen","given":"Franz Bernd","non-dropping-particle":"","parse-names":false,"suffix":""}],"container-title":"Water (Switzerland)","id":"ITEM-1","issue":"5","issued":{"date-parts":[["2020"]]},"title":"Assessing water security in water-scarce cities: Applying the integrated urban water security index (IUWSI) in Madaba, Jordan","type":"article-journal","volume":"12"},"uris":["http://www.mendeley.com/documents/?uuid=6ca0887d-715f-432f-9c7c-727ad1c9d1f2"]},{"id":"ITEM-2","itemData":{"DOI":"10.1061/(asce)wr.1943-5452.0000997","ISSN":"0733-9496","abstract":"Urban water security is a major concern in the context of urbanization and climate change. Water security goes beyond having good infrastructure or good governance. Systems thinking can help in understanding the mechanisms that influence the long-term water security of a city. Therefore, we developed a dashboard of 56 indicators based on the pressure-state-impact-response (PSIR) framework. We applied the dashboard to ten cities to capture different characteristics of their water security and ranked the cities based on their overall water security index score. We found the highest levels of water security in wealthy cities in water-abundant environments (Amsterdam and Toronto), in which security is determined by the ability of the city to mitigate flood risks and the sustainability of hinterland dependencies for water supply. The lowest security was found in developing cities (Nairobi, Lima, and Jakarta). Here, the combination of large socioeconomic pressures (e.g., rapid population growth, slums, low GDP, polluting industries) and an inadequate response (weak institutions, and poor planning and operational management) leads to inappropriate fulfilment of all functions of the urban water system.","author":[{"dropping-particle":"","family":"Ginkel","given":"Kees C. H.","non-dropping-particle":"van","parse-names":false,"suffix":""},{"dropping-particle":"","family":"Hoekstra","given":"Arjen Y.","non-dropping-particle":"","parse-names":false,"suffix":""},{"dropping-particle":"","family":"Buurman","given":"Joost","non-dropping-particle":"","parse-names":false,"suffix":""},{"dropping-particle":"","family":"Hogeboom","given":"Rick J.","non-dropping-particle":"","parse-names":false,"suffix":""}],"container-title":"Journal of Water Resources Planning and Management","id":"ITEM-2","issue":"12","issued":{"date-parts":[["2018"]]},"page":"04018075","title":"Urban Water Security Dashboard: Systems Approach to Characterizing the Water Security of Cities","type":"article-journal","volume":"144"},"uris":["http://www.mendeley.com/documents/?uuid=b992867e-e69c-4237-89b3-40699222dd16"]}],"mendeley":{"formattedCitation":"(Aboelnga et al., 2020; van Ginkel et al., 2018)","plainTextFormattedCitation":"(Aboelnga et al., 2020; van Ginkel et al., 2018)","previouslyFormattedCitation":"(Aboelnga et al., 2020; van Ginkel et al., 2018)"},"properties":{"noteIndex":0},"schema":"https://github.com/citation-style-language/schema/raw/master/csl-citation.json"}</w:instrText>
      </w:r>
      <w:r w:rsidR="00A03411">
        <w:rPr>
          <w:rFonts w:eastAsia="Times New Roman"/>
          <w:highlight w:val="white"/>
        </w:rPr>
        <w:fldChar w:fldCharType="separate"/>
      </w:r>
      <w:r w:rsidR="00F03FC3" w:rsidRPr="00F03FC3">
        <w:rPr>
          <w:rFonts w:eastAsia="Times New Roman"/>
          <w:noProof/>
          <w:highlight w:val="white"/>
        </w:rPr>
        <w:t>(Aboelnga et al., 2020; van Ginkel et al., 2018)</w:t>
      </w:r>
      <w:r w:rsidR="00A03411">
        <w:rPr>
          <w:rFonts w:eastAsia="Times New Roman"/>
          <w:highlight w:val="white"/>
        </w:rPr>
        <w:fldChar w:fldCharType="end"/>
      </w:r>
      <w:r w:rsidRPr="00773A6E">
        <w:rPr>
          <w:rFonts w:eastAsia="Times New Roman"/>
          <w:highlight w:val="white"/>
        </w:rPr>
        <w:t xml:space="preserve"> which were not included in the applied methodological framework, because they were outside the territorial extension of the study. Likewise, we did not explicitly consider water governance in this because of the lack of systematized data in the Chilean case. Another dimension that should be characterized in a TWV analysis is the domestic dynamics of households around water (reuse, efficiency, special needs and perceptual scarcity, among others). This was not addressed in the present study due to the lack of household surveys that capture this information. The only household survey with information on household water dynamics is the national census asking about the origin of access to water (variable included in this study), carried out every ten years, making water access monitoring and updating difficult.</w:t>
      </w:r>
    </w:p>
    <w:p w14:paraId="6382F4FE"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31FD94B2" w14:textId="77777777" w:rsidR="00265466" w:rsidRPr="00773A6E" w:rsidRDefault="00265466" w:rsidP="00265466">
      <w:pPr>
        <w:jc w:val="both"/>
        <w:rPr>
          <w:rFonts w:eastAsia="Times New Roman"/>
          <w:highlight w:val="white"/>
        </w:rPr>
      </w:pPr>
      <w:r w:rsidRPr="00773A6E">
        <w:rPr>
          <w:rFonts w:eastAsia="Times New Roman"/>
          <w:highlight w:val="white"/>
        </w:rPr>
        <w:t>Further research should be addressed to cover these aspects and continue advancing in an integrated TWV analysis according to the analytical framework presented. In the first place, as anticipated, it is necessary to evaluate and quantify the vulnerability of the ecological systems that sustain the water services of the study area.</w:t>
      </w:r>
    </w:p>
    <w:p w14:paraId="683E3658"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35B7CB53" w14:textId="1EBC7B87" w:rsidR="00265466" w:rsidRPr="00773A6E" w:rsidRDefault="00265466" w:rsidP="00265466">
      <w:pPr>
        <w:jc w:val="both"/>
        <w:rPr>
          <w:rFonts w:eastAsia="Times New Roman"/>
          <w:highlight w:val="white"/>
        </w:rPr>
      </w:pPr>
      <w:r w:rsidRPr="00773A6E">
        <w:rPr>
          <w:rFonts w:eastAsia="Times New Roman"/>
          <w:highlight w:val="white"/>
        </w:rPr>
        <w:t xml:space="preserve">It should also be noted that a nested vulnerability approach between the different systems in the territory could be considered. Evaluating the vulnerability of the ecological system would allow modeling the natural threats that affect </w:t>
      </w:r>
      <w:r w:rsidRPr="00773A6E">
        <w:rPr>
          <w:rFonts w:eastAsia="Times New Roman"/>
          <w:highlight w:val="white"/>
        </w:rPr>
        <w:lastRenderedPageBreak/>
        <w:t xml:space="preserve">water services and expand the present work, from the quantification of vulnerability to the risk of water insecurity faced by the population exposed </w:t>
      </w:r>
      <w:r w:rsidR="00C060B1">
        <w:rPr>
          <w:rFonts w:eastAsia="Times New Roman"/>
          <w:highlight w:val="white"/>
        </w:rPr>
        <w:fldChar w:fldCharType="begin" w:fldLock="1"/>
      </w:r>
      <w:r w:rsidR="00E700C0">
        <w:rPr>
          <w:rFonts w:eastAsia="Times New Roman"/>
          <w:highlight w:val="white"/>
        </w:rPr>
        <w:instrText>ADDIN CSL_CITATION {"citationItems":[{"id":"ITEM-1","itemData":{"DOI":"10.1016/j.envdev.2020.100606","ISSN":"2211-4645","abstract":"Achieving water security for humans and ecosystems is a pervasive\nchallenge globally. Extensive areas of the Americas are at significant\nrisk of water insecurity, resulting from global-change processes coupled\nwith regional and local impacts. Drought, flooding, and water quality\nchallenges pose significant threats, while at the same time, rapid urban\nexpansion, competing water demands, river modifications, and expanding\nglobal markets for water-intensive agricultural products drive water\ninsecurity. This paper takes a social-ecological systems perspective,\naiming to identify examples and pathways towards resilient ecosystems\nand social development. It draws on lessons from two science-policy\nnetwork projects, one focusing on water scarcity in arid and semi-arid\nregions of Argentina, Chile, Brazil, Peru, Mexico and the United States;\nand the second addressing river and lake basins as sentinels of climate\nvariability and human effects on water quantity and quality in Canada,\nthe United States, Argentina, Colombia, Uruguay and Chile. Together,\nthese `complementary contrasts' provide an analytical basis to\nempirically examine stakeholder engagement, knowledge co-production and\nscience-policy interaction supporting decision-making to achieve water\nsecurity. The paper identifies four tenets for decision-making based on\nwater-security-focused global-change science in the Americas: 1)\nDecision makers should focus on protecting ecosystems because water\nsecurity (along with food and energy security) depend on them; 2)\nWater-use and allocation decisions ought to be made considering future\nenvironmental and societal vulnerabilities, especially climate\nprojections; 3) Holistic approaches (at basin or other appropriate\nlevels) are best suited to ensure social-ecological system resilience\nand reduce vulnerability; and 4) It is essential to support\nlocal/traditional livelihoods, and underserved populations to achieve\nequitable water security and ecosystem resilience.","author":[{"dropping-particle":"","family":"Scott","given":"Christopher A","non-dropping-particle":"","parse-names":false,"suffix":""},{"dropping-particle":"","family":"Zilio","given":"Mariana I","non-dropping-particle":"","parse-names":false,"suffix":""},{"dropping-particle":"","family":"Harmon","given":"Thomas","non-dropping-particle":"","parse-names":false,"suffix":""},{"dropping-particle":"","family":"Zuniga-Teran","given":"Adriana","non-dropping-particle":"","parse-names":false,"suffix":""},{"dropping-particle":"","family":"Diaz-Caravantes","given":"Rolando","non-dropping-particle":"","parse-names":false,"suffix":""},{"dropping-particle":"","family":"Hoyos","given":"Natalia","non-dropping-particle":"","parse-names":false,"suffix":""},{"dropping-particle":"","family":"Perillo","given":"Gerardo M E","non-dropping-particle":"","parse-names":false,"suffix":""},{"dropping-particle":"","family":"Meza","given":"Francisco","non-dropping-particle":"","parse-names":false,"suffix":""},{"dropping-particle":"","family":"Varady","given":"Robert G","non-dropping-particle":"","parse-names":false,"suffix":""},{"dropping-particle":"","family":"Neto","given":"Alfredo Ribeiro","non-dropping-particle":"","parse-names":false,"suffix":""},{"dropping-particle":"","family":"Velez","given":"Maria Isabel","non-dropping-particle":"","parse-names":false,"suffix":""},{"dropping-particle":"","family":"Martin","given":"Facundo","non-dropping-particle":"","parse-names":false,"suffix":""},{"dropping-particle":"","family":"Escobar","given":"Jaime","non-dropping-particle":"","parse-names":false,"suffix":""},{"dropping-particle":"","family":"Piccolo","given":"M Cintia","non-dropping-particle":"","parse-names":false,"suffix":""},{"dropping-particle":"","family":"Mussetta","given":"Paula","non-dropping-particle":"","parse-names":false,"suffix":""},{"dropping-particle":"","family":"Montenegro","given":"Suzana","non-dropping-particle":"","parse-names":false,"suffix":""},{"dropping-particle":"","family":"Rusak","given":"James A","non-dropping-particle":"","parse-names":false,"suffix":""},{"dropping-particle":"","family":"Pineda","given":"Nicolas","non-dropping-particle":"","parse-names":false,"suffix":""}],"container-title":"ENVIRONMENTAL DEVELOPMENT","id":"ITEM-1","issue":"SI","issued":{"date-parts":[["2021","6"]]},"publisher":"ELSEVIER","publisher-place":"RADARWEG 29, 1043 NX AMSTERDAM, NETHERLANDS","title":"Do ecosystem insecurity and social vulnerability lead to failure of water security?","type":"article-journal","volume":"38"},"uris":["http://www.mendeley.com/documents/?uuid=3d2e5739-5d20-45e9-acd5-464feabae34c","http://www.mendeley.com/documents/?uuid=35ee2680-3959-4c83-86cf-79750a9ec5e2"]},{"id":"ITEM-2","itemData":{"DOI":"10.1016/B978-0-12-394846-5.00006-0","abstract":"This chapter presents a conceptual framework (KULTURisk Framework or KR-FWK) and its implementation methods (SERRA or Socio-Economic Regional Risk Assessment) for integrated (physical and economical) risk assessment and evaluation of risk prevention benefits in the field of water-related processes. The KR-FWK (i.e. from the name of the European project within which it originated) and the SERRA approach were developed upon preexisting proposals, with three main innovation aims: (1) to include the social capacities of reducing vulnerability and risk, (2) to provide an operational solution to assess risks, impacts, and the benefits of plausible risk reduction measures, by including a monetary estimation of costs and benefits, and (3) to go beyond the estimation of direct tangible costs. Vulnerability is considered as a result of the interactions between physical (territorial) characteristics and the susceptibility and the capacities of the socioeconomic system to adapt and cope with a specific hazard, expressed as a nondimensional index ranging between 0 and 1. Exposure, is instead assessed in monetary terms, and thus the multiplicative combination of two indices ranging between 0 and 1 (hazard and vulnerability) with a third one (exposure) expressed in monetary terms produces a monetary quantification of risk, which can be used for supporting decisions via cost-benefit analysis. Regarding the third aim of going beyond the estimation of direct tangible damages, operational solutions are proposed to evaluate four possible socioeconomic costs possibly deriving from the adverse consequences of flood, namely direct/indirect and tangible/intangible costs. The proposed methodology aims to be comprehensive with respect to the set of receptors usually considered in the literature of regional risk assessment. The sets of receptors considered are people, economic activities, categorized as (1) buildings; (2) infrastructures; and (3) agriculture and cultural heritage and ecosystems. We show how to apply SERRA and the KR-FWK in the case of Dhaka/Lower Brahmaputra/Bangladesh, by reusing elaborations already done or in progress and by developing some minimal new work; e.g. to demonstrate indirect/intangible costs.","author":[{"dropping-particle":"","family":"Giupponi","given":"Carlo","non-dropping-particle":"","parse-names":false,"suffix":""},{"dropping-particle":"","family":"Mojtahed","given":"Vahid","non-dropping-particle":"","parse-names":false,"suffix":""},{"dropping-particle":"","family":"Gain","given":"Animesh K.","non-dropping-particle":"","parse-names":false,"suffix":""},{"dropping-particle":"","family":"Biscaro","given":"Claudio","non-dropping-particle":"","parse-names":false,"suffix":""},{"dropping-particle":"","family":"Balbi","given":"Stefano","non-dropping-particle":"","parse-names":false,"suffix":""}],"container-title":"Hydro-Meteorological Hazards, Risks, and Disasters","id":"ITEM-2","issued":{"date-parts":[["2015","1","1"]]},"page":"163-200","publisher":"Elsevier","title":"Integrated Risk Assessment of Water-Related Disasters","type":"article-journal"},"uris":["http://www.mendeley.com/documents/?uuid=1167fa13-abc0-3fc4-b602-e7bc2cdde895","http://www.mendeley.com/documents/?uuid=d4ec0a63-d4b4-49cd-92cd-ab755b844325"]}],"mendeley":{"formattedCitation":"(Giupponi et al., 2015; Scott et al., 2021)","plainTextFormattedCitation":"(Giupponi et al., 2015; Scott et al., 2021)","previouslyFormattedCitation":"(Giupponi et al., 2015; Scott et al., 2021)"},"properties":{"noteIndex":0},"schema":"https://github.com/citation-style-language/schema/raw/master/csl-citation.json"}</w:instrText>
      </w:r>
      <w:r w:rsidR="00C060B1">
        <w:rPr>
          <w:rFonts w:eastAsia="Times New Roman"/>
          <w:highlight w:val="white"/>
        </w:rPr>
        <w:fldChar w:fldCharType="separate"/>
      </w:r>
      <w:r w:rsidR="00C060B1" w:rsidRPr="00C060B1">
        <w:rPr>
          <w:rFonts w:eastAsia="Times New Roman"/>
          <w:noProof/>
          <w:highlight w:val="white"/>
        </w:rPr>
        <w:t>(Giupponi et al., 2015; Scott et al., 2021)</w:t>
      </w:r>
      <w:r w:rsidR="00C060B1">
        <w:rPr>
          <w:rFonts w:eastAsia="Times New Roman"/>
          <w:highlight w:val="white"/>
        </w:rPr>
        <w:fldChar w:fldCharType="end"/>
      </w:r>
      <w:r w:rsidR="00C060B1">
        <w:rPr>
          <w:rFonts w:eastAsia="Times New Roman"/>
          <w:highlight w:val="white"/>
        </w:rPr>
        <w:t>.</w:t>
      </w:r>
    </w:p>
    <w:p w14:paraId="67000492"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06BC3194" w14:textId="77777777" w:rsidR="00265466" w:rsidRPr="00773A6E" w:rsidRDefault="00265466" w:rsidP="00265466">
      <w:pPr>
        <w:jc w:val="both"/>
        <w:rPr>
          <w:rFonts w:eastAsia="Times New Roman"/>
          <w:highlight w:val="white"/>
        </w:rPr>
      </w:pPr>
      <w:r w:rsidRPr="00773A6E">
        <w:rPr>
          <w:rFonts w:eastAsia="Times New Roman"/>
          <w:highlight w:val="white"/>
        </w:rPr>
        <w:t>On the other hand, to advance in territorial analyzes that evaluate the different edges of the TWV, the evaluation of other water services must be considered, such as productive, public interest, cultural, recreational and ecosystem uses, as well as their interrelationships.</w:t>
      </w:r>
    </w:p>
    <w:p w14:paraId="7CC6BAC0"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5CDA6731" w14:textId="1A8718D9" w:rsidR="00265466" w:rsidRPr="00265466" w:rsidRDefault="00265466" w:rsidP="00265466">
      <w:pPr>
        <w:jc w:val="both"/>
        <w:rPr>
          <w:rFonts w:eastAsia="Times New Roman"/>
          <w:highlight w:val="white"/>
        </w:rPr>
      </w:pPr>
      <w:r w:rsidRPr="00773A6E">
        <w:rPr>
          <w:rFonts w:eastAsia="Times New Roman"/>
          <w:highlight w:val="white"/>
        </w:rPr>
        <w:t xml:space="preserve">Finally, to strengthen the understanding of water (in)security, it is necessary to complement the longitudinal perspective (risks) with the cross-sectional observation of insecurity </w:t>
      </w:r>
      <w:r w:rsidRPr="00F87B7A">
        <w:rPr>
          <w:rFonts w:eastAsia="Times New Roman"/>
        </w:rPr>
        <w:t xml:space="preserve">(see figure 1). </w:t>
      </w:r>
      <w:r w:rsidRPr="00773A6E">
        <w:rPr>
          <w:rFonts w:eastAsia="Times New Roman"/>
          <w:highlight w:val="white"/>
        </w:rPr>
        <w:t xml:space="preserve">This requires evaluating the equitable access to water services in the territory in terms of quality and quantity, showing specific gaps in the present </w:t>
      </w:r>
      <w:r w:rsidR="00C060B1">
        <w:rPr>
          <w:rFonts w:eastAsia="Times New Roman"/>
          <w:highlight w:val="white"/>
        </w:rPr>
        <w:fldChar w:fldCharType="begin" w:fldLock="1"/>
      </w:r>
      <w:r w:rsidR="00A82EA7">
        <w:rPr>
          <w:rFonts w:eastAsia="Times New Roman"/>
          <w:highlight w:val="white"/>
        </w:rPr>
        <w:instrText>ADDIN CSL_CITATION {"citationItems":[{"id":"ITEM-1","itemData":{"author":[{"dropping-particle":"","family":"Urquiza","given":"A.","non-dropping-particle":"","parse-names":false,"suffix":""},{"dropping-particle":"","family":"Billi","given":"M.","non-dropping-particle":"","parse-names":false,"suffix":""}],"container-title":"Documentos de Proyectos (LC/TS.2020/138), Santiago, Comisión Económica para América Latina y el Caribe (CEPAL)","id":"ITEM-1","issued":{"date-parts":[["2020"]]},"number-of-pages":"133","title":"Seguridad hídrica y energética en América Latina y el Caribe Definición y aproximación territorial para el análisis Gracias por su interés en esta publicación de la CEPAL","type":"report"},"uris":["http://www.mendeley.com/documents/?uuid=6f1a197d-b9f3-4537-88d6-7224d575d724","http://www.mendeley.com/documents/?uuid=2d2877e3-dabf-4923-9c1c-f2dd59c5e2f6"]}],"mendeley":{"formattedCitation":"(Urquiza &amp; Billi, 2020)","plainTextFormattedCitation":"(Urquiza &amp; Billi, 2020)","previouslyFormattedCitation":"(Urquiza &amp; Billi, 2020)"},"properties":{"noteIndex":0},"schema":"https://github.com/citation-style-language/schema/raw/master/csl-citation.json"}</w:instrText>
      </w:r>
      <w:r w:rsidR="00C060B1">
        <w:rPr>
          <w:rFonts w:eastAsia="Times New Roman"/>
          <w:highlight w:val="white"/>
        </w:rPr>
        <w:fldChar w:fldCharType="separate"/>
      </w:r>
      <w:r w:rsidR="00C060B1" w:rsidRPr="00C060B1">
        <w:rPr>
          <w:rFonts w:eastAsia="Times New Roman"/>
          <w:noProof/>
          <w:highlight w:val="white"/>
        </w:rPr>
        <w:t>(Urquiza &amp; Billi, 2020)</w:t>
      </w:r>
      <w:r w:rsidR="00C060B1">
        <w:rPr>
          <w:rFonts w:eastAsia="Times New Roman"/>
          <w:highlight w:val="white"/>
        </w:rPr>
        <w:fldChar w:fldCharType="end"/>
      </w:r>
      <w:r w:rsidR="001F79E3">
        <w:rPr>
          <w:rFonts w:eastAsia="Times New Roman"/>
          <w:highlight w:val="white"/>
        </w:rPr>
        <w:t>.</w:t>
      </w:r>
    </w:p>
    <w:p w14:paraId="69D87446" w14:textId="00BCC75D" w:rsidR="002F3B11" w:rsidRDefault="00A606ED" w:rsidP="00C81368">
      <w:pPr>
        <w:pStyle w:val="Heading-Main"/>
      </w:pPr>
      <w:r>
        <w:t>7</w:t>
      </w:r>
      <w:r w:rsidR="002F3B11">
        <w:t xml:space="preserve"> Conclusions</w:t>
      </w:r>
    </w:p>
    <w:p w14:paraId="4341C4EC" w14:textId="77777777" w:rsidR="00265466" w:rsidRPr="00773A6E" w:rsidRDefault="00265466" w:rsidP="00265466">
      <w:pPr>
        <w:jc w:val="both"/>
        <w:rPr>
          <w:rFonts w:eastAsia="Times New Roman"/>
          <w:highlight w:val="white"/>
        </w:rPr>
      </w:pPr>
      <w:r w:rsidRPr="00773A6E">
        <w:rPr>
          <w:rFonts w:eastAsia="Times New Roman"/>
          <w:highlight w:val="white"/>
        </w:rPr>
        <w:t>This work develops an analytical, methodological and applied proposal to address and evaluate territorial water vulnerability related to urban water insecurity. Therefore, a broad and flexible analytical framework based on the concept of water security and risk is used, capable of being applied to different systems (ecological, technical and sociocultural) and scales (basins, administrative units, among others), considering the complexity and variety of dimensions of water security. Then the framework was applied to evaluate the TWV associated with the provision of drinking water service for urban domestic use in the Gran Valparaíso conurbation of central Chile.</w:t>
      </w:r>
    </w:p>
    <w:p w14:paraId="4D2C72C4"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3D3BABA9" w14:textId="77777777" w:rsidR="00265466" w:rsidRPr="00773A6E" w:rsidRDefault="00265466" w:rsidP="00265466">
      <w:pPr>
        <w:jc w:val="both"/>
        <w:rPr>
          <w:rFonts w:eastAsia="Times New Roman"/>
          <w:highlight w:val="white"/>
        </w:rPr>
      </w:pPr>
      <w:r w:rsidRPr="00773A6E">
        <w:rPr>
          <w:rFonts w:eastAsia="Times New Roman"/>
          <w:highlight w:val="white"/>
        </w:rPr>
        <w:t>In the study area, the sensitivity and response conditions of the technical and sociocultural systems related to the provision and consumption of drinking water services were evaluated. To develop a single TWV index for each census block, a fuzzy logic method was used to aggregate the indicators considered.</w:t>
      </w:r>
    </w:p>
    <w:p w14:paraId="35353FCC"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56DD40F0" w14:textId="4C92B95D" w:rsidR="00265466" w:rsidRPr="00773A6E" w:rsidRDefault="00265466" w:rsidP="00265466">
      <w:pPr>
        <w:jc w:val="both"/>
        <w:rPr>
          <w:rFonts w:eastAsia="Times New Roman"/>
          <w:highlight w:val="white"/>
        </w:rPr>
      </w:pPr>
      <w:r w:rsidRPr="00773A6E">
        <w:rPr>
          <w:rFonts w:eastAsia="Times New Roman"/>
          <w:highlight w:val="white"/>
        </w:rPr>
        <w:t>Through cluster analysis, different profiles of census blocks are identified whose common characteristics explain their high vulnerability levels. Problems with water supply access, informal settlement coverage, a long time of unscheduled annual cuts appear as the main drivers of a high TWV index in this cluster. Identifying these groups with common characteristics will make it easier for decision-makers to plan and implement public policies by designing packages of measures that respond to the conditions of the block as a whole.</w:t>
      </w:r>
    </w:p>
    <w:p w14:paraId="01110A23" w14:textId="77777777" w:rsidR="00265466" w:rsidRPr="00773A6E" w:rsidRDefault="00265466" w:rsidP="00265466">
      <w:pPr>
        <w:jc w:val="both"/>
        <w:rPr>
          <w:rFonts w:eastAsia="Times New Roman"/>
          <w:highlight w:val="white"/>
        </w:rPr>
      </w:pPr>
      <w:r w:rsidRPr="00773A6E">
        <w:rPr>
          <w:rFonts w:eastAsia="Times New Roman"/>
          <w:highlight w:val="white"/>
        </w:rPr>
        <w:t xml:space="preserve"> </w:t>
      </w:r>
    </w:p>
    <w:p w14:paraId="03820942" w14:textId="318DC9E0" w:rsidR="008147D7" w:rsidRPr="00773A6E" w:rsidRDefault="008147D7" w:rsidP="008147D7">
      <w:pPr>
        <w:jc w:val="both"/>
        <w:rPr>
          <w:rFonts w:eastAsia="Times New Roman"/>
          <w:highlight w:val="white"/>
        </w:rPr>
      </w:pPr>
      <w:r>
        <w:rPr>
          <w:rFonts w:eastAsia="Times New Roman"/>
          <w:highlight w:val="white"/>
        </w:rPr>
        <w:t xml:space="preserve">From the TWV Analysis </w:t>
      </w:r>
      <w:r w:rsidRPr="00773A6E">
        <w:rPr>
          <w:rFonts w:eastAsia="Times New Roman"/>
          <w:highlight w:val="white"/>
        </w:rPr>
        <w:t xml:space="preserve">some relevant </w:t>
      </w:r>
      <w:r>
        <w:rPr>
          <w:rFonts w:eastAsia="Times New Roman"/>
          <w:highlight w:val="white"/>
        </w:rPr>
        <w:t xml:space="preserve">adaptation </w:t>
      </w:r>
      <w:r w:rsidRPr="00773A6E">
        <w:rPr>
          <w:rFonts w:eastAsia="Times New Roman"/>
          <w:highlight w:val="white"/>
        </w:rPr>
        <w:t xml:space="preserve">measures </w:t>
      </w:r>
      <w:r w:rsidR="00360503">
        <w:rPr>
          <w:rFonts w:eastAsia="Times New Roman"/>
          <w:highlight w:val="white"/>
        </w:rPr>
        <w:t xml:space="preserve">were recommended in the discussion. </w:t>
      </w:r>
      <w:r>
        <w:rPr>
          <w:rFonts w:eastAsia="Times New Roman"/>
          <w:highlight w:val="white"/>
        </w:rPr>
        <w:t>These actions</w:t>
      </w:r>
      <w:r w:rsidRPr="00773A6E">
        <w:rPr>
          <w:rFonts w:eastAsia="Times New Roman"/>
          <w:highlight w:val="white"/>
        </w:rPr>
        <w:t xml:space="preserve"> must be addressed</w:t>
      </w:r>
      <w:r w:rsidR="00360503">
        <w:rPr>
          <w:rFonts w:eastAsia="Times New Roman"/>
          <w:highlight w:val="white"/>
        </w:rPr>
        <w:t xml:space="preserve"> </w:t>
      </w:r>
      <w:r>
        <w:rPr>
          <w:rFonts w:eastAsia="Times New Roman"/>
          <w:highlight w:val="white"/>
        </w:rPr>
        <w:t xml:space="preserve">by policy makers </w:t>
      </w:r>
      <w:r w:rsidRPr="00773A6E">
        <w:rPr>
          <w:rFonts w:eastAsia="Times New Roman"/>
          <w:highlight w:val="white"/>
        </w:rPr>
        <w:t>in conjunction with the water utility company and the households affected, implying a coordination challenge between local decision-makers, private companies and civil society.</w:t>
      </w:r>
    </w:p>
    <w:p w14:paraId="6538EBA3" w14:textId="77777777" w:rsidR="00265466" w:rsidRDefault="00265466" w:rsidP="00C81368">
      <w:pPr>
        <w:pStyle w:val="Heading-Main"/>
      </w:pPr>
    </w:p>
    <w:p w14:paraId="3BB30AAB" w14:textId="77777777" w:rsidR="00995CAA" w:rsidRPr="00995CAA" w:rsidRDefault="00995CAA" w:rsidP="00995CAA">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6119FAA2" w14:textId="15B60F6D" w:rsidR="00995CAA" w:rsidRPr="008147D7" w:rsidRDefault="008147D7" w:rsidP="00995CAA">
      <w:pPr>
        <w:shd w:val="clear" w:color="auto" w:fill="FFFFFF"/>
        <w:spacing w:line="480" w:lineRule="auto"/>
        <w:rPr>
          <w:rFonts w:eastAsia="Times New Roman"/>
          <w:highlight w:val="white"/>
        </w:rPr>
      </w:pPr>
      <w:r w:rsidRPr="008147D7">
        <w:rPr>
          <w:rFonts w:eastAsia="Times New Roman"/>
          <w:highlight w:val="white"/>
        </w:rPr>
        <w:t>The authors would like to thank the Ministry of Science and Technology of</w:t>
      </w:r>
      <w:r>
        <w:rPr>
          <w:rFonts w:eastAsia="Times New Roman"/>
          <w:highlight w:val="white"/>
        </w:rPr>
        <w:t xml:space="preserve"> </w:t>
      </w:r>
      <w:r w:rsidRPr="008147D7">
        <w:rPr>
          <w:rFonts w:eastAsia="Times New Roman"/>
          <w:highlight w:val="white"/>
        </w:rPr>
        <w:t>Chile, Center for Climate and Resilience Research (FONDAP #1511009), for institutional support to this research.</w:t>
      </w:r>
      <w:r w:rsidR="00995CAA" w:rsidRPr="008147D7">
        <w:rPr>
          <w:rFonts w:eastAsia="Times New Roman"/>
          <w:highlight w:val="white"/>
        </w:rPr>
        <w:t> </w:t>
      </w:r>
    </w:p>
    <w:p w14:paraId="3CB0FA2F" w14:textId="3E119C63" w:rsidR="00995CAA" w:rsidRDefault="00995CAA" w:rsidP="00995CAA">
      <w:pPr>
        <w:shd w:val="clear" w:color="auto" w:fill="FFFFFF"/>
        <w:spacing w:line="480" w:lineRule="auto"/>
        <w:rPr>
          <w:rFonts w:eastAsia="Times New Roman"/>
          <w:b/>
          <w:bCs/>
          <w:color w:val="262626"/>
          <w:sz w:val="24"/>
          <w:szCs w:val="24"/>
        </w:rPr>
      </w:pPr>
      <w:r w:rsidRPr="00995CAA">
        <w:rPr>
          <w:rFonts w:eastAsia="Times New Roman"/>
          <w:b/>
          <w:bCs/>
          <w:color w:val="262626"/>
          <w:sz w:val="24"/>
          <w:szCs w:val="24"/>
        </w:rPr>
        <w:t>Open Research</w:t>
      </w:r>
    </w:p>
    <w:p w14:paraId="44A964B8" w14:textId="254CCAEB" w:rsidR="00426913" w:rsidRPr="00497278" w:rsidRDefault="00426913" w:rsidP="00995CAA">
      <w:pPr>
        <w:shd w:val="clear" w:color="auto" w:fill="FFFFFF"/>
        <w:spacing w:line="480" w:lineRule="auto"/>
        <w:rPr>
          <w:rFonts w:eastAsia="Times New Roman"/>
          <w:sz w:val="24"/>
          <w:szCs w:val="24"/>
          <w:lang w:val="es-CL"/>
        </w:rPr>
      </w:pPr>
      <w:r>
        <w:rPr>
          <w:rFonts w:ascii="Arial" w:hAnsi="Arial" w:cs="Arial"/>
          <w:color w:val="1C1D1E"/>
          <w:shd w:val="clear" w:color="auto" w:fill="FFFFFF"/>
        </w:rPr>
        <w:t>The data used in this study can be accessed at the Open Science Framework</w:t>
      </w:r>
      <w:r w:rsidR="00DD752F">
        <w:rPr>
          <w:rFonts w:ascii="Arial" w:hAnsi="Arial" w:cs="Arial"/>
          <w:color w:val="1C1D1E"/>
          <w:shd w:val="clear" w:color="auto" w:fill="FFFFFF"/>
        </w:rPr>
        <w:t xml:space="preserve">. </w:t>
      </w:r>
      <w:r w:rsidR="00545E53">
        <w:rPr>
          <w:rFonts w:ascii="Arial" w:hAnsi="Arial" w:cs="Arial"/>
          <w:color w:val="1C1D1E"/>
          <w:shd w:val="clear" w:color="auto" w:fill="FFFFFF"/>
        </w:rPr>
        <w:t>D</w:t>
      </w:r>
      <w:bookmarkStart w:id="15" w:name="_GoBack"/>
      <w:bookmarkEnd w:id="15"/>
      <w:r w:rsidR="00DD752F" w:rsidRPr="00545E53">
        <w:rPr>
          <w:rFonts w:ascii="Arial" w:hAnsi="Arial" w:cs="Arial"/>
          <w:color w:val="1C1D1E"/>
          <w:shd w:val="clear" w:color="auto" w:fill="FFFFFF"/>
        </w:rPr>
        <w:t>OI 10.17605/OSF.IO/Z273G</w:t>
      </w:r>
    </w:p>
    <w:p w14:paraId="34DABC40" w14:textId="65EFD8C5" w:rsidR="00995CAA" w:rsidRDefault="00995CAA" w:rsidP="00995CAA">
      <w:pPr>
        <w:shd w:val="clear" w:color="auto" w:fill="FFFFFF"/>
        <w:spacing w:line="480" w:lineRule="auto"/>
        <w:rPr>
          <w:rFonts w:eastAsia="Times New Roman"/>
          <w:b/>
          <w:bCs/>
          <w:color w:val="262626"/>
          <w:sz w:val="24"/>
          <w:szCs w:val="24"/>
          <w:lang w:val="es-CL"/>
        </w:rPr>
      </w:pPr>
      <w:r w:rsidRPr="00497278">
        <w:rPr>
          <w:rFonts w:eastAsia="Times New Roman"/>
          <w:b/>
          <w:bCs/>
          <w:color w:val="262626"/>
          <w:sz w:val="24"/>
          <w:szCs w:val="24"/>
          <w:lang w:val="es-CL"/>
        </w:rPr>
        <w:t>References</w:t>
      </w:r>
    </w:p>
    <w:p w14:paraId="368CD9E7" w14:textId="7FD96820" w:rsidR="004E7094" w:rsidRPr="004E7094" w:rsidRDefault="00497278" w:rsidP="004E7094">
      <w:pPr>
        <w:widowControl w:val="0"/>
        <w:autoSpaceDE w:val="0"/>
        <w:autoSpaceDN w:val="0"/>
        <w:adjustRightInd w:val="0"/>
        <w:spacing w:line="480" w:lineRule="auto"/>
        <w:ind w:left="480" w:hanging="480"/>
        <w:rPr>
          <w:noProof/>
          <w:sz w:val="24"/>
          <w:szCs w:val="24"/>
        </w:rPr>
      </w:pPr>
      <w:r>
        <w:rPr>
          <w:rFonts w:eastAsia="Times New Roman"/>
          <w:b/>
          <w:bCs/>
          <w:color w:val="262626"/>
          <w:sz w:val="24"/>
          <w:szCs w:val="24"/>
          <w:lang w:val="es-CL"/>
        </w:rPr>
        <w:fldChar w:fldCharType="begin" w:fldLock="1"/>
      </w:r>
      <w:r>
        <w:rPr>
          <w:rFonts w:eastAsia="Times New Roman"/>
          <w:b/>
          <w:bCs/>
          <w:color w:val="262626"/>
          <w:sz w:val="24"/>
          <w:szCs w:val="24"/>
          <w:lang w:val="es-CL"/>
        </w:rPr>
        <w:instrText xml:space="preserve">ADDIN Mendeley Bibliography CSL_BIBLIOGRAPHY </w:instrText>
      </w:r>
      <w:r>
        <w:rPr>
          <w:rFonts w:eastAsia="Times New Roman"/>
          <w:b/>
          <w:bCs/>
          <w:color w:val="262626"/>
          <w:sz w:val="24"/>
          <w:szCs w:val="24"/>
          <w:lang w:val="es-CL"/>
        </w:rPr>
        <w:fldChar w:fldCharType="separate"/>
      </w:r>
      <w:r w:rsidR="004E7094" w:rsidRPr="004E7094">
        <w:rPr>
          <w:noProof/>
          <w:sz w:val="24"/>
          <w:szCs w:val="24"/>
        </w:rPr>
        <w:t xml:space="preserve">Aboelnga, H. T., El-Naser, H., Ribbe, L., &amp; Frechen, F. B. (2020). Assessing water security in water-scarce cities: Applying the integrated urban water security index (IUWSI) in Madaba, </w:t>
      </w:r>
      <w:r w:rsidR="004E7094" w:rsidRPr="004E7094">
        <w:rPr>
          <w:noProof/>
          <w:sz w:val="24"/>
          <w:szCs w:val="24"/>
        </w:rPr>
        <w:lastRenderedPageBreak/>
        <w:t xml:space="preserve">Jordan. </w:t>
      </w:r>
      <w:r w:rsidR="004E7094" w:rsidRPr="004E7094">
        <w:rPr>
          <w:i/>
          <w:iCs/>
          <w:noProof/>
          <w:sz w:val="24"/>
          <w:szCs w:val="24"/>
        </w:rPr>
        <w:t>Water (Switzerland)</w:t>
      </w:r>
      <w:r w:rsidR="004E7094" w:rsidRPr="004E7094">
        <w:rPr>
          <w:noProof/>
          <w:sz w:val="24"/>
          <w:szCs w:val="24"/>
        </w:rPr>
        <w:t xml:space="preserve">, </w:t>
      </w:r>
      <w:r w:rsidR="004E7094" w:rsidRPr="004E7094">
        <w:rPr>
          <w:i/>
          <w:iCs/>
          <w:noProof/>
          <w:sz w:val="24"/>
          <w:szCs w:val="24"/>
        </w:rPr>
        <w:t>12</w:t>
      </w:r>
      <w:r w:rsidR="004E7094" w:rsidRPr="004E7094">
        <w:rPr>
          <w:noProof/>
          <w:sz w:val="24"/>
          <w:szCs w:val="24"/>
        </w:rPr>
        <w:t>(5). https://doi.org/10.3390/W12051299</w:t>
      </w:r>
    </w:p>
    <w:p w14:paraId="549056A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Adams, E. A., Stoler, J., &amp; Adams, Y. (2020). Water insecurity and urban poverty in the Global South: Implications for health and human biology. </w:t>
      </w:r>
      <w:r w:rsidRPr="004E7094">
        <w:rPr>
          <w:i/>
          <w:iCs/>
          <w:noProof/>
          <w:sz w:val="24"/>
          <w:szCs w:val="24"/>
        </w:rPr>
        <w:t>American Journal of Human Biology</w:t>
      </w:r>
      <w:r w:rsidRPr="004E7094">
        <w:rPr>
          <w:noProof/>
          <w:sz w:val="24"/>
          <w:szCs w:val="24"/>
        </w:rPr>
        <w:t xml:space="preserve">, </w:t>
      </w:r>
      <w:r w:rsidRPr="004E7094">
        <w:rPr>
          <w:i/>
          <w:iCs/>
          <w:noProof/>
          <w:sz w:val="24"/>
          <w:szCs w:val="24"/>
        </w:rPr>
        <w:t>32</w:t>
      </w:r>
      <w:r w:rsidRPr="004E7094">
        <w:rPr>
          <w:noProof/>
          <w:sz w:val="24"/>
          <w:szCs w:val="24"/>
        </w:rPr>
        <w:t>(1), 1–12. https://doi.org/10.1002/ajhb.23368</w:t>
      </w:r>
    </w:p>
    <w:p w14:paraId="4058EF14"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Ahmed, T., Scholz, M., Al-Faraj, F., &amp; Niaz, W. (2016). Water-related impacts of climate change on agriculture and subsequently on public health: A review for generalists with particular reference to Pakistan. </w:t>
      </w:r>
      <w:r w:rsidRPr="004E7094">
        <w:rPr>
          <w:i/>
          <w:iCs/>
          <w:noProof/>
          <w:sz w:val="24"/>
          <w:szCs w:val="24"/>
        </w:rPr>
        <w:t>International Journal of Environmental Research and Public Health</w:t>
      </w:r>
      <w:r w:rsidRPr="004E7094">
        <w:rPr>
          <w:noProof/>
          <w:sz w:val="24"/>
          <w:szCs w:val="24"/>
        </w:rPr>
        <w:t xml:space="preserve">, </w:t>
      </w:r>
      <w:r w:rsidRPr="004E7094">
        <w:rPr>
          <w:i/>
          <w:iCs/>
          <w:noProof/>
          <w:sz w:val="24"/>
          <w:szCs w:val="24"/>
        </w:rPr>
        <w:t>13</w:t>
      </w:r>
      <w:r w:rsidRPr="004E7094">
        <w:rPr>
          <w:noProof/>
          <w:sz w:val="24"/>
          <w:szCs w:val="24"/>
        </w:rPr>
        <w:t>(11), 1–16. https://doi.org/10.3390/ijerph13111051</w:t>
      </w:r>
    </w:p>
    <w:p w14:paraId="2ED8A4C3"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Assefa, Y. T., Babel, M. S., Sušnik, J., &amp; Shinde, V. R. (2018). Development of a generic domesticwater security index, and its application in Addis Ababa, Ethiopia. </w:t>
      </w:r>
      <w:r w:rsidRPr="004E7094">
        <w:rPr>
          <w:i/>
          <w:iCs/>
          <w:noProof/>
          <w:sz w:val="24"/>
          <w:szCs w:val="24"/>
        </w:rPr>
        <w:t>Water (Switzerland)</w:t>
      </w:r>
      <w:r w:rsidRPr="004E7094">
        <w:rPr>
          <w:noProof/>
          <w:sz w:val="24"/>
          <w:szCs w:val="24"/>
        </w:rPr>
        <w:t xml:space="preserve">, </w:t>
      </w:r>
      <w:r w:rsidRPr="004E7094">
        <w:rPr>
          <w:i/>
          <w:iCs/>
          <w:noProof/>
          <w:sz w:val="24"/>
          <w:szCs w:val="24"/>
        </w:rPr>
        <w:t>11</w:t>
      </w:r>
      <w:r w:rsidRPr="004E7094">
        <w:rPr>
          <w:noProof/>
          <w:sz w:val="24"/>
          <w:szCs w:val="24"/>
        </w:rPr>
        <w:t>(1). https://doi.org/10.3390/w11010037</w:t>
      </w:r>
    </w:p>
    <w:p w14:paraId="4835A62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Bartel, R. (2015). Legal geography, geography, and the research-policy nexus. </w:t>
      </w:r>
      <w:r w:rsidRPr="004E7094">
        <w:rPr>
          <w:i/>
          <w:iCs/>
          <w:noProof/>
          <w:sz w:val="24"/>
          <w:szCs w:val="24"/>
        </w:rPr>
        <w:t>Geographical Research</w:t>
      </w:r>
      <w:r w:rsidRPr="004E7094">
        <w:rPr>
          <w:noProof/>
          <w:sz w:val="24"/>
          <w:szCs w:val="24"/>
        </w:rPr>
        <w:t xml:space="preserve">, </w:t>
      </w:r>
      <w:r w:rsidRPr="004E7094">
        <w:rPr>
          <w:i/>
          <w:iCs/>
          <w:noProof/>
          <w:sz w:val="24"/>
          <w:szCs w:val="24"/>
        </w:rPr>
        <w:t>54</w:t>
      </w:r>
      <w:r w:rsidRPr="004E7094">
        <w:rPr>
          <w:noProof/>
          <w:sz w:val="24"/>
          <w:szCs w:val="24"/>
        </w:rPr>
        <w:t>(3), 233–244. https://doi.org/10.1111/1745-5871.12159</w:t>
      </w:r>
    </w:p>
    <w:p w14:paraId="4D3413CA"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Biggs, R., Schluter, M., &amp; Schoon, M. L. (2015). </w:t>
      </w:r>
      <w:r w:rsidRPr="004E7094">
        <w:rPr>
          <w:i/>
          <w:iCs/>
          <w:noProof/>
          <w:sz w:val="24"/>
          <w:szCs w:val="24"/>
        </w:rPr>
        <w:t>Principles for Building Resilience Sustaining Ecosystem Services in Social Ecological Systems | Natural resource management, agriculture, horticulture and forestry | Cambridge University Press</w:t>
      </w:r>
      <w:r w:rsidRPr="004E7094">
        <w:rPr>
          <w:noProof/>
          <w:sz w:val="24"/>
          <w:szCs w:val="24"/>
        </w:rPr>
        <w:t>. 290. http://www.cambridge.org/gb/academic/subjects/life-sciences/natural-resource-management-agriculture-horticulture-and/principles-building-resilience-sustaining-ecosystem-services-social-ecological-systems</w:t>
      </w:r>
    </w:p>
    <w:p w14:paraId="61E7FC4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Binder, C. R., Mühlemeier, S., &amp; Wyss, R. (2017). An indicator-based approach for analyzing the resilience of transitions for energy regions. Part I: Theoretical and conceptual considerations. </w:t>
      </w:r>
      <w:r w:rsidRPr="004E7094">
        <w:rPr>
          <w:i/>
          <w:iCs/>
          <w:noProof/>
          <w:sz w:val="24"/>
          <w:szCs w:val="24"/>
        </w:rPr>
        <w:t>Energies</w:t>
      </w:r>
      <w:r w:rsidRPr="004E7094">
        <w:rPr>
          <w:noProof/>
          <w:sz w:val="24"/>
          <w:szCs w:val="24"/>
        </w:rPr>
        <w:t xml:space="preserve">, </w:t>
      </w:r>
      <w:r w:rsidRPr="004E7094">
        <w:rPr>
          <w:i/>
          <w:iCs/>
          <w:noProof/>
          <w:sz w:val="24"/>
          <w:szCs w:val="24"/>
        </w:rPr>
        <w:t>10</w:t>
      </w:r>
      <w:r w:rsidRPr="004E7094">
        <w:rPr>
          <w:noProof/>
          <w:sz w:val="24"/>
          <w:szCs w:val="24"/>
        </w:rPr>
        <w:t>(1). https://doi.org/10.3390/en10010036</w:t>
      </w:r>
    </w:p>
    <w:p w14:paraId="1BC53B95"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Bretas, F., Casanova, G., Crisman, T., Embid, A., Martin, L., Miralles, F., &amp; Muñoz, R. (2020). </w:t>
      </w:r>
      <w:r w:rsidRPr="004E7094">
        <w:rPr>
          <w:noProof/>
          <w:sz w:val="24"/>
          <w:szCs w:val="24"/>
        </w:rPr>
        <w:lastRenderedPageBreak/>
        <w:t xml:space="preserve">Agua para el futuro: estrategia de seguridad hídrica para América Latina y el Caribe. In </w:t>
      </w:r>
      <w:r w:rsidRPr="004E7094">
        <w:rPr>
          <w:i/>
          <w:iCs/>
          <w:noProof/>
          <w:sz w:val="24"/>
          <w:szCs w:val="24"/>
        </w:rPr>
        <w:t>IADB</w:t>
      </w:r>
      <w:r w:rsidRPr="004E7094">
        <w:rPr>
          <w:noProof/>
          <w:sz w:val="24"/>
          <w:szCs w:val="24"/>
        </w:rPr>
        <w:t>.</w:t>
      </w:r>
    </w:p>
    <w:p w14:paraId="788B812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Calvo, R., Amigo, C., Billi, M., Fleischmann, M., Urquiza, A., Álamos, N., &amp; Navea, J. (2021). Territorial Energy Vulnerability Assessment to Enhance Just Energy Transition of Cities. </w:t>
      </w:r>
      <w:r w:rsidRPr="004E7094">
        <w:rPr>
          <w:i/>
          <w:iCs/>
          <w:noProof/>
          <w:sz w:val="24"/>
          <w:szCs w:val="24"/>
        </w:rPr>
        <w:t>Frontiers in Sustainable Cities</w:t>
      </w:r>
      <w:r w:rsidRPr="004E7094">
        <w:rPr>
          <w:noProof/>
          <w:sz w:val="24"/>
          <w:szCs w:val="24"/>
        </w:rPr>
        <w:t xml:space="preserve">, </w:t>
      </w:r>
      <w:r w:rsidRPr="004E7094">
        <w:rPr>
          <w:i/>
          <w:iCs/>
          <w:noProof/>
          <w:sz w:val="24"/>
          <w:szCs w:val="24"/>
        </w:rPr>
        <w:t>3</w:t>
      </w:r>
      <w:r w:rsidRPr="004E7094">
        <w:rPr>
          <w:noProof/>
          <w:sz w:val="24"/>
          <w:szCs w:val="24"/>
        </w:rPr>
        <w:t>(July), 1–19. https://doi.org/10.3389/frsc.2021.635976</w:t>
      </w:r>
    </w:p>
    <w:p w14:paraId="1AE737C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Carvallo, C. R., &amp; González, P. H. (2020). La gestión del agua en la región de valparaíso. </w:t>
      </w:r>
      <w:r w:rsidRPr="004E7094">
        <w:rPr>
          <w:i/>
          <w:iCs/>
          <w:noProof/>
          <w:sz w:val="24"/>
          <w:szCs w:val="24"/>
        </w:rPr>
        <w:t>Universidad de Valparaíso</w:t>
      </w:r>
      <w:r w:rsidRPr="004E7094">
        <w:rPr>
          <w:noProof/>
          <w:sz w:val="24"/>
          <w:szCs w:val="24"/>
        </w:rPr>
        <w:t xml:space="preserve">, </w:t>
      </w:r>
      <w:r w:rsidRPr="004E7094">
        <w:rPr>
          <w:i/>
          <w:iCs/>
          <w:noProof/>
          <w:sz w:val="24"/>
          <w:szCs w:val="24"/>
        </w:rPr>
        <w:t>3</w:t>
      </w:r>
      <w:r w:rsidRPr="004E7094">
        <w:rPr>
          <w:noProof/>
          <w:sz w:val="24"/>
          <w:szCs w:val="24"/>
        </w:rPr>
        <w:t>, 1–26.</w:t>
      </w:r>
    </w:p>
    <w:p w14:paraId="33526E3C"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Castellar, J. A. C., Popartan, L. A., Pueyo-Ros, J., Atanasova, N., Langergraber, G., Säumel, I., Corominas, L., Comas, J., &amp; Acuña, V. (2021). Nature-based solutions in the urban context: terminology, classification and scoring for urban challenges and ecosystem services. </w:t>
      </w:r>
      <w:r w:rsidRPr="004E7094">
        <w:rPr>
          <w:i/>
          <w:iCs/>
          <w:noProof/>
          <w:sz w:val="24"/>
          <w:szCs w:val="24"/>
        </w:rPr>
        <w:t>Science of the Total Environment</w:t>
      </w:r>
      <w:r w:rsidRPr="004E7094">
        <w:rPr>
          <w:noProof/>
          <w:sz w:val="24"/>
          <w:szCs w:val="24"/>
        </w:rPr>
        <w:t xml:space="preserve">, </w:t>
      </w:r>
      <w:r w:rsidRPr="004E7094">
        <w:rPr>
          <w:i/>
          <w:iCs/>
          <w:noProof/>
          <w:sz w:val="24"/>
          <w:szCs w:val="24"/>
        </w:rPr>
        <w:t>779</w:t>
      </w:r>
      <w:r w:rsidRPr="004E7094">
        <w:rPr>
          <w:noProof/>
          <w:sz w:val="24"/>
          <w:szCs w:val="24"/>
        </w:rPr>
        <w:t>, 146237. https://doi.org/10.1016/j.scitotenv.2021.146237</w:t>
      </w:r>
    </w:p>
    <w:p w14:paraId="7C5BB11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Centro de Ciencia del Clima y la Resiliencia. (2018). Simulaciones climáticas regionales y marco de evaluación de la vulnerabilidad. In </w:t>
      </w:r>
      <w:r w:rsidRPr="004E7094">
        <w:rPr>
          <w:i/>
          <w:iCs/>
          <w:noProof/>
          <w:sz w:val="24"/>
          <w:szCs w:val="24"/>
        </w:rPr>
        <w:t>mandatado por el Ministerio del Medio Ambiente</w:t>
      </w:r>
      <w:r w:rsidRPr="004E7094">
        <w:rPr>
          <w:noProof/>
          <w:sz w:val="24"/>
          <w:szCs w:val="24"/>
        </w:rPr>
        <w:t xml:space="preserve"> (Issue Fondap 1511009). http://www.cr2.cl/wp-content/uploads/2019/06/MARCO_VULNERABILIDAD_CR2_2018.pdf</w:t>
      </w:r>
    </w:p>
    <w:p w14:paraId="64A58928"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Chang, Y. T., Liu, H. L., Bao, A. M., Chen, X., &amp; Wang, L. (2015). Evaluation of urban water resource security under urban expansion using a system dynamics model. </w:t>
      </w:r>
      <w:r w:rsidRPr="004E7094">
        <w:rPr>
          <w:i/>
          <w:iCs/>
          <w:noProof/>
          <w:sz w:val="24"/>
          <w:szCs w:val="24"/>
        </w:rPr>
        <w:t>Water Science and Technology: Water Supply</w:t>
      </w:r>
      <w:r w:rsidRPr="004E7094">
        <w:rPr>
          <w:noProof/>
          <w:sz w:val="24"/>
          <w:szCs w:val="24"/>
        </w:rPr>
        <w:t xml:space="preserve">, </w:t>
      </w:r>
      <w:r w:rsidRPr="004E7094">
        <w:rPr>
          <w:i/>
          <w:iCs/>
          <w:noProof/>
          <w:sz w:val="24"/>
          <w:szCs w:val="24"/>
        </w:rPr>
        <w:t>15</w:t>
      </w:r>
      <w:r w:rsidRPr="004E7094">
        <w:rPr>
          <w:noProof/>
          <w:sz w:val="24"/>
          <w:szCs w:val="24"/>
        </w:rPr>
        <w:t>(6), 1259–1274. https://doi.org/10.2166/ws.2015.092</w:t>
      </w:r>
    </w:p>
    <w:p w14:paraId="3D8BC09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CR2. (n.d.). </w:t>
      </w:r>
      <w:r w:rsidRPr="004E7094">
        <w:rPr>
          <w:i/>
          <w:iCs/>
          <w:noProof/>
          <w:sz w:val="24"/>
          <w:szCs w:val="24"/>
        </w:rPr>
        <w:t>Climate explorer</w:t>
      </w:r>
      <w:r w:rsidRPr="004E7094">
        <w:rPr>
          <w:noProof/>
          <w:sz w:val="24"/>
          <w:szCs w:val="24"/>
        </w:rPr>
        <w:t>. Retrieved September 5, 2022, from https://explorador.cr2.cl/</w:t>
      </w:r>
    </w:p>
    <w:p w14:paraId="35681A6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D’Ercole, R., &amp; Metzger, P. (2009). Las dimensiones espaciales del manejo de crisis. Interés de la investigación y aplicación en Quito. </w:t>
      </w:r>
      <w:r w:rsidRPr="004E7094">
        <w:rPr>
          <w:i/>
          <w:iCs/>
          <w:noProof/>
          <w:sz w:val="24"/>
          <w:szCs w:val="24"/>
        </w:rPr>
        <w:t>Bulletin de l’Institut Français d’études Andines</w:t>
      </w:r>
      <w:r w:rsidRPr="004E7094">
        <w:rPr>
          <w:noProof/>
          <w:sz w:val="24"/>
          <w:szCs w:val="24"/>
        </w:rPr>
        <w:t xml:space="preserve">, </w:t>
      </w:r>
      <w:r w:rsidRPr="004E7094">
        <w:rPr>
          <w:i/>
          <w:iCs/>
          <w:noProof/>
          <w:sz w:val="24"/>
          <w:szCs w:val="24"/>
        </w:rPr>
        <w:t>38</w:t>
      </w:r>
      <w:r w:rsidRPr="004E7094">
        <w:rPr>
          <w:noProof/>
          <w:sz w:val="24"/>
          <w:szCs w:val="24"/>
        </w:rPr>
        <w:t>, 893–915. https://doi.org/10.4000/bifea.2543</w:t>
      </w:r>
    </w:p>
    <w:p w14:paraId="75C9A813"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lastRenderedPageBreak/>
        <w:t xml:space="preserve">Damkjaer, S., &amp; Taylor, R. (2017). The measurement of water scarcity: Defining a meaningful indicator. </w:t>
      </w:r>
      <w:r w:rsidRPr="004E7094">
        <w:rPr>
          <w:i/>
          <w:iCs/>
          <w:noProof/>
          <w:sz w:val="24"/>
          <w:szCs w:val="24"/>
        </w:rPr>
        <w:t>Ambio</w:t>
      </w:r>
      <w:r w:rsidRPr="004E7094">
        <w:rPr>
          <w:noProof/>
          <w:sz w:val="24"/>
          <w:szCs w:val="24"/>
        </w:rPr>
        <w:t xml:space="preserve">, </w:t>
      </w:r>
      <w:r w:rsidRPr="004E7094">
        <w:rPr>
          <w:i/>
          <w:iCs/>
          <w:noProof/>
          <w:sz w:val="24"/>
          <w:szCs w:val="24"/>
        </w:rPr>
        <w:t>46</w:t>
      </w:r>
      <w:r w:rsidRPr="004E7094">
        <w:rPr>
          <w:noProof/>
          <w:sz w:val="24"/>
          <w:szCs w:val="24"/>
        </w:rPr>
        <w:t>(5), 513–531. https://doi.org/10.1007/s13280-017-0912-z</w:t>
      </w:r>
    </w:p>
    <w:p w14:paraId="5441C5C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Danielaini, T. T., Maheshwari, B., &amp; Hagare, D. (2019). An assessment of household water insecurity in a rapidly developing coastal metropolitan region of Indonesia. </w:t>
      </w:r>
      <w:r w:rsidRPr="004E7094">
        <w:rPr>
          <w:i/>
          <w:iCs/>
          <w:noProof/>
          <w:sz w:val="24"/>
          <w:szCs w:val="24"/>
        </w:rPr>
        <w:t>Sustainable Cities and Society</w:t>
      </w:r>
      <w:r w:rsidRPr="004E7094">
        <w:rPr>
          <w:noProof/>
          <w:sz w:val="24"/>
          <w:szCs w:val="24"/>
        </w:rPr>
        <w:t xml:space="preserve">, </w:t>
      </w:r>
      <w:r w:rsidRPr="004E7094">
        <w:rPr>
          <w:i/>
          <w:iCs/>
          <w:noProof/>
          <w:sz w:val="24"/>
          <w:szCs w:val="24"/>
        </w:rPr>
        <w:t>46</w:t>
      </w:r>
      <w:r w:rsidRPr="004E7094">
        <w:rPr>
          <w:noProof/>
          <w:sz w:val="24"/>
          <w:szCs w:val="24"/>
        </w:rPr>
        <w:t>(June 2018), 101382. https://doi.org/10.1016/j.scs.2018.12.010</w:t>
      </w:r>
    </w:p>
    <w:p w14:paraId="7A4C69D5"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Datu, K. (2020). Geographies of local government. </w:t>
      </w:r>
      <w:r w:rsidRPr="004E7094">
        <w:rPr>
          <w:i/>
          <w:iCs/>
          <w:noProof/>
          <w:sz w:val="24"/>
          <w:szCs w:val="24"/>
        </w:rPr>
        <w:t>Geographical Research</w:t>
      </w:r>
      <w:r w:rsidRPr="004E7094">
        <w:rPr>
          <w:noProof/>
          <w:sz w:val="24"/>
          <w:szCs w:val="24"/>
        </w:rPr>
        <w:t xml:space="preserve">, </w:t>
      </w:r>
      <w:r w:rsidRPr="004E7094">
        <w:rPr>
          <w:i/>
          <w:iCs/>
          <w:noProof/>
          <w:sz w:val="24"/>
          <w:szCs w:val="24"/>
        </w:rPr>
        <w:t>58</w:t>
      </w:r>
      <w:r w:rsidRPr="004E7094">
        <w:rPr>
          <w:noProof/>
          <w:sz w:val="24"/>
          <w:szCs w:val="24"/>
        </w:rPr>
        <w:t>(3), 304–309. https://doi.org/10.1111/1745-5871.12404</w:t>
      </w:r>
    </w:p>
    <w:p w14:paraId="6084FFB8"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Dos Santos, S., Adams, E. A., Neville, G., Wada, Y., de Sherbinin, A., Mullin Bernhardt, E., &amp; Adamo, S. B. (2017). Urban growth and water access in sub-Saharan Africa: Progress, challenges, and emerging research directions. </w:t>
      </w:r>
      <w:r w:rsidRPr="004E7094">
        <w:rPr>
          <w:i/>
          <w:iCs/>
          <w:noProof/>
          <w:sz w:val="24"/>
          <w:szCs w:val="24"/>
        </w:rPr>
        <w:t>Science of the Total Environment</w:t>
      </w:r>
      <w:r w:rsidRPr="004E7094">
        <w:rPr>
          <w:noProof/>
          <w:sz w:val="24"/>
          <w:szCs w:val="24"/>
        </w:rPr>
        <w:t xml:space="preserve">, </w:t>
      </w:r>
      <w:r w:rsidRPr="004E7094">
        <w:rPr>
          <w:i/>
          <w:iCs/>
          <w:noProof/>
          <w:sz w:val="24"/>
          <w:szCs w:val="24"/>
        </w:rPr>
        <w:t>607</w:t>
      </w:r>
      <w:r w:rsidRPr="004E7094">
        <w:rPr>
          <w:noProof/>
          <w:sz w:val="24"/>
          <w:szCs w:val="24"/>
        </w:rPr>
        <w:t>–</w:t>
      </w:r>
      <w:r w:rsidRPr="004E7094">
        <w:rPr>
          <w:i/>
          <w:iCs/>
          <w:noProof/>
          <w:sz w:val="24"/>
          <w:szCs w:val="24"/>
        </w:rPr>
        <w:t>608</w:t>
      </w:r>
      <w:r w:rsidRPr="004E7094">
        <w:rPr>
          <w:noProof/>
          <w:sz w:val="24"/>
          <w:szCs w:val="24"/>
        </w:rPr>
        <w:t>, 497–508. https://doi.org/10.1016/j.scitotenv.2017.06.157</w:t>
      </w:r>
    </w:p>
    <w:p w14:paraId="6953330C"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Farinosi, F., Giupponi, C., Reynaud, A., Ceccherini, G., Carmona-Moreno, C., De Roo, A., Gonzalez-Sanchez, D., &amp; Bidoglio, G. (2018). An innovative approach to the assessment of hydro-political risk: A spatially explicit, data driven indicator of hydro-political issues. </w:t>
      </w:r>
      <w:r w:rsidRPr="004E7094">
        <w:rPr>
          <w:i/>
          <w:iCs/>
          <w:noProof/>
          <w:sz w:val="24"/>
          <w:szCs w:val="24"/>
        </w:rPr>
        <w:t>Global Environmental Change</w:t>
      </w:r>
      <w:r w:rsidRPr="004E7094">
        <w:rPr>
          <w:noProof/>
          <w:sz w:val="24"/>
          <w:szCs w:val="24"/>
        </w:rPr>
        <w:t xml:space="preserve">, </w:t>
      </w:r>
      <w:r w:rsidRPr="004E7094">
        <w:rPr>
          <w:i/>
          <w:iCs/>
          <w:noProof/>
          <w:sz w:val="24"/>
          <w:szCs w:val="24"/>
        </w:rPr>
        <w:t>52</w:t>
      </w:r>
      <w:r w:rsidRPr="004E7094">
        <w:rPr>
          <w:noProof/>
          <w:sz w:val="24"/>
          <w:szCs w:val="24"/>
        </w:rPr>
        <w:t>, 286–313. https://doi.org/10.1016/j.gloenvcha.2018.07.001</w:t>
      </w:r>
    </w:p>
    <w:p w14:paraId="37DA4134"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Formiga-Johnsson, R. M., &amp; Britto, A. L. (2020). Water security, metropolitan supply and climate change: some considerations concerning the Rio de Janeiro case. </w:t>
      </w:r>
      <w:r w:rsidRPr="004E7094">
        <w:rPr>
          <w:i/>
          <w:iCs/>
          <w:noProof/>
          <w:sz w:val="24"/>
          <w:szCs w:val="24"/>
        </w:rPr>
        <w:t>Ambiente e Sociedade</w:t>
      </w:r>
      <w:r w:rsidRPr="004E7094">
        <w:rPr>
          <w:noProof/>
          <w:sz w:val="24"/>
          <w:szCs w:val="24"/>
        </w:rPr>
        <w:t xml:space="preserve">, </w:t>
      </w:r>
      <w:r w:rsidRPr="004E7094">
        <w:rPr>
          <w:i/>
          <w:iCs/>
          <w:noProof/>
          <w:sz w:val="24"/>
          <w:szCs w:val="24"/>
        </w:rPr>
        <w:t>23</w:t>
      </w:r>
      <w:r w:rsidRPr="004E7094">
        <w:rPr>
          <w:noProof/>
          <w:sz w:val="24"/>
          <w:szCs w:val="24"/>
        </w:rPr>
        <w:t>, 1–24. https://doi.org/10.1590/1809-4422ASOC20190207R1VU2020L6TD</w:t>
      </w:r>
    </w:p>
    <w:p w14:paraId="4B044CA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Fuster, R., Escobar, C., Silva, K., &amp; Aldunce, P. (2017). Estudio de Seguridad Hídrica en Chile en un contexto de. </w:t>
      </w:r>
      <w:r w:rsidRPr="004E7094">
        <w:rPr>
          <w:i/>
          <w:iCs/>
          <w:noProof/>
          <w:sz w:val="24"/>
          <w:szCs w:val="24"/>
        </w:rPr>
        <w:t>Laboratorio de Análisis Territorial de La Universidad de Chile</w:t>
      </w:r>
      <w:r w:rsidRPr="004E7094">
        <w:rPr>
          <w:noProof/>
          <w:sz w:val="24"/>
          <w:szCs w:val="24"/>
        </w:rPr>
        <w:t>, 129.</w:t>
      </w:r>
    </w:p>
    <w:p w14:paraId="7EFE21B8"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Gampe, D., Nikulin, G., &amp; Ludwig, R. (2016). Using an ensemble of regional climate models to assess climate change impacts on water scarcity in European river basins. </w:t>
      </w:r>
      <w:r w:rsidRPr="004E7094">
        <w:rPr>
          <w:i/>
          <w:iCs/>
          <w:noProof/>
          <w:sz w:val="24"/>
          <w:szCs w:val="24"/>
        </w:rPr>
        <w:t xml:space="preserve">Science of the </w:t>
      </w:r>
      <w:r w:rsidRPr="004E7094">
        <w:rPr>
          <w:i/>
          <w:iCs/>
          <w:noProof/>
          <w:sz w:val="24"/>
          <w:szCs w:val="24"/>
        </w:rPr>
        <w:lastRenderedPageBreak/>
        <w:t>Total Environment</w:t>
      </w:r>
      <w:r w:rsidRPr="004E7094">
        <w:rPr>
          <w:noProof/>
          <w:sz w:val="24"/>
          <w:szCs w:val="24"/>
        </w:rPr>
        <w:t xml:space="preserve">, </w:t>
      </w:r>
      <w:r w:rsidRPr="004E7094">
        <w:rPr>
          <w:i/>
          <w:iCs/>
          <w:noProof/>
          <w:sz w:val="24"/>
          <w:szCs w:val="24"/>
        </w:rPr>
        <w:t>573</w:t>
      </w:r>
      <w:r w:rsidRPr="004E7094">
        <w:rPr>
          <w:noProof/>
          <w:sz w:val="24"/>
          <w:szCs w:val="24"/>
        </w:rPr>
        <w:t>, 1503–1518. https://doi.org/10.1016/j.scitotenv.2016.08.053</w:t>
      </w:r>
    </w:p>
    <w:p w14:paraId="76609BB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Garreaud, R. D., Alvarez-Garreton, C., Barichivich, J., Pablo Boisier, J., Christie, D., Galleguillos, M., LeQuesne, C., McPhee, J., &amp; Zambrano-Bigiarini, M. (2017). The 2010-2015 megadrought in central Chile: Impacts on regional hydroclimate and vegetation. </w:t>
      </w:r>
      <w:r w:rsidRPr="004E7094">
        <w:rPr>
          <w:i/>
          <w:iCs/>
          <w:noProof/>
          <w:sz w:val="24"/>
          <w:szCs w:val="24"/>
        </w:rPr>
        <w:t>Hydrology and Earth System Sciences</w:t>
      </w:r>
      <w:r w:rsidRPr="004E7094">
        <w:rPr>
          <w:noProof/>
          <w:sz w:val="24"/>
          <w:szCs w:val="24"/>
        </w:rPr>
        <w:t xml:space="preserve">, </w:t>
      </w:r>
      <w:r w:rsidRPr="004E7094">
        <w:rPr>
          <w:i/>
          <w:iCs/>
          <w:noProof/>
          <w:sz w:val="24"/>
          <w:szCs w:val="24"/>
        </w:rPr>
        <w:t>21</w:t>
      </w:r>
      <w:r w:rsidRPr="004E7094">
        <w:rPr>
          <w:noProof/>
          <w:sz w:val="24"/>
          <w:szCs w:val="24"/>
        </w:rPr>
        <w:t>(12), 6307–6327. https://doi.org/10.5194/hess-21-6307-2017</w:t>
      </w:r>
    </w:p>
    <w:p w14:paraId="734359EE"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Gassert, F., Landis, M., Luck, M., Reig, P., &amp; Shiao, T. (2014). Aqueduct Global Maps 2.1: Constructing decision-relevant global water risk indicators. </w:t>
      </w:r>
      <w:r w:rsidRPr="004E7094">
        <w:rPr>
          <w:i/>
          <w:iCs/>
          <w:noProof/>
          <w:sz w:val="24"/>
          <w:szCs w:val="24"/>
        </w:rPr>
        <w:t>World Resources Institute</w:t>
      </w:r>
      <w:r w:rsidRPr="004E7094">
        <w:rPr>
          <w:noProof/>
          <w:sz w:val="24"/>
          <w:szCs w:val="24"/>
        </w:rPr>
        <w:t xml:space="preserve">, </w:t>
      </w:r>
      <w:r w:rsidRPr="004E7094">
        <w:rPr>
          <w:i/>
          <w:iCs/>
          <w:noProof/>
          <w:sz w:val="24"/>
          <w:szCs w:val="24"/>
        </w:rPr>
        <w:t>April</w:t>
      </w:r>
      <w:r w:rsidRPr="004E7094">
        <w:rPr>
          <w:noProof/>
          <w:sz w:val="24"/>
          <w:szCs w:val="24"/>
        </w:rPr>
        <w:t>, 31.</w:t>
      </w:r>
    </w:p>
    <w:p w14:paraId="79DDE92E"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Ge, Y., Yang, G., Chen, Y., &amp; Dou, W. (2019). Examining social vulnerability and inequality: A joint analysis through a connectivity lens in the urban agglomerations of China. </w:t>
      </w:r>
      <w:r w:rsidRPr="004E7094">
        <w:rPr>
          <w:i/>
          <w:iCs/>
          <w:noProof/>
          <w:sz w:val="24"/>
          <w:szCs w:val="24"/>
        </w:rPr>
        <w:t>Sustainability (Switzerland)</w:t>
      </w:r>
      <w:r w:rsidRPr="004E7094">
        <w:rPr>
          <w:noProof/>
          <w:sz w:val="24"/>
          <w:szCs w:val="24"/>
        </w:rPr>
        <w:t xml:space="preserve">, </w:t>
      </w:r>
      <w:r w:rsidRPr="004E7094">
        <w:rPr>
          <w:i/>
          <w:iCs/>
          <w:noProof/>
          <w:sz w:val="24"/>
          <w:szCs w:val="24"/>
        </w:rPr>
        <w:t>11</w:t>
      </w:r>
      <w:r w:rsidRPr="004E7094">
        <w:rPr>
          <w:noProof/>
          <w:sz w:val="24"/>
          <w:szCs w:val="24"/>
        </w:rPr>
        <w:t>(4), 1–19. https://doi.org/10.3390/su11041042</w:t>
      </w:r>
    </w:p>
    <w:p w14:paraId="5147954D"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Giupponi, C., Mojtahed, V., Gain, A. K., Biscaro, C., &amp; Balbi, S. (2015). Integrated Risk Assessment of Water-Related Disasters. </w:t>
      </w:r>
      <w:r w:rsidRPr="004E7094">
        <w:rPr>
          <w:i/>
          <w:iCs/>
          <w:noProof/>
          <w:sz w:val="24"/>
          <w:szCs w:val="24"/>
        </w:rPr>
        <w:t>Hydro-Meteorological Hazards, Risks, and Disasters</w:t>
      </w:r>
      <w:r w:rsidRPr="004E7094">
        <w:rPr>
          <w:noProof/>
          <w:sz w:val="24"/>
          <w:szCs w:val="24"/>
        </w:rPr>
        <w:t>, 163–200. https://doi.org/10.1016/B978-0-12-394846-5.00006-0</w:t>
      </w:r>
    </w:p>
    <w:p w14:paraId="42379419"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GIZ. (2017). </w:t>
      </w:r>
      <w:r w:rsidRPr="004E7094">
        <w:rPr>
          <w:i/>
          <w:iCs/>
          <w:noProof/>
          <w:sz w:val="24"/>
          <w:szCs w:val="24"/>
        </w:rPr>
        <w:t>The Vulnerability Sourcebook Concept and guidelines for standardised vulnerability assessments</w:t>
      </w:r>
      <w:r w:rsidRPr="004E7094">
        <w:rPr>
          <w:noProof/>
          <w:sz w:val="24"/>
          <w:szCs w:val="24"/>
        </w:rPr>
        <w:t>. https://www.adaptationcommunity.net/download/va/vulnerability-guides-manuals-reports/vuln_source_2017_EN.pdf</w:t>
      </w:r>
    </w:p>
    <w:p w14:paraId="693956DA"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GIZ, &amp; EURAC. (2017). </w:t>
      </w:r>
      <w:r w:rsidRPr="004E7094">
        <w:rPr>
          <w:i/>
          <w:iCs/>
          <w:noProof/>
          <w:sz w:val="24"/>
          <w:szCs w:val="24"/>
        </w:rPr>
        <w:t>Risk Supplement to the Vulnerability Sourcebook. Guidance on how to apply the Vulnerability Sourcebook’s approach with the new IPCC AR5 concept of climate risk</w:t>
      </w:r>
      <w:r w:rsidRPr="004E7094">
        <w:rPr>
          <w:noProof/>
          <w:sz w:val="24"/>
          <w:szCs w:val="24"/>
        </w:rPr>
        <w:t>. http://www.adaptationcommunity.net/wp-content/uploads/2017/10/GIZ-2017_Risk-Supplement-to-the-Vulnerability-Sourcebook.pdf</w:t>
      </w:r>
    </w:p>
    <w:p w14:paraId="57C5C5E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lastRenderedPageBreak/>
        <w:t xml:space="preserve">Guillermo Donoso, Elisa Blanco, wiliam Foster, Gabriela Franco, J. L. (2012). </w:t>
      </w:r>
      <w:r w:rsidRPr="004E7094">
        <w:rPr>
          <w:i/>
          <w:iCs/>
          <w:noProof/>
          <w:sz w:val="24"/>
          <w:szCs w:val="24"/>
        </w:rPr>
        <w:t>Seguridad Hídrica y Alimentaria en América Latina y España : El Caso de Chile</w:t>
      </w:r>
      <w:r w:rsidRPr="004E7094">
        <w:rPr>
          <w:noProof/>
          <w:sz w:val="24"/>
          <w:szCs w:val="24"/>
        </w:rPr>
        <w:t xml:space="preserve">. </w:t>
      </w:r>
      <w:r w:rsidRPr="004E7094">
        <w:rPr>
          <w:i/>
          <w:iCs/>
          <w:noProof/>
          <w:sz w:val="24"/>
          <w:szCs w:val="24"/>
        </w:rPr>
        <w:t>December</w:t>
      </w:r>
      <w:r w:rsidRPr="004E7094">
        <w:rPr>
          <w:noProof/>
          <w:sz w:val="24"/>
          <w:szCs w:val="24"/>
        </w:rPr>
        <w:t>, 1–463.</w:t>
      </w:r>
    </w:p>
    <w:p w14:paraId="59453D0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Howlett, M. P., &amp; Cuenca, J. S. (2017). The use of indicators in environmental policy appraisal: lessons from the design and evolution of water security policy measures. </w:t>
      </w:r>
      <w:r w:rsidRPr="004E7094">
        <w:rPr>
          <w:i/>
          <w:iCs/>
          <w:noProof/>
          <w:sz w:val="24"/>
          <w:szCs w:val="24"/>
        </w:rPr>
        <w:t>Journal of Environmental Policy and Planning</w:t>
      </w:r>
      <w:r w:rsidRPr="004E7094">
        <w:rPr>
          <w:noProof/>
          <w:sz w:val="24"/>
          <w:szCs w:val="24"/>
        </w:rPr>
        <w:t xml:space="preserve">, </w:t>
      </w:r>
      <w:r w:rsidRPr="004E7094">
        <w:rPr>
          <w:i/>
          <w:iCs/>
          <w:noProof/>
          <w:sz w:val="24"/>
          <w:szCs w:val="24"/>
        </w:rPr>
        <w:t>19</w:t>
      </w:r>
      <w:r w:rsidRPr="004E7094">
        <w:rPr>
          <w:noProof/>
          <w:sz w:val="24"/>
          <w:szCs w:val="24"/>
        </w:rPr>
        <w:t>(2), 229–243. https://doi.org/10.1080/1523908X.2016.1207507</w:t>
      </w:r>
    </w:p>
    <w:p w14:paraId="50430BC9"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Huang, Y., Xu, L., Yin, H., Cai, Y., &amp; Yang, Z. (2015). Dual-level material and psychological assessment of urban water security in a water-stressed coastal city. </w:t>
      </w:r>
      <w:r w:rsidRPr="004E7094">
        <w:rPr>
          <w:i/>
          <w:iCs/>
          <w:noProof/>
          <w:sz w:val="24"/>
          <w:szCs w:val="24"/>
        </w:rPr>
        <w:t>Sustainability (Switzerland)</w:t>
      </w:r>
      <w:r w:rsidRPr="004E7094">
        <w:rPr>
          <w:noProof/>
          <w:sz w:val="24"/>
          <w:szCs w:val="24"/>
        </w:rPr>
        <w:t xml:space="preserve">, </w:t>
      </w:r>
      <w:r w:rsidRPr="004E7094">
        <w:rPr>
          <w:i/>
          <w:iCs/>
          <w:noProof/>
          <w:sz w:val="24"/>
          <w:szCs w:val="24"/>
        </w:rPr>
        <w:t>7</w:t>
      </w:r>
      <w:r w:rsidRPr="004E7094">
        <w:rPr>
          <w:noProof/>
          <w:sz w:val="24"/>
          <w:szCs w:val="24"/>
        </w:rPr>
        <w:t>(4), 3900–3918. https://doi.org/10.3390/su7043900</w:t>
      </w:r>
    </w:p>
    <w:p w14:paraId="3727FA7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Huynh, P. T. A., &amp; Resurreccion, B. P. (2014). Women’s differentiated vulnerability and adaptations to climate-related agricultural water scarcity in rural Central Vietnam. </w:t>
      </w:r>
      <w:r w:rsidRPr="004E7094">
        <w:rPr>
          <w:i/>
          <w:iCs/>
          <w:noProof/>
          <w:sz w:val="24"/>
          <w:szCs w:val="24"/>
        </w:rPr>
        <w:t>Climate and Development</w:t>
      </w:r>
      <w:r w:rsidRPr="004E7094">
        <w:rPr>
          <w:noProof/>
          <w:sz w:val="24"/>
          <w:szCs w:val="24"/>
        </w:rPr>
        <w:t xml:space="preserve">, </w:t>
      </w:r>
      <w:r w:rsidRPr="004E7094">
        <w:rPr>
          <w:i/>
          <w:iCs/>
          <w:noProof/>
          <w:sz w:val="24"/>
          <w:szCs w:val="24"/>
        </w:rPr>
        <w:t>6</w:t>
      </w:r>
      <w:r w:rsidRPr="004E7094">
        <w:rPr>
          <w:noProof/>
          <w:sz w:val="24"/>
          <w:szCs w:val="24"/>
        </w:rPr>
        <w:t>(3), 226–237. https://doi.org/10.1080/17565529.2014.886989</w:t>
      </w:r>
    </w:p>
    <w:p w14:paraId="13C12012"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Hyland, M., &amp; Russ, J. (2019). Water as destiny – The long-term impacts of drought in sub-Saharan Africa. </w:t>
      </w:r>
      <w:r w:rsidRPr="004E7094">
        <w:rPr>
          <w:i/>
          <w:iCs/>
          <w:noProof/>
          <w:sz w:val="24"/>
          <w:szCs w:val="24"/>
        </w:rPr>
        <w:t>World Development</w:t>
      </w:r>
      <w:r w:rsidRPr="004E7094">
        <w:rPr>
          <w:noProof/>
          <w:sz w:val="24"/>
          <w:szCs w:val="24"/>
        </w:rPr>
        <w:t xml:space="preserve">, </w:t>
      </w:r>
      <w:r w:rsidRPr="004E7094">
        <w:rPr>
          <w:i/>
          <w:iCs/>
          <w:noProof/>
          <w:sz w:val="24"/>
          <w:szCs w:val="24"/>
        </w:rPr>
        <w:t>115</w:t>
      </w:r>
      <w:r w:rsidRPr="004E7094">
        <w:rPr>
          <w:noProof/>
          <w:sz w:val="24"/>
          <w:szCs w:val="24"/>
        </w:rPr>
        <w:t>, 30–45. https://doi.org/10.1016/j.worlddev.2018.11.002</w:t>
      </w:r>
    </w:p>
    <w:p w14:paraId="72F80EC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INE (Instituto Nacional de Estadísticas). (2017). </w:t>
      </w:r>
      <w:r w:rsidRPr="004E7094">
        <w:rPr>
          <w:i/>
          <w:iCs/>
          <w:noProof/>
          <w:sz w:val="24"/>
          <w:szCs w:val="24"/>
        </w:rPr>
        <w:t>Censo 2017</w:t>
      </w:r>
      <w:r w:rsidRPr="004E7094">
        <w:rPr>
          <w:noProof/>
          <w:sz w:val="24"/>
          <w:szCs w:val="24"/>
        </w:rPr>
        <w:t>. INE [Data Set]. http://www.censo2017.cl/microdatos</w:t>
      </w:r>
    </w:p>
    <w:p w14:paraId="315BE9FF"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IPCC. (2012). </w:t>
      </w:r>
      <w:r w:rsidRPr="004E7094">
        <w:rPr>
          <w:i/>
          <w:iCs/>
          <w:noProof/>
          <w:sz w:val="24"/>
          <w:szCs w:val="24"/>
        </w:rPr>
        <w:t>Managing the risks of extreme events and disasters to advance climate change adaptation: Special report of the intergovernmental panel on climate change</w:t>
      </w:r>
      <w:r w:rsidRPr="004E7094">
        <w:rPr>
          <w:noProof/>
          <w:sz w:val="24"/>
          <w:szCs w:val="24"/>
        </w:rPr>
        <w:t>. Cambridge University Press.</w:t>
      </w:r>
    </w:p>
    <w:p w14:paraId="2E2C9F4C"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IPCC. (2021). </w:t>
      </w:r>
      <w:r w:rsidRPr="004E7094">
        <w:rPr>
          <w:i/>
          <w:iCs/>
          <w:noProof/>
          <w:sz w:val="24"/>
          <w:szCs w:val="24"/>
        </w:rPr>
        <w:t>Summary for Policymakers. In: Climate Change 2021: The Physical Science Basis. Contribution of Working Group I to the Sixth Assessment Report of the Intergovernmental Panel on Climate Change</w:t>
      </w:r>
      <w:r w:rsidRPr="004E7094">
        <w:rPr>
          <w:noProof/>
          <w:sz w:val="24"/>
          <w:szCs w:val="24"/>
        </w:rPr>
        <w:t>.</w:t>
      </w:r>
    </w:p>
    <w:p w14:paraId="00E8014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lastRenderedPageBreak/>
        <w:t xml:space="preserve">IPCC. (2022). </w:t>
      </w:r>
      <w:r w:rsidRPr="004E7094">
        <w:rPr>
          <w:i/>
          <w:iCs/>
          <w:noProof/>
          <w:sz w:val="24"/>
          <w:szCs w:val="24"/>
        </w:rPr>
        <w:t>Climate Change 2022: Impacts, Adaptation and Vulnerability:water Summary for Policymakers</w:t>
      </w:r>
      <w:r w:rsidRPr="004E7094">
        <w:rPr>
          <w:noProof/>
          <w:sz w:val="24"/>
          <w:szCs w:val="24"/>
        </w:rPr>
        <w:t>.</w:t>
      </w:r>
    </w:p>
    <w:p w14:paraId="5F85AC0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Jensen, O., &amp; Wu, H. (2018). Urban water security indicators: Development and pilot. </w:t>
      </w:r>
      <w:r w:rsidRPr="004E7094">
        <w:rPr>
          <w:i/>
          <w:iCs/>
          <w:noProof/>
          <w:sz w:val="24"/>
          <w:szCs w:val="24"/>
        </w:rPr>
        <w:t>Environmental Science and Policy</w:t>
      </w:r>
      <w:r w:rsidRPr="004E7094">
        <w:rPr>
          <w:noProof/>
          <w:sz w:val="24"/>
          <w:szCs w:val="24"/>
        </w:rPr>
        <w:t xml:space="preserve">, </w:t>
      </w:r>
      <w:r w:rsidRPr="004E7094">
        <w:rPr>
          <w:i/>
          <w:iCs/>
          <w:noProof/>
          <w:sz w:val="24"/>
          <w:szCs w:val="24"/>
        </w:rPr>
        <w:t>83</w:t>
      </w:r>
      <w:r w:rsidRPr="004E7094">
        <w:rPr>
          <w:noProof/>
          <w:sz w:val="24"/>
          <w:szCs w:val="24"/>
        </w:rPr>
        <w:t>(September 2017), 33–45. https://doi.org/10.1016/j.envsci.2018.02.003</w:t>
      </w:r>
    </w:p>
    <w:p w14:paraId="26255AF8"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Karimi Alavijeh, N., Falahi, M. A., Ahmadi Shadmehri, M. T., Salehnia, N., Larsen, M. A. D., &amp; Drews, M. (2021). Perspectives of current and future urban water security in Iran. </w:t>
      </w:r>
      <w:r w:rsidRPr="004E7094">
        <w:rPr>
          <w:i/>
          <w:iCs/>
          <w:noProof/>
          <w:sz w:val="24"/>
          <w:szCs w:val="24"/>
        </w:rPr>
        <w:t>Journal of Cleaner Production</w:t>
      </w:r>
      <w:r w:rsidRPr="004E7094">
        <w:rPr>
          <w:noProof/>
          <w:sz w:val="24"/>
          <w:szCs w:val="24"/>
        </w:rPr>
        <w:t xml:space="preserve">, </w:t>
      </w:r>
      <w:r w:rsidRPr="004E7094">
        <w:rPr>
          <w:i/>
          <w:iCs/>
          <w:noProof/>
          <w:sz w:val="24"/>
          <w:szCs w:val="24"/>
        </w:rPr>
        <w:t>321</w:t>
      </w:r>
      <w:r w:rsidRPr="004E7094">
        <w:rPr>
          <w:noProof/>
          <w:sz w:val="24"/>
          <w:szCs w:val="24"/>
        </w:rPr>
        <w:t>(December 2020), 129004. https://doi.org/10.1016/j.jclepro.2021.129004</w:t>
      </w:r>
    </w:p>
    <w:p w14:paraId="021F938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Kinay, P., Morse, A. P., Villanueva, E. V., Morrissey, K., &amp; Staddon, P. L. (2019). Direct and indirect health impacts of climate change on the vulnerable elderly population in East China. </w:t>
      </w:r>
      <w:r w:rsidRPr="004E7094">
        <w:rPr>
          <w:i/>
          <w:iCs/>
          <w:noProof/>
          <w:sz w:val="24"/>
          <w:szCs w:val="24"/>
        </w:rPr>
        <w:t>Environmental Reviews</w:t>
      </w:r>
      <w:r w:rsidRPr="004E7094">
        <w:rPr>
          <w:noProof/>
          <w:sz w:val="24"/>
          <w:szCs w:val="24"/>
        </w:rPr>
        <w:t xml:space="preserve">, </w:t>
      </w:r>
      <w:r w:rsidRPr="004E7094">
        <w:rPr>
          <w:i/>
          <w:iCs/>
          <w:noProof/>
          <w:sz w:val="24"/>
          <w:szCs w:val="24"/>
        </w:rPr>
        <w:t>27</w:t>
      </w:r>
      <w:r w:rsidRPr="004E7094">
        <w:rPr>
          <w:noProof/>
          <w:sz w:val="24"/>
          <w:szCs w:val="24"/>
        </w:rPr>
        <w:t>(3), 295–303. https://doi.org/10.1139/er-2017-0095</w:t>
      </w:r>
    </w:p>
    <w:p w14:paraId="106BFEDC"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Komnenic, V., Ahlers, R., &amp; Zaag, P. van der. (2009). Assessing the usefulness of the water poverty index by applying it to a special case: Can one be water poor with high levels of access? </w:t>
      </w:r>
      <w:r w:rsidRPr="004E7094">
        <w:rPr>
          <w:i/>
          <w:iCs/>
          <w:noProof/>
          <w:sz w:val="24"/>
          <w:szCs w:val="24"/>
        </w:rPr>
        <w:t>Physics and Chemistry of the Earth</w:t>
      </w:r>
      <w:r w:rsidRPr="004E7094">
        <w:rPr>
          <w:noProof/>
          <w:sz w:val="24"/>
          <w:szCs w:val="24"/>
        </w:rPr>
        <w:t xml:space="preserve">, </w:t>
      </w:r>
      <w:r w:rsidRPr="004E7094">
        <w:rPr>
          <w:i/>
          <w:iCs/>
          <w:noProof/>
          <w:sz w:val="24"/>
          <w:szCs w:val="24"/>
        </w:rPr>
        <w:t>34</w:t>
      </w:r>
      <w:r w:rsidRPr="004E7094">
        <w:rPr>
          <w:noProof/>
          <w:sz w:val="24"/>
          <w:szCs w:val="24"/>
        </w:rPr>
        <w:t>(4–5), 219–224. https://doi.org/10.1016/j.pce.2008.03.005</w:t>
      </w:r>
    </w:p>
    <w:p w14:paraId="1A1CFCB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Kristvik, E., Muthanna, T. M., &amp; Alfredsen, K. (2019). Assessment of future water availability under climate change, considering scenarios for population growth and ageing infrastructure. </w:t>
      </w:r>
      <w:r w:rsidRPr="004E7094">
        <w:rPr>
          <w:i/>
          <w:iCs/>
          <w:noProof/>
          <w:sz w:val="24"/>
          <w:szCs w:val="24"/>
        </w:rPr>
        <w:t>Journal of Water and Climate Change</w:t>
      </w:r>
      <w:r w:rsidRPr="004E7094">
        <w:rPr>
          <w:noProof/>
          <w:sz w:val="24"/>
          <w:szCs w:val="24"/>
        </w:rPr>
        <w:t xml:space="preserve">, </w:t>
      </w:r>
      <w:r w:rsidRPr="004E7094">
        <w:rPr>
          <w:i/>
          <w:iCs/>
          <w:noProof/>
          <w:sz w:val="24"/>
          <w:szCs w:val="24"/>
        </w:rPr>
        <w:t>10</w:t>
      </w:r>
      <w:r w:rsidRPr="004E7094">
        <w:rPr>
          <w:noProof/>
          <w:sz w:val="24"/>
          <w:szCs w:val="24"/>
        </w:rPr>
        <w:t>(1), 1–12. https://doi.org/10.2166/wcc.2018.096</w:t>
      </w:r>
    </w:p>
    <w:p w14:paraId="6517CB33"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Laborde, A., Tomasina, F., Bianchi, F., Bruné, M., Buka, I., &amp; Comba, P. (2015). </w:t>
      </w:r>
      <w:r w:rsidRPr="004E7094">
        <w:rPr>
          <w:i/>
          <w:iCs/>
          <w:noProof/>
          <w:sz w:val="24"/>
          <w:szCs w:val="24"/>
        </w:rPr>
        <w:t>Review Children ’ s Health in Latin America : The Influence of Environmental Exposures</w:t>
      </w:r>
      <w:r w:rsidRPr="004E7094">
        <w:rPr>
          <w:noProof/>
          <w:sz w:val="24"/>
          <w:szCs w:val="24"/>
        </w:rPr>
        <w:t xml:space="preserve">. </w:t>
      </w:r>
      <w:r w:rsidRPr="004E7094">
        <w:rPr>
          <w:i/>
          <w:iCs/>
          <w:noProof/>
          <w:sz w:val="24"/>
          <w:szCs w:val="24"/>
        </w:rPr>
        <w:t>123</w:t>
      </w:r>
      <w:r w:rsidRPr="004E7094">
        <w:rPr>
          <w:noProof/>
          <w:sz w:val="24"/>
          <w:szCs w:val="24"/>
        </w:rPr>
        <w:t>(3), 201–210.</w:t>
      </w:r>
    </w:p>
    <w:p w14:paraId="5CDB51BF"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lastRenderedPageBreak/>
        <w:t xml:space="preserve">Lehtonen, M. (2015). Indicators: Tools for informing, monitoring or controlling? </w:t>
      </w:r>
      <w:r w:rsidRPr="004E7094">
        <w:rPr>
          <w:i/>
          <w:iCs/>
          <w:noProof/>
          <w:sz w:val="24"/>
          <w:szCs w:val="24"/>
        </w:rPr>
        <w:t>The Tools of Policy Formulation: Actors, Capacities, Venues and Effects</w:t>
      </w:r>
      <w:r w:rsidRPr="004E7094">
        <w:rPr>
          <w:noProof/>
          <w:sz w:val="24"/>
          <w:szCs w:val="24"/>
        </w:rPr>
        <w:t xml:space="preserve">, </w:t>
      </w:r>
      <w:r w:rsidRPr="004E7094">
        <w:rPr>
          <w:i/>
          <w:iCs/>
          <w:noProof/>
          <w:sz w:val="24"/>
          <w:szCs w:val="24"/>
        </w:rPr>
        <w:t>April</w:t>
      </w:r>
      <w:r w:rsidRPr="004E7094">
        <w:rPr>
          <w:noProof/>
          <w:sz w:val="24"/>
          <w:szCs w:val="24"/>
        </w:rPr>
        <w:t>, 76–99. https://doi.org/10.4337/9781783477043.00015</w:t>
      </w:r>
    </w:p>
    <w:p w14:paraId="64DBEDA4"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Lutz Ley, A. N. (2020). Minería y seguridad hídrica en el noroeste de México: un análisis de doble exposición. </w:t>
      </w:r>
      <w:r w:rsidRPr="004E7094">
        <w:rPr>
          <w:i/>
          <w:iCs/>
          <w:noProof/>
          <w:sz w:val="24"/>
          <w:szCs w:val="24"/>
        </w:rPr>
        <w:t>Región Y Sociedad</w:t>
      </w:r>
      <w:r w:rsidRPr="004E7094">
        <w:rPr>
          <w:noProof/>
          <w:sz w:val="24"/>
          <w:szCs w:val="24"/>
        </w:rPr>
        <w:t xml:space="preserve">, </w:t>
      </w:r>
      <w:r w:rsidRPr="004E7094">
        <w:rPr>
          <w:i/>
          <w:iCs/>
          <w:noProof/>
          <w:sz w:val="24"/>
          <w:szCs w:val="24"/>
        </w:rPr>
        <w:t>32</w:t>
      </w:r>
      <w:r w:rsidRPr="004E7094">
        <w:rPr>
          <w:noProof/>
          <w:sz w:val="24"/>
          <w:szCs w:val="24"/>
        </w:rPr>
        <w:t>, e1295. https://doi.org/10.22198/rys2020/32/1295</w:t>
      </w:r>
    </w:p>
    <w:p w14:paraId="6438A3F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Medina, C. (2021). Modelación Hidrológica Bajo Escenarios De Cambio Climático Para Un Embalse De Abastecimiento De Agua En La Paz, Bolivia. </w:t>
      </w:r>
      <w:r w:rsidRPr="004E7094">
        <w:rPr>
          <w:i/>
          <w:iCs/>
          <w:noProof/>
          <w:sz w:val="24"/>
          <w:szCs w:val="24"/>
        </w:rPr>
        <w:t>Investigacion &amp; Desarrollo</w:t>
      </w:r>
      <w:r w:rsidRPr="004E7094">
        <w:rPr>
          <w:noProof/>
          <w:sz w:val="24"/>
          <w:szCs w:val="24"/>
        </w:rPr>
        <w:t xml:space="preserve">, </w:t>
      </w:r>
      <w:r w:rsidRPr="004E7094">
        <w:rPr>
          <w:i/>
          <w:iCs/>
          <w:noProof/>
          <w:sz w:val="24"/>
          <w:szCs w:val="24"/>
        </w:rPr>
        <w:t>21</w:t>
      </w:r>
      <w:r w:rsidRPr="004E7094">
        <w:rPr>
          <w:noProof/>
          <w:sz w:val="24"/>
          <w:szCs w:val="24"/>
        </w:rPr>
        <w:t>(1), 63–78. https://doi.org/10.23881/idupbo.021.1-5i</w:t>
      </w:r>
    </w:p>
    <w:p w14:paraId="6BF6159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Mekonnen, M. M., &amp; Hoekstra, A. Y. (2016). Sustainability: Four billion people facing severe water scarcity. </w:t>
      </w:r>
      <w:r w:rsidRPr="004E7094">
        <w:rPr>
          <w:i/>
          <w:iCs/>
          <w:noProof/>
          <w:sz w:val="24"/>
          <w:szCs w:val="24"/>
        </w:rPr>
        <w:t>Science Advances</w:t>
      </w:r>
      <w:r w:rsidRPr="004E7094">
        <w:rPr>
          <w:noProof/>
          <w:sz w:val="24"/>
          <w:szCs w:val="24"/>
        </w:rPr>
        <w:t xml:space="preserve">, </w:t>
      </w:r>
      <w:r w:rsidRPr="004E7094">
        <w:rPr>
          <w:i/>
          <w:iCs/>
          <w:noProof/>
          <w:sz w:val="24"/>
          <w:szCs w:val="24"/>
        </w:rPr>
        <w:t>2</w:t>
      </w:r>
      <w:r w:rsidRPr="004E7094">
        <w:rPr>
          <w:noProof/>
          <w:sz w:val="24"/>
          <w:szCs w:val="24"/>
        </w:rPr>
        <w:t>(2), 1–7. https://doi.org/10.1126/sciadv.1500323</w:t>
      </w:r>
    </w:p>
    <w:p w14:paraId="5AA70ECE"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Mertens, A., Balakrishnan, K., Ramaswamy, P., Rajkumar, P., Ramaprabha, P., Durairaj, N., Hubbard, A. E., Khush, R., Colford, J. M., &amp; Arnold, B. F. (2019). Associations between high temperature, heavy rainfall, and diarrhea among young children in rural Tamil Nadu, India: A prospective cohort study. </w:t>
      </w:r>
      <w:r w:rsidRPr="004E7094">
        <w:rPr>
          <w:i/>
          <w:iCs/>
          <w:noProof/>
          <w:sz w:val="24"/>
          <w:szCs w:val="24"/>
        </w:rPr>
        <w:t>Environmental Health Perspectives</w:t>
      </w:r>
      <w:r w:rsidRPr="004E7094">
        <w:rPr>
          <w:noProof/>
          <w:sz w:val="24"/>
          <w:szCs w:val="24"/>
        </w:rPr>
        <w:t xml:space="preserve">, </w:t>
      </w:r>
      <w:r w:rsidRPr="004E7094">
        <w:rPr>
          <w:i/>
          <w:iCs/>
          <w:noProof/>
          <w:sz w:val="24"/>
          <w:szCs w:val="24"/>
        </w:rPr>
        <w:t>127</w:t>
      </w:r>
      <w:r w:rsidRPr="004E7094">
        <w:rPr>
          <w:noProof/>
          <w:sz w:val="24"/>
          <w:szCs w:val="24"/>
        </w:rPr>
        <w:t>(4), 47004. https://doi.org/10.1289/EHP3711</w:t>
      </w:r>
    </w:p>
    <w:p w14:paraId="55EFE3A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Ministerio de Obras Públicas. (2022). </w:t>
      </w:r>
      <w:r w:rsidRPr="004E7094">
        <w:rPr>
          <w:i/>
          <w:iCs/>
          <w:noProof/>
          <w:sz w:val="24"/>
          <w:szCs w:val="24"/>
        </w:rPr>
        <w:t>Mesa Nacional del Agua</w:t>
      </w:r>
      <w:r w:rsidRPr="004E7094">
        <w:rPr>
          <w:noProof/>
          <w:sz w:val="24"/>
          <w:szCs w:val="24"/>
        </w:rPr>
        <w:t>.</w:t>
      </w:r>
    </w:p>
    <w:p w14:paraId="6EFD704E"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Ministry of environment. (2020). Informe Proyecto ARCLIM: Asentamientos Humanos. In </w:t>
      </w:r>
      <w:r w:rsidRPr="004E7094">
        <w:rPr>
          <w:i/>
          <w:iCs/>
          <w:noProof/>
          <w:sz w:val="24"/>
          <w:szCs w:val="24"/>
        </w:rPr>
        <w:t>Centro de Ciencia del Clima y la Resiliencia , Red de Pobreza Energética, Iniciativa ENEAS: Energía, Agua y Sustentabilidad y Núcleo de Estudios Sistémicos Transdisciplinarios</w:t>
      </w:r>
      <w:r w:rsidRPr="004E7094">
        <w:rPr>
          <w:noProof/>
          <w:sz w:val="24"/>
          <w:szCs w:val="24"/>
        </w:rPr>
        <w:t>.</w:t>
      </w:r>
    </w:p>
    <w:p w14:paraId="0BCA5D18"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Mohan Kumar, M., Manohar, U., Pallavi, M. R. M., &amp; Rajakumar, A. (2013). Urban Water Supply and Management. </w:t>
      </w:r>
      <w:r w:rsidRPr="004E7094">
        <w:rPr>
          <w:i/>
          <w:iCs/>
          <w:noProof/>
          <w:sz w:val="24"/>
          <w:szCs w:val="24"/>
        </w:rPr>
        <w:t>Journal of the Indian Institute of Science</w:t>
      </w:r>
      <w:r w:rsidRPr="004E7094">
        <w:rPr>
          <w:noProof/>
          <w:sz w:val="24"/>
          <w:szCs w:val="24"/>
        </w:rPr>
        <w:t xml:space="preserve">, </w:t>
      </w:r>
      <w:r w:rsidRPr="004E7094">
        <w:rPr>
          <w:i/>
          <w:iCs/>
          <w:noProof/>
          <w:sz w:val="24"/>
          <w:szCs w:val="24"/>
        </w:rPr>
        <w:t>93</w:t>
      </w:r>
      <w:r w:rsidRPr="004E7094">
        <w:rPr>
          <w:noProof/>
          <w:sz w:val="24"/>
          <w:szCs w:val="24"/>
        </w:rPr>
        <w:t>, 295–318.</w:t>
      </w:r>
    </w:p>
    <w:p w14:paraId="6D6225D3"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Murtagh, F., &amp; Legendre, P. (2014). Ward’s Hierarchical Agglomerative Clustering Method: </w:t>
      </w:r>
      <w:r w:rsidRPr="004E7094">
        <w:rPr>
          <w:noProof/>
          <w:sz w:val="24"/>
          <w:szCs w:val="24"/>
        </w:rPr>
        <w:lastRenderedPageBreak/>
        <w:t xml:space="preserve">Which Algorithms Implement Ward’s Criterion? </w:t>
      </w:r>
      <w:r w:rsidRPr="004E7094">
        <w:rPr>
          <w:i/>
          <w:iCs/>
          <w:noProof/>
          <w:sz w:val="24"/>
          <w:szCs w:val="24"/>
        </w:rPr>
        <w:t>Journal of Classificatio</w:t>
      </w:r>
      <w:r w:rsidRPr="004E7094">
        <w:rPr>
          <w:noProof/>
          <w:sz w:val="24"/>
          <w:szCs w:val="24"/>
        </w:rPr>
        <w:t xml:space="preserve">, </w:t>
      </w:r>
      <w:r w:rsidRPr="004E7094">
        <w:rPr>
          <w:i/>
          <w:iCs/>
          <w:noProof/>
          <w:sz w:val="24"/>
          <w:szCs w:val="24"/>
        </w:rPr>
        <w:t>31</w:t>
      </w:r>
      <w:r w:rsidRPr="004E7094">
        <w:rPr>
          <w:noProof/>
          <w:sz w:val="24"/>
          <w:szCs w:val="24"/>
        </w:rPr>
        <w:t>(1), 274–295. https://doi.org/10.1007/s00357-014-9161-z</w:t>
      </w:r>
    </w:p>
    <w:p w14:paraId="6952142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Norman, E. S., Dunn, G., Bakker, K., Allen, D. M., &amp; de Albuquerque, R. C. (2013). Water Security Assessment: Integrating Governance and Freshwater Indicators. </w:t>
      </w:r>
      <w:r w:rsidRPr="004E7094">
        <w:rPr>
          <w:i/>
          <w:iCs/>
          <w:noProof/>
          <w:sz w:val="24"/>
          <w:szCs w:val="24"/>
        </w:rPr>
        <w:t>Water Resources Management</w:t>
      </w:r>
      <w:r w:rsidRPr="004E7094">
        <w:rPr>
          <w:noProof/>
          <w:sz w:val="24"/>
          <w:szCs w:val="24"/>
        </w:rPr>
        <w:t xml:space="preserve">, </w:t>
      </w:r>
      <w:r w:rsidRPr="004E7094">
        <w:rPr>
          <w:i/>
          <w:iCs/>
          <w:noProof/>
          <w:sz w:val="24"/>
          <w:szCs w:val="24"/>
        </w:rPr>
        <w:t>27</w:t>
      </w:r>
      <w:r w:rsidRPr="004E7094">
        <w:rPr>
          <w:noProof/>
          <w:sz w:val="24"/>
          <w:szCs w:val="24"/>
        </w:rPr>
        <w:t>(2), 535–551. https://doi.org/10.1007/s11269-012-0200-4</w:t>
      </w:r>
    </w:p>
    <w:p w14:paraId="0CDAEEDD"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Orimoloye, I. R., Zhou, L., &amp; Kalumba, A. M. (2021). Drought disaster risk adaptation through ecosystem services-based solutions: Way forward for south africa. </w:t>
      </w:r>
      <w:r w:rsidRPr="004E7094">
        <w:rPr>
          <w:i/>
          <w:iCs/>
          <w:noProof/>
          <w:sz w:val="24"/>
          <w:szCs w:val="24"/>
        </w:rPr>
        <w:t>Sustainability (Switzerland)</w:t>
      </w:r>
      <w:r w:rsidRPr="004E7094">
        <w:rPr>
          <w:noProof/>
          <w:sz w:val="24"/>
          <w:szCs w:val="24"/>
        </w:rPr>
        <w:t xml:space="preserve">, </w:t>
      </w:r>
      <w:r w:rsidRPr="004E7094">
        <w:rPr>
          <w:i/>
          <w:iCs/>
          <w:noProof/>
          <w:sz w:val="24"/>
          <w:szCs w:val="24"/>
        </w:rPr>
        <w:t>13</w:t>
      </w:r>
      <w:r w:rsidRPr="004E7094">
        <w:rPr>
          <w:noProof/>
          <w:sz w:val="24"/>
          <w:szCs w:val="24"/>
        </w:rPr>
        <w:t>(8). https://doi.org/10.3390/su13084132</w:t>
      </w:r>
    </w:p>
    <w:p w14:paraId="460A429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Peña, H. (2016). Desafíos de la seguridad hídrica en América Latina y el Caribe. In </w:t>
      </w:r>
      <w:r w:rsidRPr="004E7094">
        <w:rPr>
          <w:i/>
          <w:iCs/>
          <w:noProof/>
          <w:sz w:val="24"/>
          <w:szCs w:val="24"/>
        </w:rPr>
        <w:t>dwwq</w:t>
      </w:r>
      <w:r w:rsidRPr="004E7094">
        <w:rPr>
          <w:noProof/>
          <w:sz w:val="24"/>
          <w:szCs w:val="24"/>
        </w:rPr>
        <w:t>. https://repositorio.cepal.org/bitstream/handle/11362/40074/S1600566_es.pdf?sequence=1&amp;isAllowed=y</w:t>
      </w:r>
    </w:p>
    <w:p w14:paraId="12A97E7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Rahaman, M. A., Rahman, M. M., Bahauddin, K. M., Khan, S., &amp; Hassan, S. (2018). Health Disorder of Climate Migrants in Khulna City: An Urban Slum Perspective. </w:t>
      </w:r>
      <w:r w:rsidRPr="004E7094">
        <w:rPr>
          <w:i/>
          <w:iCs/>
          <w:noProof/>
          <w:sz w:val="24"/>
          <w:szCs w:val="24"/>
        </w:rPr>
        <w:t>International Migration</w:t>
      </w:r>
      <w:r w:rsidRPr="004E7094">
        <w:rPr>
          <w:noProof/>
          <w:sz w:val="24"/>
          <w:szCs w:val="24"/>
        </w:rPr>
        <w:t xml:space="preserve">, </w:t>
      </w:r>
      <w:r w:rsidRPr="004E7094">
        <w:rPr>
          <w:i/>
          <w:iCs/>
          <w:noProof/>
          <w:sz w:val="24"/>
          <w:szCs w:val="24"/>
        </w:rPr>
        <w:t>56</w:t>
      </w:r>
      <w:r w:rsidRPr="004E7094">
        <w:rPr>
          <w:noProof/>
          <w:sz w:val="24"/>
          <w:szCs w:val="24"/>
        </w:rPr>
        <w:t>(5), 42–55. https://doi.org/10.1111/imig.12460</w:t>
      </w:r>
    </w:p>
    <w:p w14:paraId="0B64518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Rahman, M. M., Ahmad, S., Mahmud, A. S., Hassan-uz-Zaman, M., Nahian, M. A., Ahmed, A., Nahar, Q., &amp; Streatfield, P. K. (2019). Health consequences of climate change in Bangladesh: An overview of the evidence, knowledge gaps and challenges. </w:t>
      </w:r>
      <w:r w:rsidRPr="004E7094">
        <w:rPr>
          <w:i/>
          <w:iCs/>
          <w:noProof/>
          <w:sz w:val="24"/>
          <w:szCs w:val="24"/>
        </w:rPr>
        <w:t>Wiley Interdisciplinary Reviews: Climate Change</w:t>
      </w:r>
      <w:r w:rsidRPr="004E7094">
        <w:rPr>
          <w:noProof/>
          <w:sz w:val="24"/>
          <w:szCs w:val="24"/>
        </w:rPr>
        <w:t xml:space="preserve">, </w:t>
      </w:r>
      <w:r w:rsidRPr="004E7094">
        <w:rPr>
          <w:i/>
          <w:iCs/>
          <w:noProof/>
          <w:sz w:val="24"/>
          <w:szCs w:val="24"/>
        </w:rPr>
        <w:t>10</w:t>
      </w:r>
      <w:r w:rsidRPr="004E7094">
        <w:rPr>
          <w:noProof/>
          <w:sz w:val="24"/>
          <w:szCs w:val="24"/>
        </w:rPr>
        <w:t>(5), 1–14. https://doi.org/10.1002/wcc.601</w:t>
      </w:r>
    </w:p>
    <w:p w14:paraId="22985C6C"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Rekha, V. B., Thomas, A. P., Suma, M., &amp; Vijith, H. (2011). An Integration of Spatial Information Technology for Groundwater Potential and Quality Investigations in Koduvan Ár Sub-Watershed of Meenachil River Basin, Kerala, India. </w:t>
      </w:r>
      <w:r w:rsidRPr="004E7094">
        <w:rPr>
          <w:i/>
          <w:iCs/>
          <w:noProof/>
          <w:sz w:val="24"/>
          <w:szCs w:val="24"/>
        </w:rPr>
        <w:t>Journal of the Indian Society of Remote Sensing</w:t>
      </w:r>
      <w:r w:rsidRPr="004E7094">
        <w:rPr>
          <w:noProof/>
          <w:sz w:val="24"/>
          <w:szCs w:val="24"/>
        </w:rPr>
        <w:t xml:space="preserve">, </w:t>
      </w:r>
      <w:r w:rsidRPr="004E7094">
        <w:rPr>
          <w:i/>
          <w:iCs/>
          <w:noProof/>
          <w:sz w:val="24"/>
          <w:szCs w:val="24"/>
        </w:rPr>
        <w:t>39</w:t>
      </w:r>
      <w:r w:rsidRPr="004E7094">
        <w:rPr>
          <w:noProof/>
          <w:sz w:val="24"/>
          <w:szCs w:val="24"/>
        </w:rPr>
        <w:t>(1), 63–71. https://doi.org/10.1007/s12524-010-0050-6</w:t>
      </w:r>
    </w:p>
    <w:p w14:paraId="4A1E4D7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Rogers, B. C., Dunn, G., Hammer, K., Novalia, W., de Haan, F. J., Brown, L., Brown, R. R., </w:t>
      </w:r>
      <w:r w:rsidRPr="004E7094">
        <w:rPr>
          <w:noProof/>
          <w:sz w:val="24"/>
          <w:szCs w:val="24"/>
        </w:rPr>
        <w:lastRenderedPageBreak/>
        <w:t xml:space="preserve">Lloyd, S., Urich, C., Wong, T. H. F., &amp; Chesterfield, C. (2020). Water Sensitive Cities Index: A diagnostic tool to assess water sensitivity and guide management actions. </w:t>
      </w:r>
      <w:r w:rsidRPr="004E7094">
        <w:rPr>
          <w:i/>
          <w:iCs/>
          <w:noProof/>
          <w:sz w:val="24"/>
          <w:szCs w:val="24"/>
        </w:rPr>
        <w:t>Water Research</w:t>
      </w:r>
      <w:r w:rsidRPr="004E7094">
        <w:rPr>
          <w:noProof/>
          <w:sz w:val="24"/>
          <w:szCs w:val="24"/>
        </w:rPr>
        <w:t xml:space="preserve">, </w:t>
      </w:r>
      <w:r w:rsidRPr="004E7094">
        <w:rPr>
          <w:i/>
          <w:iCs/>
          <w:noProof/>
          <w:sz w:val="24"/>
          <w:szCs w:val="24"/>
        </w:rPr>
        <w:t>186</w:t>
      </w:r>
      <w:r w:rsidRPr="004E7094">
        <w:rPr>
          <w:noProof/>
          <w:sz w:val="24"/>
          <w:szCs w:val="24"/>
        </w:rPr>
        <w:t>, 116411. https://doi.org/10.1016/j.watres.2020.116411</w:t>
      </w:r>
    </w:p>
    <w:p w14:paraId="078D8FFE"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Santos, B. B. M. (2016). Water security in the metropolitan region of rio de janeiro: Contributions to the debate. </w:t>
      </w:r>
      <w:r w:rsidRPr="004E7094">
        <w:rPr>
          <w:i/>
          <w:iCs/>
          <w:noProof/>
          <w:sz w:val="24"/>
          <w:szCs w:val="24"/>
        </w:rPr>
        <w:t>Ambiente e Sociedade</w:t>
      </w:r>
      <w:r w:rsidRPr="004E7094">
        <w:rPr>
          <w:noProof/>
          <w:sz w:val="24"/>
          <w:szCs w:val="24"/>
        </w:rPr>
        <w:t xml:space="preserve">, </w:t>
      </w:r>
      <w:r w:rsidRPr="004E7094">
        <w:rPr>
          <w:i/>
          <w:iCs/>
          <w:noProof/>
          <w:sz w:val="24"/>
          <w:szCs w:val="24"/>
        </w:rPr>
        <w:t>19</w:t>
      </w:r>
      <w:r w:rsidRPr="004E7094">
        <w:rPr>
          <w:noProof/>
          <w:sz w:val="24"/>
          <w:szCs w:val="24"/>
        </w:rPr>
        <w:t>(1), 103–120. https://doi.org/10.1590/1809-4422ASOC150132R1V1912016</w:t>
      </w:r>
    </w:p>
    <w:p w14:paraId="5CD9AFA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Scott, C. A., Zilio, M. I., Harmon, T., Zuniga-Teran, A., Diaz-Caravantes, R., Hoyos, N., Perillo, G. M. E., Meza, F., Varady, R. G., Neto, A. R., Velez, M. I., Martin, F., Escobar, J., Piccolo, M. C., Mussetta, P., Montenegro, S., Rusak, J. A., &amp; Pineda, N. (2021). Do ecosystem insecurity and social vulnerability lead to failure of water security? </w:t>
      </w:r>
      <w:r w:rsidRPr="004E7094">
        <w:rPr>
          <w:i/>
          <w:iCs/>
          <w:noProof/>
          <w:sz w:val="24"/>
          <w:szCs w:val="24"/>
        </w:rPr>
        <w:t>ENVIRONMENTAL DEVELOPMENT</w:t>
      </w:r>
      <w:r w:rsidRPr="004E7094">
        <w:rPr>
          <w:noProof/>
          <w:sz w:val="24"/>
          <w:szCs w:val="24"/>
        </w:rPr>
        <w:t xml:space="preserve">, </w:t>
      </w:r>
      <w:r w:rsidRPr="004E7094">
        <w:rPr>
          <w:i/>
          <w:iCs/>
          <w:noProof/>
          <w:sz w:val="24"/>
          <w:szCs w:val="24"/>
        </w:rPr>
        <w:t>38</w:t>
      </w:r>
      <w:r w:rsidRPr="004E7094">
        <w:rPr>
          <w:noProof/>
          <w:sz w:val="24"/>
          <w:szCs w:val="24"/>
        </w:rPr>
        <w:t>(SI). https://doi.org/10.1016/j.envdev.2020.100606</w:t>
      </w:r>
    </w:p>
    <w:p w14:paraId="2633A1B6"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Scovronick, N., Lloyd, S. J., &amp; Kovats, R. S. (2015). Climate and health in informal urban settlements. </w:t>
      </w:r>
      <w:r w:rsidRPr="004E7094">
        <w:rPr>
          <w:i/>
          <w:iCs/>
          <w:noProof/>
          <w:sz w:val="24"/>
          <w:szCs w:val="24"/>
        </w:rPr>
        <w:t>Environment and Urbanization</w:t>
      </w:r>
      <w:r w:rsidRPr="004E7094">
        <w:rPr>
          <w:noProof/>
          <w:sz w:val="24"/>
          <w:szCs w:val="24"/>
        </w:rPr>
        <w:t xml:space="preserve">, </w:t>
      </w:r>
      <w:r w:rsidRPr="004E7094">
        <w:rPr>
          <w:i/>
          <w:iCs/>
          <w:noProof/>
          <w:sz w:val="24"/>
          <w:szCs w:val="24"/>
        </w:rPr>
        <w:t>27</w:t>
      </w:r>
      <w:r w:rsidRPr="004E7094">
        <w:rPr>
          <w:noProof/>
          <w:sz w:val="24"/>
          <w:szCs w:val="24"/>
        </w:rPr>
        <w:t>(2), 657–678. https://doi.org/10.1177/0956247815596502</w:t>
      </w:r>
    </w:p>
    <w:p w14:paraId="25CF7E03"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Serrano, A. S., Garro, Á. B., Sanabria, G. D., Conejo, J. R., Cantillano, D. R., &amp; Watson, A. G. (2019). Seguridad hídrica: Gestión del agua en comunidades rurales del Pacífico Norte de Costa Rica. </w:t>
      </w:r>
      <w:r w:rsidRPr="004E7094">
        <w:rPr>
          <w:i/>
          <w:iCs/>
          <w:noProof/>
          <w:sz w:val="24"/>
          <w:szCs w:val="24"/>
        </w:rPr>
        <w:t>Revista de Ciencias Ambientales</w:t>
      </w:r>
      <w:r w:rsidRPr="004E7094">
        <w:rPr>
          <w:noProof/>
          <w:sz w:val="24"/>
          <w:szCs w:val="24"/>
        </w:rPr>
        <w:t xml:space="preserve">, </w:t>
      </w:r>
      <w:r w:rsidRPr="004E7094">
        <w:rPr>
          <w:i/>
          <w:iCs/>
          <w:noProof/>
          <w:sz w:val="24"/>
          <w:szCs w:val="24"/>
        </w:rPr>
        <w:t>53</w:t>
      </w:r>
      <w:r w:rsidRPr="004E7094">
        <w:rPr>
          <w:noProof/>
          <w:sz w:val="24"/>
          <w:szCs w:val="24"/>
        </w:rPr>
        <w:t>(2), 25–46. https://doi.org/10.15359/rca.53-2.2</w:t>
      </w:r>
    </w:p>
    <w:p w14:paraId="24220A1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Shrestha, S., Aihara, Y., Bhattarai, A. P., Bista, N., Kondo, N., Futaba, K., Nishida, K., &amp; Shindo, J. (2018). Development of an objective water security index and assessment of its association with quality of life in urban areas of developing countries. </w:t>
      </w:r>
      <w:r w:rsidRPr="004E7094">
        <w:rPr>
          <w:i/>
          <w:iCs/>
          <w:noProof/>
          <w:sz w:val="24"/>
          <w:szCs w:val="24"/>
        </w:rPr>
        <w:t>SSM - Population Health</w:t>
      </w:r>
      <w:r w:rsidRPr="004E7094">
        <w:rPr>
          <w:noProof/>
          <w:sz w:val="24"/>
          <w:szCs w:val="24"/>
        </w:rPr>
        <w:t xml:space="preserve">, </w:t>
      </w:r>
      <w:r w:rsidRPr="004E7094">
        <w:rPr>
          <w:i/>
          <w:iCs/>
          <w:noProof/>
          <w:sz w:val="24"/>
          <w:szCs w:val="24"/>
        </w:rPr>
        <w:t>6</w:t>
      </w:r>
      <w:r w:rsidRPr="004E7094">
        <w:rPr>
          <w:noProof/>
          <w:sz w:val="24"/>
          <w:szCs w:val="24"/>
        </w:rPr>
        <w:t>(July), 276–285. https://doi.org/10.1016/j.ssmph.2018.10.007</w:t>
      </w:r>
    </w:p>
    <w:p w14:paraId="48E9D565"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lastRenderedPageBreak/>
        <w:t xml:space="preserve">Silva, S. M. O., Filho, F. de A. S., Cid, D. A. C., de Aquino, S. H. S., &amp; Xavier, L. C. P. (2019). Proposal of integrated urban waters management as a strategy to promote water security: The fortaleza case. </w:t>
      </w:r>
      <w:r w:rsidRPr="004E7094">
        <w:rPr>
          <w:i/>
          <w:iCs/>
          <w:noProof/>
          <w:sz w:val="24"/>
          <w:szCs w:val="24"/>
        </w:rPr>
        <w:t>Engenharia Sanitaria e Ambiental</w:t>
      </w:r>
      <w:r w:rsidRPr="004E7094">
        <w:rPr>
          <w:noProof/>
          <w:sz w:val="24"/>
          <w:szCs w:val="24"/>
        </w:rPr>
        <w:t xml:space="preserve">, </w:t>
      </w:r>
      <w:r w:rsidRPr="004E7094">
        <w:rPr>
          <w:i/>
          <w:iCs/>
          <w:noProof/>
          <w:sz w:val="24"/>
          <w:szCs w:val="24"/>
        </w:rPr>
        <w:t>24</w:t>
      </w:r>
      <w:r w:rsidRPr="004E7094">
        <w:rPr>
          <w:noProof/>
          <w:sz w:val="24"/>
          <w:szCs w:val="24"/>
        </w:rPr>
        <w:t>(2), 239–250. https://doi.org/10.1590/s1413-41522019181776</w:t>
      </w:r>
    </w:p>
    <w:p w14:paraId="4DAC50A4"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Srinivasan, V., Seto, K. C., Emerson, R., &amp; Gorelick, S. M. (2013). The impact of urbanization on water vulnerability: A coupled human-environment system approach for Chennai, India. </w:t>
      </w:r>
      <w:r w:rsidRPr="004E7094">
        <w:rPr>
          <w:i/>
          <w:iCs/>
          <w:noProof/>
          <w:sz w:val="24"/>
          <w:szCs w:val="24"/>
        </w:rPr>
        <w:t>Global Environmental Change</w:t>
      </w:r>
      <w:r w:rsidRPr="004E7094">
        <w:rPr>
          <w:noProof/>
          <w:sz w:val="24"/>
          <w:szCs w:val="24"/>
        </w:rPr>
        <w:t xml:space="preserve">, </w:t>
      </w:r>
      <w:r w:rsidRPr="004E7094">
        <w:rPr>
          <w:i/>
          <w:iCs/>
          <w:noProof/>
          <w:sz w:val="24"/>
          <w:szCs w:val="24"/>
        </w:rPr>
        <w:t>23</w:t>
      </w:r>
      <w:r w:rsidRPr="004E7094">
        <w:rPr>
          <w:noProof/>
          <w:sz w:val="24"/>
          <w:szCs w:val="24"/>
        </w:rPr>
        <w:t>(1), 229–239. https://doi.org/10.1016/j.gloenvcha.2012.10.002</w:t>
      </w:r>
    </w:p>
    <w:p w14:paraId="669E9252"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Tellman, B., McDonald, R. I., Goldstein, J. H., Vogl, A. L., Flörke, M., Shemie, D., Dudley, R., Dryden, R., Petry, P., Karres, N., Vigerstol, K., Lehner, B., &amp; Veiga, F. (2018). Opportunities for natural infrastructure to improve urban water security in Latin America. </w:t>
      </w:r>
      <w:r w:rsidRPr="004E7094">
        <w:rPr>
          <w:i/>
          <w:iCs/>
          <w:noProof/>
          <w:sz w:val="24"/>
          <w:szCs w:val="24"/>
        </w:rPr>
        <w:t>PLoS ONE</w:t>
      </w:r>
      <w:r w:rsidRPr="004E7094">
        <w:rPr>
          <w:noProof/>
          <w:sz w:val="24"/>
          <w:szCs w:val="24"/>
        </w:rPr>
        <w:t xml:space="preserve">, </w:t>
      </w:r>
      <w:r w:rsidRPr="004E7094">
        <w:rPr>
          <w:i/>
          <w:iCs/>
          <w:noProof/>
          <w:sz w:val="24"/>
          <w:szCs w:val="24"/>
        </w:rPr>
        <w:t>13</w:t>
      </w:r>
      <w:r w:rsidRPr="004E7094">
        <w:rPr>
          <w:noProof/>
          <w:sz w:val="24"/>
          <w:szCs w:val="24"/>
        </w:rPr>
        <w:t>(12), 1–28. https://doi.org/10.1371/journal.pone.0209470</w:t>
      </w:r>
    </w:p>
    <w:p w14:paraId="6C603F75"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UN-Water. (2013). Water Security &amp; the Global Water Agenda. In </w:t>
      </w:r>
      <w:r w:rsidRPr="004E7094">
        <w:rPr>
          <w:i/>
          <w:iCs/>
          <w:noProof/>
          <w:sz w:val="24"/>
          <w:szCs w:val="24"/>
        </w:rPr>
        <w:t>United Nations University</w:t>
      </w:r>
      <w:r w:rsidRPr="004E7094">
        <w:rPr>
          <w:noProof/>
          <w:sz w:val="24"/>
          <w:szCs w:val="24"/>
        </w:rPr>
        <w:t>.</w:t>
      </w:r>
    </w:p>
    <w:p w14:paraId="436F6C6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Urquiza, A., Amigo, C., Billi, M., Calvo, R., Gallardo, L., Neira, C. I., &amp; Rojas, M. (2021). An Integrated Framework to Streamline Resilience in the Context of Urban Climate Risk Assessment. </w:t>
      </w:r>
      <w:r w:rsidRPr="004E7094">
        <w:rPr>
          <w:i/>
          <w:iCs/>
          <w:noProof/>
          <w:sz w:val="24"/>
          <w:szCs w:val="24"/>
        </w:rPr>
        <w:t>Earth’s Future</w:t>
      </w:r>
      <w:r w:rsidRPr="004E7094">
        <w:rPr>
          <w:noProof/>
          <w:sz w:val="24"/>
          <w:szCs w:val="24"/>
        </w:rPr>
        <w:t xml:space="preserve">, </w:t>
      </w:r>
      <w:r w:rsidRPr="004E7094">
        <w:rPr>
          <w:i/>
          <w:iCs/>
          <w:noProof/>
          <w:sz w:val="24"/>
          <w:szCs w:val="24"/>
        </w:rPr>
        <w:t>9</w:t>
      </w:r>
      <w:r w:rsidRPr="004E7094">
        <w:rPr>
          <w:noProof/>
          <w:sz w:val="24"/>
          <w:szCs w:val="24"/>
        </w:rPr>
        <w:t>(9), 1–26. https://doi.org/10.1029/2020EF001508</w:t>
      </w:r>
    </w:p>
    <w:p w14:paraId="249DAF44"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Urquiza, A., &amp; Billi, M. (2020). Seguridad hídrica y energética en América Latina y el Caribe Definición y aproximación territorial para el análisis Gracias por su interés en esta publicación de la CEPAL. In </w:t>
      </w:r>
      <w:r w:rsidRPr="004E7094">
        <w:rPr>
          <w:i/>
          <w:iCs/>
          <w:noProof/>
          <w:sz w:val="24"/>
          <w:szCs w:val="24"/>
        </w:rPr>
        <w:t>Documentos de Proyectos (LC/TS.2020/138), Santiago, Comisión Económica para América Latina y el Caribe (CEPAL)</w:t>
      </w:r>
      <w:r w:rsidRPr="004E7094">
        <w:rPr>
          <w:noProof/>
          <w:sz w:val="24"/>
          <w:szCs w:val="24"/>
        </w:rPr>
        <w:t>.</w:t>
      </w:r>
    </w:p>
    <w:p w14:paraId="50597801"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van Ginkel, K. C. H., Hoekstra, A. Y., Buurman, J., &amp; Hogeboom, R. J. (2018). Urban Water Security Dashboard: Systems Approach to Characterizing the Water Security of Cities. </w:t>
      </w:r>
      <w:r w:rsidRPr="004E7094">
        <w:rPr>
          <w:i/>
          <w:iCs/>
          <w:noProof/>
          <w:sz w:val="24"/>
          <w:szCs w:val="24"/>
        </w:rPr>
        <w:t>Journal of Water Resources Planning and Management</w:t>
      </w:r>
      <w:r w:rsidRPr="004E7094">
        <w:rPr>
          <w:noProof/>
          <w:sz w:val="24"/>
          <w:szCs w:val="24"/>
        </w:rPr>
        <w:t xml:space="preserve">, </w:t>
      </w:r>
      <w:r w:rsidRPr="004E7094">
        <w:rPr>
          <w:i/>
          <w:iCs/>
          <w:noProof/>
          <w:sz w:val="24"/>
          <w:szCs w:val="24"/>
        </w:rPr>
        <w:t>144</w:t>
      </w:r>
      <w:r w:rsidRPr="004E7094">
        <w:rPr>
          <w:noProof/>
          <w:sz w:val="24"/>
          <w:szCs w:val="24"/>
        </w:rPr>
        <w:t xml:space="preserve">(12), 04018075. </w:t>
      </w:r>
      <w:r w:rsidRPr="004E7094">
        <w:rPr>
          <w:noProof/>
          <w:sz w:val="24"/>
          <w:szCs w:val="24"/>
        </w:rPr>
        <w:lastRenderedPageBreak/>
        <w:t>https://doi.org/10.1061/(asce)wr.1943-5452.0000997</w:t>
      </w:r>
    </w:p>
    <w:p w14:paraId="135D8FF7"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Victor, C., Vega Ocasio, D., Cumbe, Z. A., Garn, J. V., Hubbard, S., Mangamela, M., McGunegill, S., Nalá, R., Snyder, J. S., Levy, K., &amp; Freeman, M. C. (2022). Spatial heterogeneity of neighborhood-level water and sanitation access in informal urban settlements: A cross-sectional case study in Beira, Mozambique. </w:t>
      </w:r>
      <w:r w:rsidRPr="004E7094">
        <w:rPr>
          <w:i/>
          <w:iCs/>
          <w:noProof/>
          <w:sz w:val="24"/>
          <w:szCs w:val="24"/>
        </w:rPr>
        <w:t>PLOS Water</w:t>
      </w:r>
      <w:r w:rsidRPr="004E7094">
        <w:rPr>
          <w:noProof/>
          <w:sz w:val="24"/>
          <w:szCs w:val="24"/>
        </w:rPr>
        <w:t xml:space="preserve">, </w:t>
      </w:r>
      <w:r w:rsidRPr="004E7094">
        <w:rPr>
          <w:i/>
          <w:iCs/>
          <w:noProof/>
          <w:sz w:val="24"/>
          <w:szCs w:val="24"/>
        </w:rPr>
        <w:t>1</w:t>
      </w:r>
      <w:r w:rsidRPr="004E7094">
        <w:rPr>
          <w:noProof/>
          <w:sz w:val="24"/>
          <w:szCs w:val="24"/>
        </w:rPr>
        <w:t>(6), e0000022. https://doi.org/10.1371/journal.pwat.0000022</w:t>
      </w:r>
    </w:p>
    <w:p w14:paraId="0768A2CB"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Wood, E. A., Douglas, H., Fiore, A. J., Bernier, R., &amp; Chapman, K. S. (2019). Perceptions of water insecurity from urban and peri-urban Haiti: A quantitative analysis. </w:t>
      </w:r>
      <w:r w:rsidRPr="004E7094">
        <w:rPr>
          <w:i/>
          <w:iCs/>
          <w:noProof/>
          <w:sz w:val="24"/>
          <w:szCs w:val="24"/>
        </w:rPr>
        <w:t>PLoS ONE</w:t>
      </w:r>
      <w:r w:rsidRPr="004E7094">
        <w:rPr>
          <w:noProof/>
          <w:sz w:val="24"/>
          <w:szCs w:val="24"/>
        </w:rPr>
        <w:t xml:space="preserve">, </w:t>
      </w:r>
      <w:r w:rsidRPr="004E7094">
        <w:rPr>
          <w:i/>
          <w:iCs/>
          <w:noProof/>
          <w:sz w:val="24"/>
          <w:szCs w:val="24"/>
        </w:rPr>
        <w:t>14</w:t>
      </w:r>
      <w:r w:rsidRPr="004E7094">
        <w:rPr>
          <w:noProof/>
          <w:sz w:val="24"/>
          <w:szCs w:val="24"/>
        </w:rPr>
        <w:t>(4), 1–12. https://doi.org/10.1371/journal.pone.0214789</w:t>
      </w:r>
    </w:p>
    <w:p w14:paraId="5439F1BA"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Yenneti, K., &amp; Day, R. (2016). Distributional justice in solar energy implementation in India: The case of Charanka solar park. </w:t>
      </w:r>
      <w:r w:rsidRPr="004E7094">
        <w:rPr>
          <w:i/>
          <w:iCs/>
          <w:noProof/>
          <w:sz w:val="24"/>
          <w:szCs w:val="24"/>
        </w:rPr>
        <w:t>Journal of Rural Studies</w:t>
      </w:r>
      <w:r w:rsidRPr="004E7094">
        <w:rPr>
          <w:noProof/>
          <w:sz w:val="24"/>
          <w:szCs w:val="24"/>
        </w:rPr>
        <w:t xml:space="preserve">, </w:t>
      </w:r>
      <w:r w:rsidRPr="004E7094">
        <w:rPr>
          <w:i/>
          <w:iCs/>
          <w:noProof/>
          <w:sz w:val="24"/>
          <w:szCs w:val="24"/>
        </w:rPr>
        <w:t>46</w:t>
      </w:r>
      <w:r w:rsidRPr="004E7094">
        <w:rPr>
          <w:noProof/>
          <w:sz w:val="24"/>
          <w:szCs w:val="24"/>
        </w:rPr>
        <w:t>, 35–46. https://doi.org/10.1016/j.jrurstud.2016.05.009</w:t>
      </w:r>
    </w:p>
    <w:p w14:paraId="4DFB5E5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Yin, S., Dongjie, G., Weici, S., &amp; Weijun, G. (2017). Integrated assessment and scenarios simulation of urban water security system in the southwest of China with system dynamics analysis. </w:t>
      </w:r>
      <w:r w:rsidRPr="004E7094">
        <w:rPr>
          <w:i/>
          <w:iCs/>
          <w:noProof/>
          <w:sz w:val="24"/>
          <w:szCs w:val="24"/>
        </w:rPr>
        <w:t>Water Science and Technology</w:t>
      </w:r>
      <w:r w:rsidRPr="004E7094">
        <w:rPr>
          <w:noProof/>
          <w:sz w:val="24"/>
          <w:szCs w:val="24"/>
        </w:rPr>
        <w:t xml:space="preserve">, </w:t>
      </w:r>
      <w:r w:rsidRPr="004E7094">
        <w:rPr>
          <w:i/>
          <w:iCs/>
          <w:noProof/>
          <w:sz w:val="24"/>
          <w:szCs w:val="24"/>
        </w:rPr>
        <w:t>76</w:t>
      </w:r>
      <w:r w:rsidRPr="004E7094">
        <w:rPr>
          <w:noProof/>
          <w:sz w:val="24"/>
          <w:szCs w:val="24"/>
        </w:rPr>
        <w:t>(9), 2255–2267. https://doi.org/10.2166/wst.2017.333</w:t>
      </w:r>
    </w:p>
    <w:p w14:paraId="3F5DF290" w14:textId="77777777" w:rsidR="004E7094" w:rsidRPr="004E7094" w:rsidRDefault="004E7094" w:rsidP="004E7094">
      <w:pPr>
        <w:widowControl w:val="0"/>
        <w:autoSpaceDE w:val="0"/>
        <w:autoSpaceDN w:val="0"/>
        <w:adjustRightInd w:val="0"/>
        <w:spacing w:line="480" w:lineRule="auto"/>
        <w:ind w:left="480" w:hanging="480"/>
        <w:rPr>
          <w:noProof/>
          <w:sz w:val="24"/>
          <w:szCs w:val="24"/>
        </w:rPr>
      </w:pPr>
      <w:r w:rsidRPr="004E7094">
        <w:rPr>
          <w:noProof/>
          <w:sz w:val="24"/>
          <w:szCs w:val="24"/>
        </w:rPr>
        <w:t xml:space="preserve">Zadeh, L. A. (1965). Fuzzy sets. </w:t>
      </w:r>
      <w:r w:rsidRPr="004E7094">
        <w:rPr>
          <w:i/>
          <w:iCs/>
          <w:noProof/>
          <w:sz w:val="24"/>
          <w:szCs w:val="24"/>
        </w:rPr>
        <w:t>Information and Control</w:t>
      </w:r>
      <w:r w:rsidRPr="004E7094">
        <w:rPr>
          <w:noProof/>
          <w:sz w:val="24"/>
          <w:szCs w:val="24"/>
        </w:rPr>
        <w:t xml:space="preserve">, </w:t>
      </w:r>
      <w:r w:rsidRPr="004E7094">
        <w:rPr>
          <w:i/>
          <w:iCs/>
          <w:noProof/>
          <w:sz w:val="24"/>
          <w:szCs w:val="24"/>
        </w:rPr>
        <w:t>8</w:t>
      </w:r>
      <w:r w:rsidRPr="004E7094">
        <w:rPr>
          <w:noProof/>
          <w:sz w:val="24"/>
          <w:szCs w:val="24"/>
        </w:rPr>
        <w:t>(3), 338–353. https://doi.org/10.1016/S0019-9958(65)90241-X</w:t>
      </w:r>
    </w:p>
    <w:p w14:paraId="122F4D71" w14:textId="77777777" w:rsidR="004E7094" w:rsidRPr="004E7094" w:rsidRDefault="004E7094" w:rsidP="004E7094">
      <w:pPr>
        <w:widowControl w:val="0"/>
        <w:autoSpaceDE w:val="0"/>
        <w:autoSpaceDN w:val="0"/>
        <w:adjustRightInd w:val="0"/>
        <w:spacing w:line="480" w:lineRule="auto"/>
        <w:ind w:left="480" w:hanging="480"/>
        <w:rPr>
          <w:noProof/>
          <w:sz w:val="24"/>
        </w:rPr>
      </w:pPr>
      <w:r w:rsidRPr="004E7094">
        <w:rPr>
          <w:noProof/>
          <w:sz w:val="24"/>
          <w:szCs w:val="24"/>
        </w:rPr>
        <w:t xml:space="preserve">Zadeh, L. A. (1988). Fuzzy Logic. </w:t>
      </w:r>
      <w:r w:rsidRPr="004E7094">
        <w:rPr>
          <w:i/>
          <w:iCs/>
          <w:noProof/>
          <w:sz w:val="24"/>
          <w:szCs w:val="24"/>
        </w:rPr>
        <w:t>Computer</w:t>
      </w:r>
      <w:r w:rsidRPr="004E7094">
        <w:rPr>
          <w:noProof/>
          <w:sz w:val="24"/>
          <w:szCs w:val="24"/>
        </w:rPr>
        <w:t xml:space="preserve">, </w:t>
      </w:r>
      <w:r w:rsidRPr="004E7094">
        <w:rPr>
          <w:i/>
          <w:iCs/>
          <w:noProof/>
          <w:sz w:val="24"/>
          <w:szCs w:val="24"/>
        </w:rPr>
        <w:t>21</w:t>
      </w:r>
      <w:r w:rsidRPr="004E7094">
        <w:rPr>
          <w:noProof/>
          <w:sz w:val="24"/>
          <w:szCs w:val="24"/>
        </w:rPr>
        <w:t>(4), 83–93. https://doi.org/10.1109/2.53</w:t>
      </w:r>
    </w:p>
    <w:p w14:paraId="372471D6" w14:textId="286FC914" w:rsidR="009E5165" w:rsidRPr="00BE1D7E" w:rsidRDefault="00497278" w:rsidP="00BE1D7E">
      <w:pPr>
        <w:shd w:val="clear" w:color="auto" w:fill="FFFFFF"/>
        <w:spacing w:line="480" w:lineRule="auto"/>
        <w:rPr>
          <w:rFonts w:eastAsia="Times New Roman"/>
          <w:b/>
          <w:bCs/>
          <w:color w:val="262626"/>
          <w:sz w:val="24"/>
          <w:szCs w:val="24"/>
        </w:rPr>
      </w:pPr>
      <w:r>
        <w:rPr>
          <w:rFonts w:eastAsia="Times New Roman"/>
          <w:b/>
          <w:bCs/>
          <w:color w:val="262626"/>
          <w:sz w:val="24"/>
          <w:szCs w:val="24"/>
          <w:lang w:val="es-CL"/>
        </w:rPr>
        <w:fldChar w:fldCharType="end"/>
      </w:r>
    </w:p>
    <w:sectPr w:rsidR="009E5165" w:rsidRPr="00BE1D7E" w:rsidSect="00BD47BB">
      <w:headerReference w:type="default" r:id="rId14"/>
      <w:footerReference w:type="default" r:id="rId15"/>
      <w:headerReference w:type="first" r:id="rId16"/>
      <w:type w:val="continuous"/>
      <w:pgSz w:w="12240" w:h="15840"/>
      <w:pgMar w:top="1440" w:right="1440" w:bottom="1440" w:left="1440" w:header="432" w:footer="720" w:gutter="0"/>
      <w:lnNumType w:countBy="1" w:restart="continuous"/>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C9E5FE" w16cex:dateUtc="2022-09-12T20:08:00Z"/>
  <w16cex:commentExtensible w16cex:durableId="26C9E63F" w16cex:dateUtc="2022-09-12T20:09:00Z"/>
  <w16cex:commentExtensible w16cex:durableId="26C9E66A" w16cex:dateUtc="2022-09-12T20:10:00Z"/>
  <w16cex:commentExtensible w16cex:durableId="26C76EC9" w16cex:dateUtc="2022-09-10T23:15:00Z"/>
  <w16cex:commentExtensible w16cex:durableId="26C7705E" w16cex:dateUtc="2022-09-10T23:21:00Z"/>
  <w16cex:commentExtensible w16cex:durableId="26C9E684" w16cex:dateUtc="2022-09-12T20:10:00Z"/>
  <w16cex:commentExtensible w16cex:durableId="26C77539" w16cex:dateUtc="2022-09-10T23:42:00Z"/>
  <w16cex:commentExtensible w16cex:durableId="26CB2122" w16cex:dateUtc="2022-09-13T18:32:00Z"/>
  <w16cex:commentExtensible w16cex:durableId="26C9E75D" w16cex:dateUtc="2022-09-12T20:14:00Z"/>
  <w16cex:commentExtensible w16cex:durableId="26CB21C1" w16cex:dateUtc="2022-09-13T18:35:00Z"/>
  <w16cex:commentExtensible w16cex:durableId="26C8CD87" w16cex:dateUtc="2022-09-12T00:11:00Z"/>
  <w16cex:commentExtensible w16cex:durableId="26C8CDAB" w16cex:dateUtc="2022-09-12T00:12:00Z"/>
  <w16cex:commentExtensible w16cex:durableId="26C9E78F" w16cex:dateUtc="2022-09-12T20:14:00Z"/>
  <w16cex:commentExtensible w16cex:durableId="26CB221A" w16cex:dateUtc="2022-09-13T18:36:00Z"/>
  <w16cex:commentExtensible w16cex:durableId="26C8E194" w16cex:dateUtc="2022-09-12T01:37:00Z"/>
  <w16cex:commentExtensible w16cex:durableId="26CB224B" w16cex:dateUtc="2022-09-13T18:37:00Z"/>
  <w16cex:commentExtensible w16cex:durableId="26CB22B5" w16cex:dateUtc="2022-09-13T18:39:00Z"/>
  <w16cex:commentExtensible w16cex:durableId="26C8E774" w16cex:dateUtc="2022-09-12T02:02:00Z"/>
  <w16cex:commentExtensible w16cex:durableId="26C9E7C2" w16cex:dateUtc="2022-09-12T20:15:00Z"/>
  <w16cex:commentExtensible w16cex:durableId="26CB2282" w16cex:dateUtc="2022-09-13T18:38:00Z"/>
  <w16cex:commentExtensible w16cex:durableId="26C8ECC3" w16cex:dateUtc="2022-09-12T02:24:00Z"/>
  <w16cex:commentExtensible w16cex:durableId="26C9E7E9" w16cex:dateUtc="2022-09-12T20:16:00Z"/>
  <w16cex:commentExtensible w16cex:durableId="26CB234B" w16cex:dateUtc="2022-09-13T18:42:00Z"/>
  <w16cex:commentExtensible w16cex:durableId="26C9E82D" w16cex:dateUtc="2022-09-12T20:17:00Z"/>
  <w16cex:commentExtensible w16cex:durableId="26C9E892" w16cex:dateUtc="2022-09-12T20:19:00Z"/>
  <w16cex:commentExtensible w16cex:durableId="26CB28A4" w16cex:dateUtc="2022-09-13T19:04:00Z"/>
  <w16cex:commentExtensible w16cex:durableId="26C9EB0F" w16cex:dateUtc="2022-09-12T20: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C757381" w16cid:durableId="26C62FFA"/>
  <w16cid:commentId w16cid:paraId="51A7C2AC" w16cid:durableId="26C9E5FE"/>
  <w16cid:commentId w16cid:paraId="398D84D3" w16cid:durableId="26C9E63F"/>
  <w16cid:commentId w16cid:paraId="21E9043B" w16cid:durableId="26C62FFB"/>
  <w16cid:commentId w16cid:paraId="4DF06875" w16cid:durableId="26C9E66A"/>
  <w16cid:commentId w16cid:paraId="0416C9A7" w16cid:durableId="26C76EC9"/>
  <w16cid:commentId w16cid:paraId="3442D260" w16cid:durableId="26C7705E"/>
  <w16cid:commentId w16cid:paraId="3B756AF4" w16cid:durableId="26C9E684"/>
  <w16cid:commentId w16cid:paraId="5CC39B1E" w16cid:durableId="26C77539"/>
  <w16cid:commentId w16cid:paraId="67D17C9F" w16cid:durableId="26CB2122"/>
  <w16cid:commentId w16cid:paraId="0A841017" w16cid:durableId="26C62FFC"/>
  <w16cid:commentId w16cid:paraId="1567524B" w16cid:durableId="26C9E75D"/>
  <w16cid:commentId w16cid:paraId="3D52B6A5" w16cid:durableId="26CB21C1"/>
  <w16cid:commentId w16cid:paraId="6B72E36C" w16cid:durableId="26C8CD87"/>
  <w16cid:commentId w16cid:paraId="28ED450B" w16cid:durableId="26C8CDAB"/>
  <w16cid:commentId w16cid:paraId="29E45015" w16cid:durableId="26C9E78F"/>
  <w16cid:commentId w16cid:paraId="57CFD319" w16cid:durableId="26CB221A"/>
  <w16cid:commentId w16cid:paraId="390FB848" w16cid:durableId="26C8E194"/>
  <w16cid:commentId w16cid:paraId="1CEB7A26" w16cid:durableId="26CB224B"/>
  <w16cid:commentId w16cid:paraId="4A48CE49" w16cid:durableId="26CB22B5"/>
  <w16cid:commentId w16cid:paraId="4E511375" w16cid:durableId="26C8E774"/>
  <w16cid:commentId w16cid:paraId="355EE228" w16cid:durableId="26C9E7C2"/>
  <w16cid:commentId w16cid:paraId="60D03D33" w16cid:durableId="26CB2282"/>
  <w16cid:commentId w16cid:paraId="20EFDD14" w16cid:durableId="26C8ECC3"/>
  <w16cid:commentId w16cid:paraId="68A8DE77" w16cid:durableId="26C62FFD"/>
  <w16cid:commentId w16cid:paraId="4632DEEB" w16cid:durableId="26C9E7E9"/>
  <w16cid:commentId w16cid:paraId="1D184575" w16cid:durableId="26CB234B"/>
  <w16cid:commentId w16cid:paraId="125732FE" w16cid:durableId="26C9E82D"/>
  <w16cid:commentId w16cid:paraId="720F4DD3" w16cid:durableId="26C9E892"/>
  <w16cid:commentId w16cid:paraId="4DDAB0DB" w16cid:durableId="26C62FFE"/>
  <w16cid:commentId w16cid:paraId="60CC8430" w16cid:durableId="26CB28A4"/>
  <w16cid:commentId w16cid:paraId="1986A686" w16cid:durableId="26C62FFF"/>
  <w16cid:commentId w16cid:paraId="642CC1B7" w16cid:durableId="26C9EB0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0DB777" w14:textId="77777777" w:rsidR="00B0071C" w:rsidRDefault="00B0071C" w:rsidP="000379AB">
      <w:r>
        <w:separator/>
      </w:r>
    </w:p>
  </w:endnote>
  <w:endnote w:type="continuationSeparator" w:id="0">
    <w:p w14:paraId="2FF5C0ED" w14:textId="77777777" w:rsidR="00B0071C" w:rsidRDefault="00B0071C"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4ED28E" w14:textId="2FE9AD18" w:rsidR="004E7094" w:rsidRDefault="004E7094" w:rsidP="00B719C8">
    <w:pPr>
      <w:pStyle w:val="Piedepgin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126FD4" w14:textId="77777777" w:rsidR="00B0071C" w:rsidRDefault="00B0071C" w:rsidP="000379AB">
      <w:r>
        <w:separator/>
      </w:r>
    </w:p>
  </w:footnote>
  <w:footnote w:type="continuationSeparator" w:id="0">
    <w:p w14:paraId="65F48ECF" w14:textId="77777777" w:rsidR="00B0071C" w:rsidRDefault="00B0071C" w:rsidP="000379A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5FE63" w14:textId="1E65A0AC" w:rsidR="004E7094" w:rsidRDefault="004E7094" w:rsidP="007778ED">
    <w:pPr>
      <w:pStyle w:val="Encabezado"/>
      <w:jc w:val="center"/>
    </w:pPr>
    <w:r>
      <w:t xml:space="preserve">manuscript submitted to </w:t>
    </w:r>
    <w:r>
      <w:rPr>
        <w:i/>
      </w:rPr>
      <w:t>Water Resources Research</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75CCC" w14:textId="2816AD77" w:rsidR="004E7094" w:rsidRDefault="004E7094" w:rsidP="00E31404">
    <w:pPr>
      <w:pStyle w:val="Encabezado"/>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6B0139"/>
    <w:multiLevelType w:val="multilevel"/>
    <w:tmpl w:val="13727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2"/>
  </w:num>
  <w:num w:numId="4">
    <w:abstractNumId w:val="6"/>
  </w:num>
  <w:num w:numId="5">
    <w:abstractNumId w:val="7"/>
  </w:num>
  <w:num w:numId="6">
    <w:abstractNumId w:val="9"/>
  </w:num>
  <w:num w:numId="7">
    <w:abstractNumId w:val="10"/>
  </w:num>
  <w:num w:numId="8">
    <w:abstractNumId w:val="11"/>
  </w:num>
  <w:num w:numId="9">
    <w:abstractNumId w:val="3"/>
  </w:num>
  <w:num w:numId="10">
    <w:abstractNumId w:val="8"/>
  </w:num>
  <w:num w:numId="11">
    <w:abstractNumId w:val="5"/>
  </w:num>
  <w:num w:numId="12">
    <w:abstractNumId w:val="13"/>
  </w:num>
  <w:num w:numId="13">
    <w:abstractNumId w:val="0"/>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cxN7Aws7C0NDQ0MzdU0lEKTi0uzszPAykwrAUAFOBrBCwAAAA="/>
  </w:docVars>
  <w:rsids>
    <w:rsidRoot w:val="008A6077"/>
    <w:rsid w:val="00031829"/>
    <w:rsid w:val="000379AB"/>
    <w:rsid w:val="0004784A"/>
    <w:rsid w:val="00070E4E"/>
    <w:rsid w:val="0007414F"/>
    <w:rsid w:val="00075180"/>
    <w:rsid w:val="00097CF3"/>
    <w:rsid w:val="000A3F21"/>
    <w:rsid w:val="000D2956"/>
    <w:rsid w:val="000E14A5"/>
    <w:rsid w:val="000E3E15"/>
    <w:rsid w:val="000F127B"/>
    <w:rsid w:val="0010156F"/>
    <w:rsid w:val="00103696"/>
    <w:rsid w:val="00107232"/>
    <w:rsid w:val="00111214"/>
    <w:rsid w:val="00111485"/>
    <w:rsid w:val="00160691"/>
    <w:rsid w:val="00173C65"/>
    <w:rsid w:val="001C0865"/>
    <w:rsid w:val="001C2B0D"/>
    <w:rsid w:val="001C5881"/>
    <w:rsid w:val="001D2374"/>
    <w:rsid w:val="001E33EF"/>
    <w:rsid w:val="001F5A1C"/>
    <w:rsid w:val="001F79E3"/>
    <w:rsid w:val="00205265"/>
    <w:rsid w:val="002112B8"/>
    <w:rsid w:val="00225D64"/>
    <w:rsid w:val="00226A7D"/>
    <w:rsid w:val="00240493"/>
    <w:rsid w:val="00250971"/>
    <w:rsid w:val="00265466"/>
    <w:rsid w:val="0027282F"/>
    <w:rsid w:val="002A7B53"/>
    <w:rsid w:val="002B13BE"/>
    <w:rsid w:val="002B6F74"/>
    <w:rsid w:val="002C08A2"/>
    <w:rsid w:val="002C3263"/>
    <w:rsid w:val="002D3318"/>
    <w:rsid w:val="002D3A32"/>
    <w:rsid w:val="002E5847"/>
    <w:rsid w:val="002E7898"/>
    <w:rsid w:val="002F2289"/>
    <w:rsid w:val="002F3B11"/>
    <w:rsid w:val="003137C3"/>
    <w:rsid w:val="00315473"/>
    <w:rsid w:val="00321596"/>
    <w:rsid w:val="0034090A"/>
    <w:rsid w:val="003463B3"/>
    <w:rsid w:val="00350389"/>
    <w:rsid w:val="00360503"/>
    <w:rsid w:val="00366917"/>
    <w:rsid w:val="0037466A"/>
    <w:rsid w:val="003A5CA9"/>
    <w:rsid w:val="003E0C8B"/>
    <w:rsid w:val="003E0E91"/>
    <w:rsid w:val="003E660A"/>
    <w:rsid w:val="003F199B"/>
    <w:rsid w:val="00400425"/>
    <w:rsid w:val="0040098F"/>
    <w:rsid w:val="004009A6"/>
    <w:rsid w:val="00400AC5"/>
    <w:rsid w:val="00416204"/>
    <w:rsid w:val="00426913"/>
    <w:rsid w:val="00440A22"/>
    <w:rsid w:val="0046739F"/>
    <w:rsid w:val="0047718A"/>
    <w:rsid w:val="00482D05"/>
    <w:rsid w:val="00483F48"/>
    <w:rsid w:val="00497278"/>
    <w:rsid w:val="004A5770"/>
    <w:rsid w:val="004B38D3"/>
    <w:rsid w:val="004B77FA"/>
    <w:rsid w:val="004E7094"/>
    <w:rsid w:val="004F6DA1"/>
    <w:rsid w:val="005105A1"/>
    <w:rsid w:val="005105BA"/>
    <w:rsid w:val="00514B45"/>
    <w:rsid w:val="005167EA"/>
    <w:rsid w:val="005358D5"/>
    <w:rsid w:val="00540F6D"/>
    <w:rsid w:val="00541424"/>
    <w:rsid w:val="00545B6C"/>
    <w:rsid w:val="00545E53"/>
    <w:rsid w:val="00562C9F"/>
    <w:rsid w:val="00562D64"/>
    <w:rsid w:val="0057441D"/>
    <w:rsid w:val="00575C0B"/>
    <w:rsid w:val="005767DA"/>
    <w:rsid w:val="00584668"/>
    <w:rsid w:val="005875A0"/>
    <w:rsid w:val="00592FB1"/>
    <w:rsid w:val="005A497D"/>
    <w:rsid w:val="005C7A8C"/>
    <w:rsid w:val="005D1626"/>
    <w:rsid w:val="005E1969"/>
    <w:rsid w:val="005F331F"/>
    <w:rsid w:val="005F5C45"/>
    <w:rsid w:val="006811D4"/>
    <w:rsid w:val="006842EE"/>
    <w:rsid w:val="006A55D6"/>
    <w:rsid w:val="006B077A"/>
    <w:rsid w:val="006C339B"/>
    <w:rsid w:val="006C4619"/>
    <w:rsid w:val="006C4954"/>
    <w:rsid w:val="006D19B4"/>
    <w:rsid w:val="006F5566"/>
    <w:rsid w:val="006F662E"/>
    <w:rsid w:val="006F675F"/>
    <w:rsid w:val="0072324D"/>
    <w:rsid w:val="0073457B"/>
    <w:rsid w:val="00734CA8"/>
    <w:rsid w:val="007579A3"/>
    <w:rsid w:val="00760FF8"/>
    <w:rsid w:val="007778ED"/>
    <w:rsid w:val="0078540A"/>
    <w:rsid w:val="00796FB8"/>
    <w:rsid w:val="007B0245"/>
    <w:rsid w:val="007B4B93"/>
    <w:rsid w:val="007F01CF"/>
    <w:rsid w:val="007F139C"/>
    <w:rsid w:val="007F6A9B"/>
    <w:rsid w:val="00813315"/>
    <w:rsid w:val="008147D7"/>
    <w:rsid w:val="00834D89"/>
    <w:rsid w:val="0084324D"/>
    <w:rsid w:val="00855B07"/>
    <w:rsid w:val="00883754"/>
    <w:rsid w:val="008925A7"/>
    <w:rsid w:val="008955DA"/>
    <w:rsid w:val="00896F5C"/>
    <w:rsid w:val="008A6077"/>
    <w:rsid w:val="008A75B9"/>
    <w:rsid w:val="008B35B7"/>
    <w:rsid w:val="008D3087"/>
    <w:rsid w:val="008E58E5"/>
    <w:rsid w:val="008F2A65"/>
    <w:rsid w:val="00912960"/>
    <w:rsid w:val="00917745"/>
    <w:rsid w:val="00920851"/>
    <w:rsid w:val="00932A35"/>
    <w:rsid w:val="009369A3"/>
    <w:rsid w:val="00965519"/>
    <w:rsid w:val="0097199C"/>
    <w:rsid w:val="0097213C"/>
    <w:rsid w:val="0097571B"/>
    <w:rsid w:val="00975D9D"/>
    <w:rsid w:val="00977AE9"/>
    <w:rsid w:val="00995CAA"/>
    <w:rsid w:val="009A493E"/>
    <w:rsid w:val="009A770A"/>
    <w:rsid w:val="009B68DA"/>
    <w:rsid w:val="009C63D9"/>
    <w:rsid w:val="009D21F9"/>
    <w:rsid w:val="009D38D8"/>
    <w:rsid w:val="009D6401"/>
    <w:rsid w:val="009E5165"/>
    <w:rsid w:val="009F5B4E"/>
    <w:rsid w:val="009F67B6"/>
    <w:rsid w:val="00A03411"/>
    <w:rsid w:val="00A1073D"/>
    <w:rsid w:val="00A16B9D"/>
    <w:rsid w:val="00A24E92"/>
    <w:rsid w:val="00A37566"/>
    <w:rsid w:val="00A606ED"/>
    <w:rsid w:val="00A82EA7"/>
    <w:rsid w:val="00AA11F3"/>
    <w:rsid w:val="00AB384E"/>
    <w:rsid w:val="00AB46CF"/>
    <w:rsid w:val="00AC24B4"/>
    <w:rsid w:val="00AF05FE"/>
    <w:rsid w:val="00AF098D"/>
    <w:rsid w:val="00AF33DA"/>
    <w:rsid w:val="00B0071C"/>
    <w:rsid w:val="00B120F3"/>
    <w:rsid w:val="00B266E1"/>
    <w:rsid w:val="00B42141"/>
    <w:rsid w:val="00B719C8"/>
    <w:rsid w:val="00B81C79"/>
    <w:rsid w:val="00B82556"/>
    <w:rsid w:val="00B828C4"/>
    <w:rsid w:val="00BB19D2"/>
    <w:rsid w:val="00BB5D0C"/>
    <w:rsid w:val="00BD47BB"/>
    <w:rsid w:val="00BE1D7E"/>
    <w:rsid w:val="00BF0028"/>
    <w:rsid w:val="00BF0226"/>
    <w:rsid w:val="00C060B1"/>
    <w:rsid w:val="00C07C2F"/>
    <w:rsid w:val="00C23D2B"/>
    <w:rsid w:val="00C3382C"/>
    <w:rsid w:val="00C3475A"/>
    <w:rsid w:val="00C47F2D"/>
    <w:rsid w:val="00C81368"/>
    <w:rsid w:val="00C81692"/>
    <w:rsid w:val="00C90420"/>
    <w:rsid w:val="00C94AA5"/>
    <w:rsid w:val="00CB7BED"/>
    <w:rsid w:val="00CC4CBE"/>
    <w:rsid w:val="00CE25FA"/>
    <w:rsid w:val="00CF3DEE"/>
    <w:rsid w:val="00D309FB"/>
    <w:rsid w:val="00D33E13"/>
    <w:rsid w:val="00D4226F"/>
    <w:rsid w:val="00D50A01"/>
    <w:rsid w:val="00D6108D"/>
    <w:rsid w:val="00D77890"/>
    <w:rsid w:val="00D810E5"/>
    <w:rsid w:val="00D94839"/>
    <w:rsid w:val="00D9528F"/>
    <w:rsid w:val="00DC3A97"/>
    <w:rsid w:val="00DD292C"/>
    <w:rsid w:val="00DD2FE2"/>
    <w:rsid w:val="00DD6745"/>
    <w:rsid w:val="00DD752F"/>
    <w:rsid w:val="00DE3F91"/>
    <w:rsid w:val="00E31404"/>
    <w:rsid w:val="00E31513"/>
    <w:rsid w:val="00E334FC"/>
    <w:rsid w:val="00E410BB"/>
    <w:rsid w:val="00E64D44"/>
    <w:rsid w:val="00E664DF"/>
    <w:rsid w:val="00E67B96"/>
    <w:rsid w:val="00E700C0"/>
    <w:rsid w:val="00E86A0B"/>
    <w:rsid w:val="00EC2386"/>
    <w:rsid w:val="00ED0725"/>
    <w:rsid w:val="00ED156C"/>
    <w:rsid w:val="00EE433D"/>
    <w:rsid w:val="00EE489C"/>
    <w:rsid w:val="00EE7B25"/>
    <w:rsid w:val="00EF04CF"/>
    <w:rsid w:val="00EF4C0E"/>
    <w:rsid w:val="00F03FC3"/>
    <w:rsid w:val="00F21080"/>
    <w:rsid w:val="00F45E57"/>
    <w:rsid w:val="00F51653"/>
    <w:rsid w:val="00F520D7"/>
    <w:rsid w:val="00F65BAF"/>
    <w:rsid w:val="00F71CD1"/>
    <w:rsid w:val="00F81302"/>
    <w:rsid w:val="00F85E14"/>
    <w:rsid w:val="00F87B7A"/>
    <w:rsid w:val="00FB3BBC"/>
    <w:rsid w:val="00FC3EAC"/>
    <w:rsid w:val="00FC437B"/>
    <w:rsid w:val="00FC49C6"/>
    <w:rsid w:val="00FC6E9C"/>
    <w:rsid w:val="00FD2714"/>
    <w:rsid w:val="00FF1381"/>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L" w:eastAsia="es-C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6077"/>
    <w:rPr>
      <w:rFonts w:ascii="Times New Roman" w:hAnsi="Times New Roman"/>
      <w:lang w:val="en-US" w:eastAsia="en-US"/>
    </w:rPr>
  </w:style>
  <w:style w:type="paragraph" w:styleId="Ttulo3">
    <w:name w:val="heading 3"/>
    <w:basedOn w:val="Normal"/>
    <w:next w:val="Normal"/>
    <w:link w:val="Ttulo3Car"/>
    <w:uiPriority w:val="9"/>
    <w:unhideWhenUsed/>
    <w:qFormat/>
    <w:rsid w:val="00A606ED"/>
    <w:pPr>
      <w:keepNext/>
      <w:keepLines/>
      <w:spacing w:before="320" w:after="80" w:line="276" w:lineRule="auto"/>
      <w:outlineLvl w:val="2"/>
    </w:pPr>
    <w:rPr>
      <w:rFonts w:ascii="Arial" w:eastAsia="Arial" w:hAnsi="Arial" w:cs="Arial"/>
      <w:color w:val="434343"/>
      <w:sz w:val="28"/>
      <w:szCs w:val="28"/>
      <w:lang w:val="es" w:eastAsia="es-CL"/>
    </w:rPr>
  </w:style>
  <w:style w:type="paragraph" w:styleId="Ttulo4">
    <w:name w:val="heading 4"/>
    <w:basedOn w:val="Normal"/>
    <w:next w:val="Normal"/>
    <w:link w:val="Ttulo4Car"/>
    <w:uiPriority w:val="9"/>
    <w:semiHidden/>
    <w:unhideWhenUsed/>
    <w:qFormat/>
    <w:rsid w:val="006A55D6"/>
    <w:pPr>
      <w:keepNext/>
      <w:keepLines/>
      <w:spacing w:before="40"/>
      <w:outlineLvl w:val="3"/>
    </w:pPr>
    <w:rPr>
      <w:rFonts w:ascii="Calibri Light" w:eastAsia="MS Gothic" w:hAnsi="Calibri Light"/>
      <w:i/>
      <w:iCs/>
      <w:color w:val="2E74B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400425"/>
    <w:pPr>
      <w:contextualSpacing/>
      <w:jc w:val="center"/>
    </w:pPr>
    <w:rPr>
      <w:rFonts w:eastAsia="MS Gothic"/>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Encabezado">
    <w:name w:val="header"/>
    <w:basedOn w:val="Normal"/>
    <w:link w:val="EncabezadoC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EncabezadoCar">
    <w:name w:val="Encabezado Car"/>
    <w:link w:val="Encabezado"/>
    <w:uiPriority w:val="99"/>
    <w:rsid w:val="000379AB"/>
    <w:rPr>
      <w:rFonts w:ascii="Times New Roman" w:eastAsia="Calibri" w:hAnsi="Times New Roman" w:cs="Times New Roman"/>
      <w:sz w:val="20"/>
      <w:szCs w:val="20"/>
    </w:rPr>
  </w:style>
  <w:style w:type="character" w:styleId="Hipervnculo">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tuloCar">
    <w:name w:val="Título Car"/>
    <w:link w:val="Ttulo"/>
    <w:uiPriority w:val="10"/>
    <w:rsid w:val="00400425"/>
    <w:rPr>
      <w:rFonts w:ascii="Times New Roman" w:eastAsia="MS Gothic" w:hAnsi="Times New Roman" w:cs="Times New Roman"/>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Piedepgina">
    <w:name w:val="footer"/>
    <w:basedOn w:val="Normal"/>
    <w:link w:val="PiedepginaCar"/>
    <w:uiPriority w:val="99"/>
    <w:unhideWhenUsed/>
    <w:rsid w:val="000379AB"/>
    <w:pPr>
      <w:tabs>
        <w:tab w:val="center" w:pos="4680"/>
        <w:tab w:val="right" w:pos="9360"/>
      </w:tabs>
    </w:pPr>
  </w:style>
  <w:style w:type="character" w:customStyle="1" w:styleId="PiedepginaCar">
    <w:name w:val="Pie de página Car"/>
    <w:link w:val="Piedepgina"/>
    <w:uiPriority w:val="99"/>
    <w:rsid w:val="000379AB"/>
    <w:rPr>
      <w:rFonts w:ascii="Times New Roman" w:eastAsia="Calibri" w:hAnsi="Times New Roman" w:cs="Times New Roman"/>
      <w:sz w:val="20"/>
      <w:szCs w:val="20"/>
    </w:rPr>
  </w:style>
  <w:style w:type="paragraph" w:styleId="Prrafodelista">
    <w:name w:val="List Paragraph"/>
    <w:basedOn w:val="Normal"/>
    <w:uiPriority w:val="34"/>
    <w:qFormat/>
    <w:rsid w:val="00D810E5"/>
    <w:pPr>
      <w:spacing w:after="200"/>
      <w:ind w:left="720"/>
      <w:contextualSpacing/>
    </w:pPr>
    <w:rPr>
      <w:rFonts w:ascii="Calibri" w:eastAsia="MS Mincho" w:hAnsi="Calibri"/>
      <w:sz w:val="24"/>
      <w:szCs w:val="24"/>
      <w:lang w:eastAsia="ja-JP"/>
    </w:rPr>
  </w:style>
  <w:style w:type="character" w:customStyle="1" w:styleId="Mencinsinresolver1">
    <w:name w:val="Mención sin resolver1"/>
    <w:uiPriority w:val="99"/>
    <w:rsid w:val="00B81C79"/>
    <w:rPr>
      <w:color w:val="808080"/>
      <w:shd w:val="clear" w:color="auto" w:fill="E6E6E6"/>
    </w:rPr>
  </w:style>
  <w:style w:type="paragraph" w:styleId="Textodeglobo">
    <w:name w:val="Balloon Text"/>
    <w:basedOn w:val="Normal"/>
    <w:link w:val="TextodegloboCar"/>
    <w:uiPriority w:val="99"/>
    <w:semiHidden/>
    <w:unhideWhenUsed/>
    <w:rsid w:val="007B4B93"/>
    <w:rPr>
      <w:rFonts w:ascii="Segoe UI" w:hAnsi="Segoe UI" w:cs="Segoe UI"/>
      <w:sz w:val="18"/>
      <w:szCs w:val="18"/>
    </w:rPr>
  </w:style>
  <w:style w:type="character" w:customStyle="1" w:styleId="TextodegloboCar">
    <w:name w:val="Texto de globo Car"/>
    <w:link w:val="Textodeglobo"/>
    <w:uiPriority w:val="99"/>
    <w:semiHidden/>
    <w:rsid w:val="007B4B93"/>
    <w:rPr>
      <w:rFonts w:ascii="Segoe UI" w:eastAsia="Calibri" w:hAnsi="Segoe UI" w:cs="Segoe UI"/>
      <w:sz w:val="18"/>
      <w:szCs w:val="18"/>
    </w:rPr>
  </w:style>
  <w:style w:type="character" w:styleId="nfasis">
    <w:name w:val="Emphasis"/>
    <w:uiPriority w:val="20"/>
    <w:qFormat/>
    <w:rsid w:val="007B4B93"/>
    <w:rPr>
      <w:i/>
      <w:iCs/>
    </w:rPr>
  </w:style>
  <w:style w:type="character" w:styleId="Hipervnculovisitado">
    <w:name w:val="FollowedHyperlink"/>
    <w:uiPriority w:val="99"/>
    <w:semiHidden/>
    <w:unhideWhenUsed/>
    <w:rsid w:val="00F45E57"/>
    <w:rPr>
      <w:color w:val="954F72"/>
      <w:u w:val="single"/>
    </w:rPr>
  </w:style>
  <w:style w:type="character" w:styleId="Nmerodelnea">
    <w:name w:val="line number"/>
    <w:basedOn w:val="Fuentedeprrafopredeter"/>
    <w:uiPriority w:val="99"/>
    <w:semiHidden/>
    <w:unhideWhenUsed/>
    <w:rsid w:val="00BD47BB"/>
  </w:style>
  <w:style w:type="character" w:customStyle="1" w:styleId="normaltextrun">
    <w:name w:val="normaltextrun"/>
    <w:basedOn w:val="Fuentedeprrafopredeter"/>
    <w:rsid w:val="009F5B4E"/>
  </w:style>
  <w:style w:type="character" w:styleId="Refdecomentario">
    <w:name w:val="annotation reference"/>
    <w:uiPriority w:val="99"/>
    <w:semiHidden/>
    <w:unhideWhenUsed/>
    <w:rsid w:val="00426913"/>
    <w:rPr>
      <w:sz w:val="16"/>
      <w:szCs w:val="16"/>
    </w:rPr>
  </w:style>
  <w:style w:type="paragraph" w:styleId="Textocomentario">
    <w:name w:val="annotation text"/>
    <w:basedOn w:val="Normal"/>
    <w:link w:val="TextocomentarioCar"/>
    <w:uiPriority w:val="99"/>
    <w:unhideWhenUsed/>
    <w:rsid w:val="00426913"/>
  </w:style>
  <w:style w:type="character" w:customStyle="1" w:styleId="TextocomentarioCar">
    <w:name w:val="Texto comentario Car"/>
    <w:link w:val="Textocomentario"/>
    <w:uiPriority w:val="99"/>
    <w:rsid w:val="00426913"/>
    <w:rPr>
      <w:rFonts w:ascii="Times New Roman" w:eastAsia="Calibri" w:hAnsi="Times New Roman"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426913"/>
    <w:rPr>
      <w:b/>
      <w:bCs/>
    </w:rPr>
  </w:style>
  <w:style w:type="character" w:customStyle="1" w:styleId="AsuntodelcomentarioCar">
    <w:name w:val="Asunto del comentario Car"/>
    <w:link w:val="Asuntodelcomentario"/>
    <w:uiPriority w:val="99"/>
    <w:semiHidden/>
    <w:rsid w:val="00426913"/>
    <w:rPr>
      <w:rFonts w:ascii="Times New Roman" w:eastAsia="Calibri" w:hAnsi="Times New Roman" w:cs="Times New Roman"/>
      <w:b/>
      <w:bCs/>
      <w:sz w:val="20"/>
      <w:szCs w:val="20"/>
    </w:rPr>
  </w:style>
  <w:style w:type="paragraph" w:styleId="Revisin">
    <w:name w:val="Revision"/>
    <w:hidden/>
    <w:uiPriority w:val="99"/>
    <w:semiHidden/>
    <w:rsid w:val="009369A3"/>
    <w:rPr>
      <w:rFonts w:ascii="Arial" w:eastAsia="Arial" w:hAnsi="Arial" w:cs="Arial"/>
      <w:sz w:val="22"/>
      <w:szCs w:val="22"/>
      <w:lang w:val="es"/>
    </w:rPr>
  </w:style>
  <w:style w:type="character" w:customStyle="1" w:styleId="Ttulo3Car">
    <w:name w:val="Título 3 Car"/>
    <w:link w:val="Ttulo3"/>
    <w:uiPriority w:val="9"/>
    <w:rsid w:val="00A606ED"/>
    <w:rPr>
      <w:rFonts w:ascii="Arial" w:eastAsia="Arial" w:hAnsi="Arial" w:cs="Arial"/>
      <w:color w:val="434343"/>
      <w:sz w:val="28"/>
      <w:szCs w:val="28"/>
      <w:lang w:val="es" w:eastAsia="es-CL"/>
    </w:rPr>
  </w:style>
  <w:style w:type="paragraph" w:styleId="Textonotapie">
    <w:name w:val="footnote text"/>
    <w:basedOn w:val="Normal"/>
    <w:link w:val="TextonotapieCar"/>
    <w:uiPriority w:val="99"/>
    <w:semiHidden/>
    <w:unhideWhenUsed/>
    <w:rsid w:val="005875A0"/>
    <w:rPr>
      <w:rFonts w:ascii="Arial" w:eastAsia="Arial" w:hAnsi="Arial" w:cs="Arial"/>
      <w:lang w:val="es" w:eastAsia="es-CL"/>
    </w:rPr>
  </w:style>
  <w:style w:type="character" w:customStyle="1" w:styleId="TextonotapieCar">
    <w:name w:val="Texto nota pie Car"/>
    <w:link w:val="Textonotapie"/>
    <w:uiPriority w:val="99"/>
    <w:semiHidden/>
    <w:rsid w:val="005875A0"/>
    <w:rPr>
      <w:rFonts w:ascii="Arial" w:eastAsia="Arial" w:hAnsi="Arial" w:cs="Arial"/>
      <w:sz w:val="20"/>
      <w:szCs w:val="20"/>
      <w:lang w:val="es" w:eastAsia="es-CL"/>
    </w:rPr>
  </w:style>
  <w:style w:type="character" w:customStyle="1" w:styleId="Ttulo4Car">
    <w:name w:val="Título 4 Car"/>
    <w:link w:val="Ttulo4"/>
    <w:uiPriority w:val="9"/>
    <w:semiHidden/>
    <w:rsid w:val="006A55D6"/>
    <w:rPr>
      <w:rFonts w:ascii="Calibri Light" w:eastAsia="MS Gothic" w:hAnsi="Calibri Light" w:cs="Times New Roman"/>
      <w:i/>
      <w:iCs/>
      <w:color w:val="2E74B5"/>
      <w:sz w:val="20"/>
      <w:szCs w:val="20"/>
    </w:rPr>
  </w:style>
  <w:style w:type="paragraph" w:styleId="HTMLconformatoprevio">
    <w:name w:val="HTML Preformatted"/>
    <w:basedOn w:val="Normal"/>
    <w:link w:val="HTMLconformatoprevioCar"/>
    <w:uiPriority w:val="99"/>
    <w:semiHidden/>
    <w:unhideWhenUsed/>
    <w:rsid w:val="002E5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val="es-CL" w:eastAsia="es-CL"/>
    </w:rPr>
  </w:style>
  <w:style w:type="character" w:customStyle="1" w:styleId="HTMLconformatoprevioCar">
    <w:name w:val="HTML con formato previo Car"/>
    <w:basedOn w:val="Fuentedeprrafopredeter"/>
    <w:link w:val="HTMLconformatoprevio"/>
    <w:uiPriority w:val="99"/>
    <w:semiHidden/>
    <w:rsid w:val="002E5847"/>
    <w:rPr>
      <w:rFonts w:ascii="Courier New" w:eastAsia="Times New Roman" w:hAnsi="Courier New" w:cs="Courier New"/>
    </w:rPr>
  </w:style>
  <w:style w:type="character" w:customStyle="1" w:styleId="y2iqfc">
    <w:name w:val="y2iqfc"/>
    <w:basedOn w:val="Fuentedeprrafopredeter"/>
    <w:rsid w:val="002E58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80799389">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964379700">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lamos@fen.uchile.cl)"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23" Type="http://schemas.microsoft.com/office/2016/09/relationships/commentsIds" Target="commentsId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717B6F-D5C6-4D5E-A89C-DAFAE2B9E3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31</Pages>
  <Words>56413</Words>
  <Characters>332277</Characters>
  <Application>Microsoft Office Word</Application>
  <DocSecurity>0</DocSecurity>
  <Lines>6269</Lines>
  <Paragraphs>2989</Paragraphs>
  <ScaleCrop>false</ScaleCrop>
  <HeadingPairs>
    <vt:vector size="6" baseType="variant">
      <vt:variant>
        <vt:lpstr>Título</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385701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NicolÃ¡s Ãlamos Correa</cp:lastModifiedBy>
  <cp:revision>4</cp:revision>
  <dcterms:created xsi:type="dcterms:W3CDTF">2022-09-21T13:05:00Z</dcterms:created>
  <dcterms:modified xsi:type="dcterms:W3CDTF">2022-09-21T14:11:00Z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46996849-48b1-36e8-9ade-81709747a7e7</vt:lpwstr>
  </property>
  <property fmtid="{D5CDD505-2E9C-101B-9397-08002B2CF9AE}" pid="24" name="Mendeley Citation Style_1">
    <vt:lpwstr>http://www.zotero.org/styles/apa</vt:lpwstr>
  </property>
  <property fmtid="{D5CDD505-2E9C-101B-9397-08002B2CF9AE}" pid="25" name="GrammarlyDocumentId">
    <vt:lpwstr>76bb07874910ca4ce69c3387df9a70dffbcdc02872702475ae216aa8b39c4db4</vt:lpwstr>
  </property>
</Properties>
</file>