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OLE_LINK37"/>
    <w:bookmarkStart w:id="1" w:name="OLE_LINK9"/>
    <w:p w14:paraId="2C9516E4" w14:textId="0C00867F" w:rsidR="00707E3A" w:rsidRPr="00DC0FAC" w:rsidRDefault="00903EDE" w:rsidP="00707E3A">
      <w:pPr>
        <w:pStyle w:val="a3"/>
        <w:framePr w:wrap="notBeside" w:x="1389" w:y="156"/>
        <w:rPr>
          <w:color w:val="000000" w:themeColor="text1"/>
        </w:rPr>
      </w:pPr>
      <w:r>
        <w:fldChar w:fldCharType="begin"/>
      </w:r>
      <w:r>
        <w:instrText xml:space="preserve"> MACROBUTTON MTEditEquationSection2 </w:instrText>
      </w:r>
      <w:r w:rsidRPr="00903EDE">
        <w:rPr>
          <w:rStyle w:val="MTEquationSection"/>
        </w:rPr>
        <w:instrText>Equation Chapter 1 Section 1</w:instrText>
      </w:r>
      <w:r>
        <w:fldChar w:fldCharType="begin"/>
      </w:r>
      <w:r>
        <w:instrText xml:space="preserve"> SEQ MTEqn \r \h \* MERGEFORMAT </w:instrText>
      </w:r>
      <w:r>
        <w:fldChar w:fldCharType="end"/>
      </w:r>
      <w:r>
        <w:fldChar w:fldCharType="begin"/>
      </w:r>
      <w:r>
        <w:instrText xml:space="preserve"> SEQ MTSec \r 1 \h \* MERGEFORMAT </w:instrText>
      </w:r>
      <w:r>
        <w:fldChar w:fldCharType="end"/>
      </w:r>
      <w:r>
        <w:fldChar w:fldCharType="begin"/>
      </w:r>
      <w:r>
        <w:instrText xml:space="preserve"> SEQ MTChap \r 1 \h \* MERGEFORMAT </w:instrText>
      </w:r>
      <w:r>
        <w:fldChar w:fldCharType="end"/>
      </w:r>
      <w:r>
        <w:fldChar w:fldCharType="end"/>
      </w:r>
      <w:r w:rsidR="00AC5747" w:rsidRPr="00AC5747">
        <w:t xml:space="preserve">Economic Evaluation of BESS on </w:t>
      </w:r>
      <w:r w:rsidR="001C3895">
        <w:t xml:space="preserve">the </w:t>
      </w:r>
      <w:r w:rsidR="00AC5747" w:rsidRPr="00AC5747">
        <w:t xml:space="preserve">Generation Side for </w:t>
      </w:r>
      <w:r w:rsidR="006041AA" w:rsidRPr="00AC5747">
        <w:t>Frequency and</w:t>
      </w:r>
      <w:r w:rsidR="00B3530D">
        <w:t xml:space="preserve"> </w:t>
      </w:r>
      <w:r w:rsidR="00AC5747" w:rsidRPr="00AC5747">
        <w:t>Peak Regulation</w:t>
      </w:r>
      <w:r w:rsidR="00B3530D">
        <w:t xml:space="preserve"> </w:t>
      </w:r>
      <w:r w:rsidR="00AC5747" w:rsidRPr="00AC5747">
        <w:t>Considering the Benefits of Unit Loss Reduction</w:t>
      </w:r>
      <w:bookmarkEnd w:id="0"/>
    </w:p>
    <w:bookmarkEnd w:id="1"/>
    <w:p w14:paraId="1CB6370C" w14:textId="3DC02C10" w:rsidR="006708C3" w:rsidRPr="00DC0FAC" w:rsidRDefault="006708C3" w:rsidP="00AD0585">
      <w:pPr>
        <w:pStyle w:val="Authors"/>
        <w:framePr w:wrap="notBeside" w:vAnchor="page" w:y="3760"/>
        <w:rPr>
          <w:color w:val="000000" w:themeColor="text1"/>
        </w:rPr>
      </w:pPr>
      <w:r>
        <w:rPr>
          <w:color w:val="000000" w:themeColor="text1"/>
        </w:rPr>
        <w:t xml:space="preserve">Gengming Liu, Wenxia Liu, </w:t>
      </w:r>
      <w:r>
        <w:rPr>
          <w:i/>
          <w:color w:val="000000" w:themeColor="text1"/>
        </w:rPr>
        <w:t>Member</w:t>
      </w:r>
      <w:r w:rsidRPr="00DC0FAC">
        <w:rPr>
          <w:i/>
          <w:color w:val="000000" w:themeColor="text1"/>
        </w:rPr>
        <w:t>, IEEE</w:t>
      </w:r>
      <w:r>
        <w:rPr>
          <w:color w:val="000000" w:themeColor="text1"/>
        </w:rPr>
        <w:t xml:space="preserve">, </w:t>
      </w:r>
      <w:proofErr w:type="spellStart"/>
      <w:r>
        <w:rPr>
          <w:color w:val="000000" w:themeColor="text1"/>
        </w:rPr>
        <w:t>Qingxin</w:t>
      </w:r>
      <w:proofErr w:type="spellEnd"/>
      <w:r>
        <w:rPr>
          <w:color w:val="000000" w:themeColor="text1"/>
        </w:rPr>
        <w:t xml:space="preserve"> Shi,</w:t>
      </w:r>
      <w:r w:rsidRPr="00C82584">
        <w:rPr>
          <w:i/>
          <w:color w:val="000000" w:themeColor="text1"/>
        </w:rPr>
        <w:t xml:space="preserve"> </w:t>
      </w:r>
      <w:r>
        <w:rPr>
          <w:i/>
          <w:color w:val="000000" w:themeColor="text1"/>
        </w:rPr>
        <w:t>Member</w:t>
      </w:r>
      <w:r w:rsidRPr="00DC0FAC">
        <w:rPr>
          <w:i/>
          <w:color w:val="000000" w:themeColor="text1"/>
        </w:rPr>
        <w:t>, IEEE</w:t>
      </w:r>
    </w:p>
    <w:p w14:paraId="6E9BE152" w14:textId="77777777" w:rsidR="00E97402" w:rsidRPr="00DC0FAC" w:rsidRDefault="00E97402">
      <w:pPr>
        <w:pStyle w:val="Text"/>
        <w:ind w:firstLine="0"/>
        <w:rPr>
          <w:color w:val="000000" w:themeColor="text1"/>
          <w:sz w:val="18"/>
          <w:szCs w:val="18"/>
        </w:rPr>
      </w:pPr>
      <w:r w:rsidRPr="00DC0FAC">
        <w:rPr>
          <w:color w:val="000000" w:themeColor="text1"/>
          <w:sz w:val="18"/>
          <w:szCs w:val="18"/>
        </w:rPr>
        <w:footnoteReference w:customMarkFollows="1" w:id="1"/>
        <w:sym w:font="Symbol" w:char="F020"/>
      </w:r>
    </w:p>
    <w:p w14:paraId="21A0846E" w14:textId="4B125942" w:rsidR="00355373" w:rsidRPr="00355373" w:rsidRDefault="00E97402" w:rsidP="00355373">
      <w:pPr>
        <w:pStyle w:val="Abstract"/>
        <w:rPr>
          <w:color w:val="000000" w:themeColor="text1"/>
        </w:rPr>
      </w:pPr>
      <w:r w:rsidRPr="00DC0FAC">
        <w:rPr>
          <w:i/>
          <w:iCs/>
          <w:color w:val="000000" w:themeColor="text1"/>
        </w:rPr>
        <w:t>Abstract</w:t>
      </w:r>
      <w:r w:rsidRPr="00DC0FAC">
        <w:rPr>
          <w:color w:val="000000" w:themeColor="text1"/>
        </w:rPr>
        <w:t>—</w:t>
      </w:r>
      <w:bookmarkStart w:id="3" w:name="OLE_LINK12"/>
      <w:bookmarkStart w:id="4" w:name="OLE_LINK7"/>
      <w:r w:rsidR="0030620B" w:rsidRPr="0030620B">
        <w:rPr>
          <w:color w:val="000000" w:themeColor="text1"/>
        </w:rPr>
        <w:t xml:space="preserve">The indirect benefits of battery energy storage system (BESS) </w:t>
      </w:r>
      <w:bookmarkStart w:id="5" w:name="OLE_LINK16"/>
      <w:r w:rsidR="0030620B" w:rsidRPr="0030620B">
        <w:rPr>
          <w:color w:val="000000" w:themeColor="text1"/>
        </w:rPr>
        <w:t>on the generation side</w:t>
      </w:r>
      <w:bookmarkEnd w:id="5"/>
      <w:r w:rsidR="0030620B" w:rsidRPr="0030620B">
        <w:rPr>
          <w:color w:val="000000" w:themeColor="text1"/>
        </w:rPr>
        <w:t xml:space="preserve"> participating in auxiliary service are hardly quantified in prior works. Nevertheless, the configuration of BESS could be affected by its indirect benefits. In this paper, </w:t>
      </w:r>
      <w:bookmarkStart w:id="6" w:name="OLE_LINK3"/>
      <w:r w:rsidR="0030620B" w:rsidRPr="0030620B">
        <w:rPr>
          <w:color w:val="000000" w:themeColor="text1"/>
        </w:rPr>
        <w:t>we purpose a quantitative economic evaluation method of BESS considering the indirect benefits from the reduction in unit loss and the delay in investment</w:t>
      </w:r>
      <w:bookmarkEnd w:id="6"/>
      <w:r w:rsidR="0030620B" w:rsidRPr="0030620B">
        <w:rPr>
          <w:color w:val="000000" w:themeColor="text1"/>
        </w:rPr>
        <w:t xml:space="preserve">. First, we complete further the cost model of BESS for frequency and peak regulation based on the whole life cycle theory. Second, we quantify the indirect benefits of BESS in thermal power plants based on the theory of rotor fatigue life loss and establish a benefits model that considers the unit loss reduction during frequency regulation and the delay in investment during peak regulation. Finally, we </w:t>
      </w:r>
      <w:r w:rsidR="00C054F6">
        <w:rPr>
          <w:color w:val="000000" w:themeColor="text1"/>
          <w:lang w:eastAsia="zh-CN"/>
        </w:rPr>
        <w:t>propose a set of indexes for economic</w:t>
      </w:r>
      <w:r w:rsidR="00C054F6">
        <w:rPr>
          <w:color w:val="000000" w:themeColor="text1"/>
        </w:rPr>
        <w:t xml:space="preserve"> </w:t>
      </w:r>
      <w:r w:rsidR="0030620B" w:rsidRPr="0030620B">
        <w:rPr>
          <w:color w:val="000000" w:themeColor="text1"/>
        </w:rPr>
        <w:t>evaluat</w:t>
      </w:r>
      <w:r w:rsidR="00C054F6">
        <w:rPr>
          <w:color w:val="000000" w:themeColor="text1"/>
        </w:rPr>
        <w:t>ion</w:t>
      </w:r>
      <w:r w:rsidR="0030620B" w:rsidRPr="0030620B">
        <w:rPr>
          <w:color w:val="000000" w:themeColor="text1"/>
        </w:rPr>
        <w:t xml:space="preserve"> of the thermal power plant with BESS. The simulation results show that the total benefits of BESS can be improved effectively by considering the indirect benefits from unit loss reduction and the delay in investment, proving the effectiveness of the proposed approach which can be meaningful for the future investment in BESS on the generation side</w:t>
      </w:r>
      <w:r w:rsidR="00275DB5">
        <w:rPr>
          <w:color w:val="000000" w:themeColor="text1"/>
        </w:rPr>
        <w:t>.</w:t>
      </w:r>
      <w:bookmarkEnd w:id="3"/>
    </w:p>
    <w:bookmarkEnd w:id="4"/>
    <w:p w14:paraId="5C9B56A7" w14:textId="77777777" w:rsidR="00E97402" w:rsidRPr="00DC0FAC" w:rsidRDefault="00E97402">
      <w:pPr>
        <w:rPr>
          <w:color w:val="000000" w:themeColor="text1"/>
        </w:rPr>
      </w:pPr>
    </w:p>
    <w:p w14:paraId="4E5833DD" w14:textId="4625C986" w:rsidR="00E97402" w:rsidRPr="00DC0FAC" w:rsidRDefault="00E97402">
      <w:pPr>
        <w:pStyle w:val="IndexTerms"/>
        <w:rPr>
          <w:color w:val="000000" w:themeColor="text1"/>
        </w:rPr>
      </w:pPr>
      <w:r w:rsidRPr="00DC0FAC">
        <w:rPr>
          <w:i/>
          <w:iCs/>
          <w:color w:val="000000" w:themeColor="text1"/>
        </w:rPr>
        <w:t>Index Terms</w:t>
      </w:r>
      <w:r w:rsidRPr="00DC0FAC">
        <w:rPr>
          <w:color w:val="000000" w:themeColor="text1"/>
        </w:rPr>
        <w:t>—</w:t>
      </w:r>
      <w:bookmarkStart w:id="7" w:name="OLE_LINK8"/>
      <w:r w:rsidR="00354FDA">
        <w:rPr>
          <w:color w:val="000000" w:themeColor="text1"/>
        </w:rPr>
        <w:t>Generation</w:t>
      </w:r>
      <w:r w:rsidR="00275DB5" w:rsidRPr="00275DB5">
        <w:rPr>
          <w:color w:val="000000" w:themeColor="text1"/>
        </w:rPr>
        <w:t xml:space="preserve">-side battery energy storage, </w:t>
      </w:r>
      <w:bookmarkStart w:id="8" w:name="OLE_LINK11"/>
      <w:r w:rsidR="00275DB5" w:rsidRPr="00275DB5">
        <w:rPr>
          <w:color w:val="000000" w:themeColor="text1"/>
        </w:rPr>
        <w:t>frequency</w:t>
      </w:r>
      <w:r w:rsidR="00355373">
        <w:rPr>
          <w:color w:val="000000" w:themeColor="text1"/>
        </w:rPr>
        <w:t xml:space="preserve"> and peak</w:t>
      </w:r>
      <w:r w:rsidR="00275DB5" w:rsidRPr="00275DB5">
        <w:rPr>
          <w:color w:val="000000" w:themeColor="text1"/>
        </w:rPr>
        <w:t xml:space="preserve"> </w:t>
      </w:r>
      <w:r w:rsidR="00B955D6">
        <w:rPr>
          <w:color w:val="000000" w:themeColor="text1"/>
        </w:rPr>
        <w:t>regulation</w:t>
      </w:r>
      <w:bookmarkEnd w:id="8"/>
      <w:r w:rsidR="00275DB5" w:rsidRPr="00275DB5">
        <w:rPr>
          <w:color w:val="000000" w:themeColor="text1"/>
        </w:rPr>
        <w:t xml:space="preserve">, fatigue wear, </w:t>
      </w:r>
      <w:bookmarkStart w:id="9" w:name="OLE_LINK13"/>
      <w:bookmarkStart w:id="10" w:name="OLE_LINK15"/>
      <w:bookmarkStart w:id="11" w:name="OLE_LINK14"/>
      <w:r w:rsidR="00275DB5" w:rsidRPr="00275DB5">
        <w:rPr>
          <w:color w:val="000000" w:themeColor="text1"/>
        </w:rPr>
        <w:t>economic benefit evaluation</w:t>
      </w:r>
      <w:bookmarkEnd w:id="9"/>
      <w:r w:rsidRPr="00DC0FAC">
        <w:rPr>
          <w:color w:val="000000" w:themeColor="text1"/>
        </w:rPr>
        <w:t>.</w:t>
      </w:r>
      <w:bookmarkEnd w:id="7"/>
      <w:bookmarkEnd w:id="10"/>
    </w:p>
    <w:bookmarkEnd w:id="11"/>
    <w:p w14:paraId="11C55081" w14:textId="1771E558" w:rsidR="00827683" w:rsidRDefault="00D8634F" w:rsidP="00A72DE0">
      <w:pPr>
        <w:pStyle w:val="1"/>
        <w:numPr>
          <w:ilvl w:val="0"/>
          <w:numId w:val="0"/>
        </w:numPr>
        <w:rPr>
          <w:color w:val="000000" w:themeColor="text1"/>
        </w:rPr>
      </w:pPr>
      <w:r>
        <w:rPr>
          <w:color w:val="000000" w:themeColor="text1"/>
        </w:rPr>
        <w:t>NOMENCLATURE</w:t>
      </w:r>
    </w:p>
    <w:tbl>
      <w:tblPr>
        <w:tblStyle w:val="afd"/>
        <w:tblW w:w="5068" w:type="pct"/>
        <w:tblLook w:val="04A0" w:firstRow="1" w:lastRow="0" w:firstColumn="1" w:lastColumn="0" w:noHBand="0" w:noVBand="1"/>
      </w:tblPr>
      <w:tblGrid>
        <w:gridCol w:w="5098"/>
      </w:tblGrid>
      <w:tr w:rsidR="003F5877" w:rsidRPr="003F5877" w14:paraId="0E5FB0AA" w14:textId="77777777" w:rsidTr="003F5877">
        <w:tc>
          <w:tcPr>
            <w:tcW w:w="5000" w:type="pct"/>
          </w:tcPr>
          <w:p w14:paraId="403978AA" w14:textId="77777777" w:rsidR="003F5877" w:rsidRPr="003F5877" w:rsidRDefault="003F5877" w:rsidP="00467E3B">
            <w:pPr>
              <w:spacing w:line="360" w:lineRule="auto"/>
              <w:rPr>
                <w:b/>
                <w:bCs/>
              </w:rPr>
            </w:pPr>
            <w:bookmarkStart w:id="12" w:name="OLE_LINK21"/>
            <w:r w:rsidRPr="003F5877">
              <w:rPr>
                <w:b/>
                <w:bCs/>
              </w:rPr>
              <w:t>Nomenclature</w:t>
            </w:r>
          </w:p>
          <w:p w14:paraId="77D6D783" w14:textId="77777777" w:rsidR="003F5877" w:rsidRPr="003F5877" w:rsidRDefault="003F5877" w:rsidP="00467E3B">
            <w:pPr>
              <w:spacing w:line="360" w:lineRule="auto"/>
            </w:pPr>
            <w:r w:rsidRPr="003F5877">
              <w:t>In this section, all symbols used in this paper are</w:t>
            </w:r>
            <w:r w:rsidRPr="003F5877">
              <w:rPr>
                <w:rFonts w:hint="eastAsia"/>
              </w:rPr>
              <w:t xml:space="preserve"> </w:t>
            </w:r>
            <w:r w:rsidRPr="003F5877">
              <w:t>classified into acronyms and parameters.</w:t>
            </w:r>
          </w:p>
          <w:p w14:paraId="0816C0EB" w14:textId="77777777" w:rsidR="003F5877" w:rsidRPr="003F5877" w:rsidRDefault="003F5877" w:rsidP="00467E3B">
            <w:pPr>
              <w:spacing w:line="360" w:lineRule="auto"/>
              <w:rPr>
                <w:i/>
              </w:rPr>
            </w:pPr>
            <w:r w:rsidRPr="003F5877">
              <w:rPr>
                <w:i/>
              </w:rPr>
              <w:t>Acronyms</w:t>
            </w:r>
          </w:p>
          <w:p w14:paraId="6BF3A274" w14:textId="77777777" w:rsidR="003F5877" w:rsidRPr="003F5877" w:rsidRDefault="003F5877" w:rsidP="00467E3B">
            <w:pPr>
              <w:spacing w:line="432" w:lineRule="auto"/>
            </w:pPr>
            <w:r w:rsidRPr="003F5877">
              <w:t>BESS</w:t>
            </w:r>
            <w:r w:rsidRPr="003F5877">
              <w:tab/>
            </w:r>
            <w:bookmarkStart w:id="13" w:name="OLE_LINK17"/>
            <w:r w:rsidRPr="003F5877">
              <w:tab/>
            </w:r>
            <w:bookmarkEnd w:id="13"/>
            <w:r w:rsidRPr="003F5877">
              <w:t>Battery Energy Storage System</w:t>
            </w:r>
          </w:p>
          <w:p w14:paraId="7CAC26FC" w14:textId="1816CF71" w:rsidR="003F5877" w:rsidRPr="003F5877" w:rsidRDefault="003F5877" w:rsidP="00467E3B">
            <w:pPr>
              <w:spacing w:line="432" w:lineRule="auto"/>
            </w:pPr>
            <w:r w:rsidRPr="003F5877">
              <w:t>LCC</w:t>
            </w:r>
            <w:r w:rsidR="00807604" w:rsidRPr="003F5877">
              <w:tab/>
            </w:r>
            <w:r w:rsidR="00807604" w:rsidRPr="003F5877">
              <w:tab/>
            </w:r>
            <w:r w:rsidR="00807604" w:rsidRPr="003F5877">
              <w:tab/>
            </w:r>
            <w:r w:rsidRPr="003F5877">
              <w:t>Life Cycle Cost</w:t>
            </w:r>
          </w:p>
          <w:p w14:paraId="736092A5" w14:textId="3E20DEE5" w:rsidR="003F5877" w:rsidRPr="003F5877" w:rsidRDefault="003F5877" w:rsidP="00467E3B">
            <w:pPr>
              <w:spacing w:line="432" w:lineRule="auto"/>
            </w:pPr>
            <w:r w:rsidRPr="003F5877">
              <w:t>FM</w:t>
            </w:r>
            <w:r w:rsidRPr="003F5877">
              <w:tab/>
            </w:r>
            <w:r w:rsidRPr="003F5877">
              <w:tab/>
            </w:r>
            <w:r w:rsidR="00807604" w:rsidRPr="003F5877">
              <w:tab/>
            </w:r>
            <w:r w:rsidRPr="003F5877">
              <w:t>Frequency Modulation</w:t>
            </w:r>
          </w:p>
          <w:p w14:paraId="5AE6C2F2" w14:textId="77777777" w:rsidR="003F5877" w:rsidRPr="003F5877" w:rsidRDefault="003F5877" w:rsidP="00467E3B">
            <w:pPr>
              <w:spacing w:line="432" w:lineRule="auto"/>
              <w:rPr>
                <w:i/>
              </w:rPr>
            </w:pPr>
            <w:r w:rsidRPr="003F5877">
              <w:rPr>
                <w:i/>
              </w:rPr>
              <w:t>Parameters</w:t>
            </w:r>
          </w:p>
          <w:p w14:paraId="61D19341" w14:textId="46B7E494" w:rsidR="003F5877" w:rsidRPr="003F5877" w:rsidRDefault="003F5877" w:rsidP="00467E3B">
            <w:pPr>
              <w:spacing w:line="432" w:lineRule="auto"/>
              <w:rPr>
                <w:i/>
              </w:rPr>
            </w:pPr>
            <w:r w:rsidRPr="003F5877">
              <w:rPr>
                <w:i/>
                <w:iCs/>
              </w:rPr>
              <w:t>P</w:t>
            </w:r>
            <w:r w:rsidRPr="003F5877">
              <w:rPr>
                <w:iCs/>
                <w:vertAlign w:val="subscript"/>
              </w:rPr>
              <w:t>rated</w:t>
            </w:r>
            <w:r w:rsidRPr="003F5877">
              <w:rPr>
                <w:i/>
              </w:rPr>
              <w:tab/>
            </w:r>
            <w:r w:rsidRPr="003F5877">
              <w:rPr>
                <w:i/>
              </w:rPr>
              <w:tab/>
            </w:r>
            <w:r w:rsidRPr="003F5877">
              <w:t xml:space="preserve">The rated configuration power of BESS </w:t>
            </w:r>
          </w:p>
          <w:p w14:paraId="400B208C" w14:textId="265B9334" w:rsidR="003F5877" w:rsidRPr="003F5877" w:rsidRDefault="003F5877" w:rsidP="00467E3B">
            <w:pPr>
              <w:spacing w:line="432" w:lineRule="auto"/>
              <w:rPr>
                <w:i/>
                <w:iCs/>
              </w:rPr>
            </w:pPr>
            <w:proofErr w:type="spellStart"/>
            <w:r w:rsidRPr="003F5877">
              <w:rPr>
                <w:i/>
                <w:iCs/>
              </w:rPr>
              <w:t>S</w:t>
            </w:r>
            <w:r w:rsidRPr="003F5877">
              <w:rPr>
                <w:iCs/>
                <w:vertAlign w:val="subscript"/>
              </w:rPr>
              <w:t>rated</w:t>
            </w:r>
            <w:proofErr w:type="spellEnd"/>
            <w:r w:rsidRPr="003F5877">
              <w:tab/>
            </w:r>
            <w:r w:rsidR="00807604" w:rsidRPr="003F5877">
              <w:tab/>
            </w:r>
            <w:r w:rsidRPr="003F5877">
              <w:t>The BESS capacity</w:t>
            </w:r>
          </w:p>
          <w:p w14:paraId="05EC5EF9" w14:textId="222B0896" w:rsidR="003F5877" w:rsidRPr="003F5877" w:rsidRDefault="003F5877" w:rsidP="00467E3B">
            <w:pPr>
              <w:spacing w:line="432" w:lineRule="auto"/>
            </w:pPr>
            <w:proofErr w:type="spellStart"/>
            <w:r w:rsidRPr="003F5877">
              <w:rPr>
                <w:i/>
              </w:rPr>
              <w:t>C</w:t>
            </w:r>
            <w:r w:rsidRPr="003F5877">
              <w:rPr>
                <w:vertAlign w:val="subscript"/>
              </w:rPr>
              <w:t>inv</w:t>
            </w:r>
            <w:proofErr w:type="spellEnd"/>
            <w:r w:rsidRPr="003F5877">
              <w:rPr>
                <w:iCs/>
              </w:rPr>
              <w:tab/>
            </w:r>
            <w:r w:rsidR="00807604" w:rsidRPr="003F5877">
              <w:tab/>
            </w:r>
            <w:r w:rsidRPr="003F5877">
              <w:t xml:space="preserve">The investment cost </w:t>
            </w:r>
          </w:p>
          <w:p w14:paraId="58042E34" w14:textId="67F51C09" w:rsidR="003F5877" w:rsidRPr="003F5877" w:rsidRDefault="003F5877" w:rsidP="00467E3B">
            <w:pPr>
              <w:spacing w:line="432" w:lineRule="auto"/>
            </w:pPr>
            <w:r w:rsidRPr="003F5877">
              <w:rPr>
                <w:i/>
              </w:rPr>
              <w:t>C</w:t>
            </w:r>
            <w:r w:rsidRPr="003F5877">
              <w:rPr>
                <w:vertAlign w:val="subscript"/>
              </w:rPr>
              <w:t>p</w:t>
            </w:r>
            <w:r w:rsidRPr="003F5877">
              <w:rPr>
                <w:i/>
              </w:rPr>
              <w:tab/>
            </w:r>
            <w:r w:rsidRPr="003F5877">
              <w:rPr>
                <w:i/>
              </w:rPr>
              <w:tab/>
            </w:r>
            <w:r w:rsidR="00807604" w:rsidRPr="003F5877">
              <w:tab/>
            </w:r>
            <w:r w:rsidRPr="003F5877">
              <w:t xml:space="preserve">The unit power cost of BESS </w:t>
            </w:r>
          </w:p>
          <w:p w14:paraId="336D6020" w14:textId="4141724A" w:rsidR="003F5877" w:rsidRPr="003F5877" w:rsidRDefault="003F5877" w:rsidP="00467E3B">
            <w:pPr>
              <w:spacing w:line="432" w:lineRule="auto"/>
            </w:pPr>
            <w:r w:rsidRPr="003F5877">
              <w:rPr>
                <w:i/>
              </w:rPr>
              <w:t>C</w:t>
            </w:r>
            <w:r w:rsidRPr="003F5877">
              <w:rPr>
                <w:vertAlign w:val="subscript"/>
              </w:rPr>
              <w:t>s</w:t>
            </w:r>
            <w:r w:rsidRPr="003F5877">
              <w:rPr>
                <w:i/>
              </w:rPr>
              <w:tab/>
            </w:r>
            <w:r w:rsidRPr="003F5877">
              <w:rPr>
                <w:i/>
              </w:rPr>
              <w:tab/>
            </w:r>
            <w:r w:rsidR="00807604" w:rsidRPr="003F5877">
              <w:tab/>
            </w:r>
            <w:r w:rsidRPr="003F5877">
              <w:t>The unit capacity cost of BESS</w:t>
            </w:r>
          </w:p>
          <w:p w14:paraId="060D804C" w14:textId="06CA65BD" w:rsidR="003F5877" w:rsidRPr="003F5877" w:rsidRDefault="003F5877" w:rsidP="00467E3B">
            <w:pPr>
              <w:spacing w:line="432" w:lineRule="auto"/>
            </w:pPr>
            <w:r w:rsidRPr="003F5877">
              <w:rPr>
                <w:i/>
              </w:rPr>
              <w:t>C</w:t>
            </w:r>
            <w:r w:rsidRPr="003F5877">
              <w:rPr>
                <w:vertAlign w:val="subscript"/>
              </w:rPr>
              <w:t>om</w:t>
            </w:r>
            <w:r w:rsidRPr="003F5877">
              <w:tab/>
            </w:r>
            <w:r w:rsidR="00807604" w:rsidRPr="003F5877">
              <w:tab/>
            </w:r>
            <w:r w:rsidRPr="003F5877">
              <w:t xml:space="preserve">The operation and maintenance cost </w:t>
            </w:r>
          </w:p>
          <w:p w14:paraId="4EFFA0D3" w14:textId="1DADC9DF" w:rsidR="003F5877" w:rsidRPr="003F5877" w:rsidRDefault="003F5877" w:rsidP="00467E3B">
            <w:pPr>
              <w:spacing w:line="432" w:lineRule="auto"/>
            </w:pPr>
            <w:proofErr w:type="spellStart"/>
            <w:r w:rsidRPr="003F5877">
              <w:rPr>
                <w:i/>
              </w:rPr>
              <w:t>C</w:t>
            </w:r>
            <w:r w:rsidRPr="003F5877">
              <w:rPr>
                <w:vertAlign w:val="subscript"/>
              </w:rPr>
              <w:t>pom</w:t>
            </w:r>
            <w:proofErr w:type="spellEnd"/>
            <w:r w:rsidRPr="003F5877">
              <w:tab/>
            </w:r>
            <w:r w:rsidR="00807604" w:rsidRPr="003F5877">
              <w:tab/>
            </w:r>
            <w:r w:rsidRPr="003F5877">
              <w:t xml:space="preserve">The operation and maintenance cost of unit </w:t>
            </w:r>
            <w:r>
              <w:t>power</w:t>
            </w:r>
          </w:p>
          <w:p w14:paraId="3FC9A7DA" w14:textId="2F262B0E" w:rsidR="003F5877" w:rsidRPr="003F5877" w:rsidRDefault="003F5877" w:rsidP="00467E3B">
            <w:pPr>
              <w:spacing w:line="432" w:lineRule="auto"/>
            </w:pPr>
            <w:proofErr w:type="spellStart"/>
            <w:r w:rsidRPr="003F5877">
              <w:rPr>
                <w:i/>
              </w:rPr>
              <w:t>C</w:t>
            </w:r>
            <w:r w:rsidRPr="003F5877">
              <w:rPr>
                <w:vertAlign w:val="subscript"/>
              </w:rPr>
              <w:t>som</w:t>
            </w:r>
            <w:proofErr w:type="spellEnd"/>
            <w:r w:rsidRPr="003F5877">
              <w:tab/>
            </w:r>
            <w:r w:rsidR="00807604" w:rsidRPr="003F5877">
              <w:tab/>
            </w:r>
            <w:r w:rsidRPr="003F5877">
              <w:t>The operation and maintenance cost of unit capacity</w:t>
            </w:r>
          </w:p>
          <w:p w14:paraId="363930EF" w14:textId="664E9705" w:rsidR="003F5877" w:rsidRPr="003F5877" w:rsidRDefault="003F5877" w:rsidP="00467E3B">
            <w:pPr>
              <w:spacing w:line="432" w:lineRule="auto"/>
              <w:rPr>
                <w:lang w:val="en"/>
              </w:rPr>
            </w:pPr>
            <w:r w:rsidRPr="003F5877">
              <w:rPr>
                <w:i/>
              </w:rPr>
              <w:t>C</w:t>
            </w:r>
            <w:r w:rsidRPr="003F5877">
              <w:rPr>
                <w:vertAlign w:val="subscript"/>
              </w:rPr>
              <w:t>d</w:t>
            </w:r>
            <w:r w:rsidRPr="003F5877">
              <w:tab/>
            </w:r>
            <w:r w:rsidR="00807604" w:rsidRPr="003F5877">
              <w:tab/>
            </w:r>
            <w:r w:rsidR="00807604" w:rsidRPr="003F5877">
              <w:tab/>
            </w:r>
            <w:r w:rsidRPr="003F5877">
              <w:rPr>
                <w:lang w:val="en"/>
              </w:rPr>
              <w:t>The cost of decommissioning disposal</w:t>
            </w:r>
          </w:p>
          <w:p w14:paraId="4B171964" w14:textId="700479F9" w:rsidR="003F5877" w:rsidRPr="003F5877" w:rsidRDefault="003F5877" w:rsidP="00467E3B">
            <w:pPr>
              <w:spacing w:line="432" w:lineRule="auto"/>
            </w:pPr>
            <w:proofErr w:type="spellStart"/>
            <w:r w:rsidRPr="003F5877">
              <w:rPr>
                <w:i/>
              </w:rPr>
              <w:t>C</w:t>
            </w:r>
            <w:r w:rsidRPr="003F5877">
              <w:rPr>
                <w:vertAlign w:val="subscript"/>
              </w:rPr>
              <w:t>pd</w:t>
            </w:r>
            <w:proofErr w:type="spellEnd"/>
            <w:r w:rsidRPr="003F5877">
              <w:tab/>
            </w:r>
            <w:r w:rsidR="00807604" w:rsidRPr="003F5877">
              <w:tab/>
            </w:r>
            <w:r w:rsidRPr="003F5877">
              <w:t>The decommissioning disposal cost of unit power</w:t>
            </w:r>
          </w:p>
          <w:p w14:paraId="5035DFA1" w14:textId="76C83985" w:rsidR="003F5877" w:rsidRPr="003F5877" w:rsidRDefault="003F5877" w:rsidP="00467E3B">
            <w:pPr>
              <w:spacing w:line="432" w:lineRule="auto"/>
              <w:rPr>
                <w:lang w:val="en"/>
              </w:rPr>
            </w:pPr>
            <w:proofErr w:type="spellStart"/>
            <w:r w:rsidRPr="003F5877">
              <w:rPr>
                <w:i/>
              </w:rPr>
              <w:t>C</w:t>
            </w:r>
            <w:r w:rsidRPr="003F5877">
              <w:rPr>
                <w:vertAlign w:val="subscript"/>
              </w:rPr>
              <w:t>sd</w:t>
            </w:r>
            <w:proofErr w:type="spellEnd"/>
            <w:r w:rsidRPr="003F5877">
              <w:rPr>
                <w:vertAlign w:val="subscript"/>
              </w:rPr>
              <w:tab/>
            </w:r>
            <w:r w:rsidR="00807604" w:rsidRPr="003F5877">
              <w:tab/>
            </w:r>
            <w:r w:rsidRPr="003F5877">
              <w:rPr>
                <w:lang w:val="en"/>
              </w:rPr>
              <w:t>The decommissioning disposal cost of unit capacity</w:t>
            </w:r>
          </w:p>
          <w:p w14:paraId="3DD0F636" w14:textId="7A538B17" w:rsidR="003F5877" w:rsidRPr="003F5877" w:rsidRDefault="003F5877" w:rsidP="00467E3B">
            <w:pPr>
              <w:spacing w:line="432" w:lineRule="auto"/>
            </w:pPr>
            <w:r w:rsidRPr="003F5877">
              <w:rPr>
                <w:i/>
              </w:rPr>
              <w:t>C</w:t>
            </w:r>
            <w:r w:rsidRPr="003F5877">
              <w:rPr>
                <w:vertAlign w:val="subscript"/>
              </w:rPr>
              <w:t>F</w:t>
            </w:r>
            <w:r w:rsidRPr="003F5877">
              <w:tab/>
            </w:r>
            <w:r w:rsidR="00807604" w:rsidRPr="003F5877">
              <w:tab/>
            </w:r>
            <w:r w:rsidRPr="003F5877">
              <w:t>The cost of fault loss</w:t>
            </w:r>
          </w:p>
          <w:p w14:paraId="14823D7A" w14:textId="720BE138" w:rsidR="003F5877" w:rsidRPr="003F5877" w:rsidRDefault="003F5877" w:rsidP="00467E3B">
            <w:pPr>
              <w:spacing w:line="432" w:lineRule="auto"/>
            </w:pPr>
            <w:proofErr w:type="spellStart"/>
            <w:r w:rsidRPr="003F5877">
              <w:rPr>
                <w:i/>
              </w:rPr>
              <w:t>C</w:t>
            </w:r>
            <w:r w:rsidRPr="003F5877">
              <w:rPr>
                <w:vertAlign w:val="subscript"/>
              </w:rPr>
              <w:t>lcc</w:t>
            </w:r>
            <w:proofErr w:type="spellEnd"/>
            <w:r w:rsidRPr="003F5877">
              <w:rPr>
                <w:vertAlign w:val="subscript"/>
              </w:rPr>
              <w:tab/>
            </w:r>
            <w:r w:rsidR="00807604" w:rsidRPr="003F5877">
              <w:tab/>
            </w:r>
            <w:r w:rsidRPr="003F5877">
              <w:t>The whole life cycle cost of energy storage</w:t>
            </w:r>
          </w:p>
          <w:p w14:paraId="637D2C36" w14:textId="4CCC28E3" w:rsidR="003F5877" w:rsidRPr="003F5877" w:rsidRDefault="003F5877" w:rsidP="00467E3B">
            <w:pPr>
              <w:spacing w:line="432" w:lineRule="auto"/>
            </w:pPr>
            <w:proofErr w:type="spellStart"/>
            <w:r w:rsidRPr="003F5877">
              <w:rPr>
                <w:i/>
              </w:rPr>
              <w:t>C</w:t>
            </w:r>
            <w:r w:rsidRPr="003F5877">
              <w:rPr>
                <w:vertAlign w:val="subscript"/>
              </w:rPr>
              <w:t>fuel</w:t>
            </w:r>
            <w:proofErr w:type="spellEnd"/>
            <w:r w:rsidRPr="003F5877">
              <w:rPr>
                <w:vertAlign w:val="subscript"/>
              </w:rPr>
              <w:tab/>
            </w:r>
            <w:r w:rsidR="00807604" w:rsidRPr="003F5877">
              <w:tab/>
            </w:r>
            <w:r w:rsidRPr="003F5877">
              <w:t>The price of unit fuel</w:t>
            </w:r>
          </w:p>
          <w:p w14:paraId="54160AFA" w14:textId="7319082F" w:rsidR="003F5877" w:rsidRPr="003F5877" w:rsidRDefault="003F5877" w:rsidP="00467E3B">
            <w:pPr>
              <w:spacing w:line="432" w:lineRule="auto"/>
            </w:pPr>
            <w:r w:rsidRPr="003F5877">
              <w:rPr>
                <w:i/>
              </w:rPr>
              <w:t>C</w:t>
            </w:r>
            <w:r w:rsidR="00BF462F" w:rsidRPr="003F5877">
              <w:rPr>
                <w:vertAlign w:val="subscript"/>
              </w:rPr>
              <w:t>NO</w:t>
            </w:r>
            <w:r w:rsidR="00BF462F" w:rsidRPr="00BF462F">
              <w:rPr>
                <w:vertAlign w:val="subscript"/>
              </w:rPr>
              <w:t>X</w:t>
            </w:r>
            <w:r w:rsidR="00807604" w:rsidRPr="003F5877">
              <w:rPr>
                <w:vertAlign w:val="subscript"/>
              </w:rPr>
              <w:tab/>
            </w:r>
            <w:r w:rsidRPr="003F5877">
              <w:t>The expense on pollution emission of nitrogen oxides for each unit of power generation</w:t>
            </w:r>
          </w:p>
          <w:p w14:paraId="6CB00038" w14:textId="4F497CEE" w:rsidR="003F5877" w:rsidRPr="003F5877" w:rsidRDefault="003F5877" w:rsidP="00467E3B">
            <w:pPr>
              <w:spacing w:line="432" w:lineRule="auto"/>
            </w:pPr>
            <w:r w:rsidRPr="003F5877">
              <w:rPr>
                <w:i/>
              </w:rPr>
              <w:t>C</w:t>
            </w:r>
            <w:r w:rsidRPr="003F5877">
              <w:rPr>
                <w:vertAlign w:val="subscript"/>
              </w:rPr>
              <w:t>SO2</w:t>
            </w:r>
            <w:r w:rsidRPr="003F5877">
              <w:rPr>
                <w:vertAlign w:val="subscript"/>
              </w:rPr>
              <w:tab/>
            </w:r>
            <w:r w:rsidR="00807604" w:rsidRPr="003F5877">
              <w:tab/>
            </w:r>
            <w:r w:rsidRPr="003F5877">
              <w:t>The expense on pollution emission of sulfur dioxide for each unit of power generation</w:t>
            </w:r>
          </w:p>
          <w:p w14:paraId="370557A9" w14:textId="514AA8F3" w:rsidR="003F5877" w:rsidRPr="003F5877" w:rsidRDefault="003F5877" w:rsidP="00467E3B">
            <w:pPr>
              <w:spacing w:line="432" w:lineRule="auto"/>
            </w:pPr>
            <w:r w:rsidRPr="003F5877">
              <w:rPr>
                <w:i/>
              </w:rPr>
              <w:t>C</w:t>
            </w:r>
            <w:r w:rsidRPr="003F5877">
              <w:rPr>
                <w:vertAlign w:val="subscript"/>
              </w:rPr>
              <w:t>CO2</w:t>
            </w:r>
            <w:r w:rsidRPr="003F5877">
              <w:rPr>
                <w:vertAlign w:val="subscript"/>
              </w:rPr>
              <w:tab/>
            </w:r>
            <w:r w:rsidR="00807604" w:rsidRPr="003F5877">
              <w:tab/>
            </w:r>
            <w:r w:rsidRPr="003F5877">
              <w:t>The expense on pollution emission of carbon dioxide for each unit of power generation</w:t>
            </w:r>
          </w:p>
          <w:p w14:paraId="6300B6D9" w14:textId="75E847D0" w:rsidR="003F5877" w:rsidRPr="003F5877" w:rsidRDefault="003F5877" w:rsidP="00467E3B">
            <w:pPr>
              <w:spacing w:line="432" w:lineRule="auto"/>
            </w:pPr>
            <w:r w:rsidRPr="003F5877">
              <w:rPr>
                <w:i/>
              </w:rPr>
              <w:t>C</w:t>
            </w:r>
            <w:r w:rsidRPr="003F5877">
              <w:rPr>
                <w:vertAlign w:val="subscript"/>
              </w:rPr>
              <w:t>I</w:t>
            </w:r>
            <w:r w:rsidR="00807604" w:rsidRPr="003F5877">
              <w:tab/>
            </w:r>
            <w:r w:rsidR="00807604" w:rsidRPr="003F5877">
              <w:tab/>
            </w:r>
            <w:r w:rsidR="00807604" w:rsidRPr="003F5877">
              <w:tab/>
            </w:r>
            <w:r w:rsidRPr="003F5877">
              <w:rPr>
                <w:lang w:val="en"/>
              </w:rPr>
              <w:t>The cash inflow</w:t>
            </w:r>
          </w:p>
          <w:p w14:paraId="2D739579" w14:textId="77777777" w:rsidR="003F5877" w:rsidRPr="003F5877" w:rsidRDefault="003F5877" w:rsidP="00467E3B">
            <w:pPr>
              <w:spacing w:line="432" w:lineRule="auto"/>
              <w:rPr>
                <w:lang w:val="en"/>
              </w:rPr>
            </w:pPr>
            <w:r w:rsidRPr="003F5877">
              <w:rPr>
                <w:i/>
              </w:rPr>
              <w:t>C</w:t>
            </w:r>
            <w:r w:rsidRPr="003F5877">
              <w:rPr>
                <w:vertAlign w:val="subscript"/>
              </w:rPr>
              <w:t>O</w:t>
            </w:r>
            <w:r w:rsidRPr="003F5877">
              <w:rPr>
                <w:vertAlign w:val="subscript"/>
              </w:rPr>
              <w:tab/>
            </w:r>
            <w:r w:rsidRPr="003F5877">
              <w:rPr>
                <w:vertAlign w:val="subscript"/>
              </w:rPr>
              <w:tab/>
            </w:r>
            <w:r w:rsidRPr="003F5877">
              <w:rPr>
                <w:lang w:val="en"/>
              </w:rPr>
              <w:t>The cash outflow</w:t>
            </w:r>
          </w:p>
          <w:p w14:paraId="463A1959" w14:textId="77777777" w:rsidR="003F5877" w:rsidRPr="003F5877" w:rsidRDefault="003F5877" w:rsidP="00467E3B">
            <w:pPr>
              <w:spacing w:line="432" w:lineRule="auto"/>
            </w:pPr>
            <w:r w:rsidRPr="003F5877">
              <w:rPr>
                <w:i/>
              </w:rPr>
              <w:t>R</w:t>
            </w:r>
            <w:r w:rsidRPr="003F5877">
              <w:rPr>
                <w:vertAlign w:val="subscript"/>
              </w:rPr>
              <w:t>f1</w:t>
            </w:r>
            <w:r w:rsidRPr="003F5877">
              <w:tab/>
            </w:r>
            <w:r w:rsidRPr="003F5877">
              <w:tab/>
              <w:t>The compensation income of FM mileage</w:t>
            </w:r>
          </w:p>
          <w:p w14:paraId="3DEB55BB" w14:textId="77777777" w:rsidR="003F5877" w:rsidRPr="003F5877" w:rsidRDefault="003F5877" w:rsidP="00467E3B">
            <w:pPr>
              <w:spacing w:line="432" w:lineRule="auto"/>
            </w:pPr>
            <w:r w:rsidRPr="003F5877">
              <w:rPr>
                <w:i/>
              </w:rPr>
              <w:lastRenderedPageBreak/>
              <w:t>R</w:t>
            </w:r>
            <w:r w:rsidRPr="003F5877">
              <w:rPr>
                <w:vertAlign w:val="subscript"/>
              </w:rPr>
              <w:t>f2</w:t>
            </w:r>
            <w:r w:rsidRPr="003F5877">
              <w:rPr>
                <w:vertAlign w:val="subscript"/>
              </w:rPr>
              <w:tab/>
            </w:r>
            <w:r w:rsidRPr="003F5877">
              <w:rPr>
                <w:vertAlign w:val="subscript"/>
              </w:rPr>
              <w:tab/>
            </w:r>
            <w:r w:rsidRPr="003F5877">
              <w:rPr>
                <w:lang w:val="en"/>
              </w:rPr>
              <w:t>The indirect benefit of the reduction in unit loss</w:t>
            </w:r>
          </w:p>
          <w:p w14:paraId="0844BE14" w14:textId="6B17E0F5" w:rsidR="003F5877" w:rsidRPr="003F5877" w:rsidRDefault="003F5877" w:rsidP="00467E3B">
            <w:pPr>
              <w:spacing w:line="432" w:lineRule="auto"/>
            </w:pPr>
            <w:proofErr w:type="spellStart"/>
            <w:r w:rsidRPr="003F5877">
              <w:rPr>
                <w:i/>
              </w:rPr>
              <w:t>R</w:t>
            </w:r>
            <w:r w:rsidRPr="003F5877">
              <w:rPr>
                <w:vertAlign w:val="subscript"/>
              </w:rPr>
              <w:t>thermal</w:t>
            </w:r>
            <w:proofErr w:type="spellEnd"/>
            <w:r w:rsidRPr="003F5877">
              <w:rPr>
                <w:lang w:val="en"/>
              </w:rPr>
              <w:tab/>
              <w:t>The annual average operating profits of thermal power units</w:t>
            </w:r>
          </w:p>
          <w:p w14:paraId="503CC242" w14:textId="77777777" w:rsidR="003F5877" w:rsidRPr="003F5877" w:rsidRDefault="003F5877" w:rsidP="00467E3B">
            <w:pPr>
              <w:spacing w:line="432" w:lineRule="auto"/>
            </w:pPr>
            <w:r w:rsidRPr="003F5877">
              <w:rPr>
                <w:i/>
              </w:rPr>
              <w:t>R</w:t>
            </w:r>
            <w:r w:rsidRPr="003F5877">
              <w:rPr>
                <w:vertAlign w:val="subscript"/>
              </w:rPr>
              <w:t>f3</w:t>
            </w:r>
            <w:r w:rsidRPr="003F5877">
              <w:tab/>
            </w:r>
            <w:r w:rsidRPr="003F5877">
              <w:tab/>
              <w:t>The indirect benefit of the reduction in fuel cost for system power generation</w:t>
            </w:r>
          </w:p>
          <w:p w14:paraId="45F53245" w14:textId="77777777" w:rsidR="003F5877" w:rsidRPr="003F5877" w:rsidRDefault="003F5877" w:rsidP="00467E3B">
            <w:pPr>
              <w:spacing w:line="432" w:lineRule="auto"/>
            </w:pPr>
            <w:r w:rsidRPr="003F5877">
              <w:rPr>
                <w:i/>
              </w:rPr>
              <w:t>R</w:t>
            </w:r>
            <w:r w:rsidRPr="003F5877">
              <w:rPr>
                <w:vertAlign w:val="subscript"/>
              </w:rPr>
              <w:t>f4</w:t>
            </w:r>
            <w:r w:rsidRPr="003F5877">
              <w:tab/>
            </w:r>
            <w:r w:rsidRPr="003F5877">
              <w:tab/>
              <w:t>The indirect benefit of the reduction in pollution emission cost from system power generation</w:t>
            </w:r>
          </w:p>
          <w:p w14:paraId="6A96682A" w14:textId="0E1E1483" w:rsidR="003F5877" w:rsidRPr="003F5877" w:rsidRDefault="003F5877" w:rsidP="00467E3B">
            <w:pPr>
              <w:spacing w:line="432" w:lineRule="auto"/>
            </w:pPr>
            <w:r w:rsidRPr="003F5877">
              <w:rPr>
                <w:i/>
              </w:rPr>
              <w:t>R</w:t>
            </w:r>
            <w:r w:rsidRPr="003F5877">
              <w:rPr>
                <w:vertAlign w:val="subscript"/>
              </w:rPr>
              <w:t>f</w:t>
            </w:r>
            <w:r w:rsidRPr="003F5877">
              <w:tab/>
            </w:r>
            <w:r w:rsidRPr="003F5877">
              <w:tab/>
            </w:r>
            <w:r w:rsidR="00807604" w:rsidRPr="003F5877">
              <w:tab/>
            </w:r>
            <w:r w:rsidRPr="003F5877">
              <w:t>The total benefit of BESS participating in auxiliary frequency regulation service of thermal power units</w:t>
            </w:r>
          </w:p>
          <w:p w14:paraId="27271110" w14:textId="77777777" w:rsidR="003F5877" w:rsidRPr="003F5877" w:rsidRDefault="003F5877" w:rsidP="00467E3B">
            <w:pPr>
              <w:spacing w:line="432" w:lineRule="auto"/>
            </w:pPr>
            <w:r w:rsidRPr="003F5877">
              <w:rPr>
                <w:i/>
              </w:rPr>
              <w:t>R</w:t>
            </w:r>
            <w:r w:rsidRPr="003F5877">
              <w:rPr>
                <w:vertAlign w:val="subscript"/>
              </w:rPr>
              <w:t>p1</w:t>
            </w:r>
            <w:r w:rsidRPr="003F5877">
              <w:rPr>
                <w:lang w:val="en"/>
              </w:rPr>
              <w:tab/>
            </w:r>
            <w:r w:rsidRPr="003F5877">
              <w:rPr>
                <w:lang w:val="en"/>
              </w:rPr>
              <w:tab/>
              <w:t>The benefits of the price compensation of BESS for peak regulation in the whole year</w:t>
            </w:r>
          </w:p>
          <w:p w14:paraId="20C66BAE" w14:textId="77777777" w:rsidR="003F5877" w:rsidRPr="003F5877" w:rsidRDefault="003F5877" w:rsidP="00467E3B">
            <w:pPr>
              <w:spacing w:line="432" w:lineRule="auto"/>
            </w:pPr>
            <w:r w:rsidRPr="003F5877">
              <w:rPr>
                <w:i/>
              </w:rPr>
              <w:t>R</w:t>
            </w:r>
            <w:r w:rsidRPr="003F5877">
              <w:rPr>
                <w:vertAlign w:val="subscript"/>
              </w:rPr>
              <w:t>p2</w:t>
            </w:r>
            <w:r w:rsidRPr="003F5877">
              <w:tab/>
            </w:r>
            <w:r w:rsidRPr="003F5877">
              <w:tab/>
              <w:t>The indirect benefits of the delay in the installation cost of thermal power units</w:t>
            </w:r>
          </w:p>
          <w:p w14:paraId="771DB605" w14:textId="77777777" w:rsidR="003F5877" w:rsidRPr="003F5877" w:rsidRDefault="003F5877" w:rsidP="00467E3B">
            <w:pPr>
              <w:spacing w:line="432" w:lineRule="auto"/>
              <w:rPr>
                <w:i/>
              </w:rPr>
            </w:pPr>
            <w:r w:rsidRPr="003F5877">
              <w:rPr>
                <w:i/>
              </w:rPr>
              <w:t>R</w:t>
            </w:r>
            <w:r w:rsidRPr="003F5877">
              <w:rPr>
                <w:vertAlign w:val="subscript"/>
              </w:rPr>
              <w:t>p3</w:t>
            </w:r>
            <w:r w:rsidRPr="003F5877">
              <w:tab/>
            </w:r>
            <w:r w:rsidRPr="003F5877">
              <w:tab/>
              <w:t>The indirect benefit of the reduction in maintenance cost of thermal power units</w:t>
            </w:r>
          </w:p>
          <w:p w14:paraId="49DCC66B" w14:textId="77777777" w:rsidR="003F5877" w:rsidRPr="003F5877" w:rsidRDefault="003F5877" w:rsidP="00467E3B">
            <w:pPr>
              <w:spacing w:line="432" w:lineRule="auto"/>
              <w:rPr>
                <w:i/>
              </w:rPr>
            </w:pPr>
            <w:r w:rsidRPr="003F5877">
              <w:rPr>
                <w:i/>
              </w:rPr>
              <w:t>R</w:t>
            </w:r>
            <w:r w:rsidRPr="003F5877">
              <w:rPr>
                <w:vertAlign w:val="subscript"/>
              </w:rPr>
              <w:t>p4</w:t>
            </w:r>
            <w:r w:rsidRPr="003F5877">
              <w:tab/>
            </w:r>
            <w:r w:rsidRPr="003F5877">
              <w:tab/>
              <w:t>The indirect benefits of the reduction in the fuel cost of system power generation</w:t>
            </w:r>
          </w:p>
          <w:p w14:paraId="35B4C03A" w14:textId="77777777" w:rsidR="003F5877" w:rsidRPr="003F5877" w:rsidRDefault="003F5877" w:rsidP="00467E3B">
            <w:pPr>
              <w:spacing w:line="432" w:lineRule="auto"/>
              <w:rPr>
                <w:i/>
              </w:rPr>
            </w:pPr>
            <w:r w:rsidRPr="003F5877">
              <w:rPr>
                <w:i/>
              </w:rPr>
              <w:t>R</w:t>
            </w:r>
            <w:r w:rsidRPr="003F5877">
              <w:rPr>
                <w:vertAlign w:val="subscript"/>
              </w:rPr>
              <w:t>p5</w:t>
            </w:r>
            <w:r w:rsidRPr="003F5877">
              <w:tab/>
            </w:r>
            <w:r w:rsidRPr="003F5877">
              <w:tab/>
              <w:t>The indirect benefits of the reduction in the cost of pollution emissions from system power generation</w:t>
            </w:r>
          </w:p>
          <w:p w14:paraId="723F443D" w14:textId="3305A2A8" w:rsidR="003F5877" w:rsidRPr="003F5877" w:rsidRDefault="003F5877" w:rsidP="00467E3B">
            <w:pPr>
              <w:spacing w:line="432" w:lineRule="auto"/>
              <w:rPr>
                <w:i/>
              </w:rPr>
            </w:pPr>
            <w:r w:rsidRPr="003F5877">
              <w:rPr>
                <w:i/>
              </w:rPr>
              <w:t>R</w:t>
            </w:r>
            <w:r w:rsidRPr="003F5877">
              <w:rPr>
                <w:vertAlign w:val="subscript"/>
              </w:rPr>
              <w:t>p</w:t>
            </w:r>
            <w:r w:rsidRPr="003F5877">
              <w:tab/>
            </w:r>
            <w:r w:rsidRPr="003F5877">
              <w:tab/>
            </w:r>
            <w:r w:rsidR="00807604" w:rsidRPr="003F5877">
              <w:tab/>
            </w:r>
            <w:r w:rsidRPr="003F5877">
              <w:t>The total benefit of BESS participating in auxiliary peaking regulation of thermal power units</w:t>
            </w:r>
          </w:p>
          <w:p w14:paraId="0029C9D5" w14:textId="7A3DE24A" w:rsidR="003F5877" w:rsidRPr="003F5877" w:rsidRDefault="003F5877" w:rsidP="00467E3B">
            <w:pPr>
              <w:spacing w:line="432" w:lineRule="auto"/>
              <w:rPr>
                <w:i/>
              </w:rPr>
            </w:pPr>
            <w:proofErr w:type="spellStart"/>
            <w:r w:rsidRPr="003F5877">
              <w:rPr>
                <w:i/>
              </w:rPr>
              <w:t>R</w:t>
            </w:r>
            <w:r w:rsidRPr="003F5877">
              <w:rPr>
                <w:vertAlign w:val="subscript"/>
              </w:rPr>
              <w:t>recyle</w:t>
            </w:r>
            <w:proofErr w:type="spellEnd"/>
            <w:r w:rsidRPr="003F5877">
              <w:tab/>
              <w:t>The recycling benefit of BESS</w:t>
            </w:r>
          </w:p>
          <w:p w14:paraId="5E30929F" w14:textId="331F3A3A" w:rsidR="003F5877" w:rsidRPr="003F5877" w:rsidRDefault="003F5877" w:rsidP="00467E3B">
            <w:pPr>
              <w:spacing w:line="432" w:lineRule="auto"/>
            </w:pPr>
            <w:proofErr w:type="spellStart"/>
            <w:r w:rsidRPr="003F5877">
              <w:rPr>
                <w:i/>
              </w:rPr>
              <w:t>R</w:t>
            </w:r>
            <w:r w:rsidRPr="003F5877">
              <w:rPr>
                <w:vertAlign w:val="subscript"/>
              </w:rPr>
              <w:t>metali</w:t>
            </w:r>
            <w:proofErr w:type="spellEnd"/>
            <w:r w:rsidRPr="003F5877">
              <w:tab/>
              <w:t xml:space="preserve">The price of metal </w:t>
            </w:r>
            <w:proofErr w:type="spellStart"/>
            <w:r w:rsidRPr="003F5877">
              <w:rPr>
                <w:i/>
                <w:iCs/>
              </w:rPr>
              <w:t>i</w:t>
            </w:r>
            <w:proofErr w:type="spellEnd"/>
          </w:p>
          <w:p w14:paraId="0875B7FB" w14:textId="77777777" w:rsidR="003F5877" w:rsidRPr="003F5877" w:rsidRDefault="003F5877" w:rsidP="00467E3B">
            <w:pPr>
              <w:spacing w:line="432" w:lineRule="auto"/>
            </w:pPr>
            <w:proofErr w:type="spellStart"/>
            <w:r w:rsidRPr="003F5877">
              <w:rPr>
                <w:i/>
              </w:rPr>
              <w:t>R</w:t>
            </w:r>
            <w:r w:rsidRPr="003F5877">
              <w:rPr>
                <w:vertAlign w:val="subscript"/>
              </w:rPr>
              <w:t>inv</w:t>
            </w:r>
            <w:proofErr w:type="spellEnd"/>
            <w:r w:rsidRPr="003F5877">
              <w:tab/>
            </w:r>
            <w:r w:rsidRPr="003F5877">
              <w:tab/>
              <w:t>The rate of return on investment</w:t>
            </w:r>
          </w:p>
          <w:p w14:paraId="271FCE5C" w14:textId="50099AF6" w:rsidR="003F5877" w:rsidRPr="003F5877" w:rsidRDefault="003F5877" w:rsidP="00467E3B">
            <w:pPr>
              <w:spacing w:line="432" w:lineRule="auto"/>
              <w:rPr>
                <w:i/>
              </w:rPr>
            </w:pPr>
            <w:r w:rsidRPr="003F5877">
              <w:rPr>
                <w:i/>
              </w:rPr>
              <w:t>R</w:t>
            </w:r>
            <w:r w:rsidRPr="003F5877">
              <w:rPr>
                <w:i/>
                <w:vertAlign w:val="subscript"/>
              </w:rPr>
              <w:t>i</w:t>
            </w:r>
            <w:r w:rsidRPr="003F5877">
              <w:tab/>
            </w:r>
            <w:r w:rsidRPr="003F5877">
              <w:tab/>
            </w:r>
            <w:r w:rsidR="00807604" w:rsidRPr="003F5877">
              <w:tab/>
            </w:r>
            <w:r w:rsidRPr="003F5877">
              <w:t xml:space="preserve">The total income of BESS in thermal power plants at </w:t>
            </w:r>
            <w:proofErr w:type="spellStart"/>
            <w:r w:rsidRPr="003F5877">
              <w:rPr>
                <w:i/>
                <w:iCs/>
              </w:rPr>
              <w:t>ith</w:t>
            </w:r>
            <w:proofErr w:type="spellEnd"/>
            <w:r w:rsidRPr="003F5877">
              <w:t xml:space="preserve"> year</w:t>
            </w:r>
          </w:p>
          <w:p w14:paraId="0A3C5F6A" w14:textId="1B8AABAE" w:rsidR="003F5877" w:rsidRPr="003F5877" w:rsidRDefault="003F5877" w:rsidP="00467E3B">
            <w:pPr>
              <w:spacing w:line="432" w:lineRule="auto"/>
              <w:rPr>
                <w:i/>
              </w:rPr>
            </w:pPr>
            <w:r w:rsidRPr="003F5877">
              <w:rPr>
                <w:i/>
              </w:rPr>
              <w:t>R</w:t>
            </w:r>
            <w:r w:rsidRPr="003F5877">
              <w:tab/>
            </w:r>
            <w:r w:rsidRPr="003F5877">
              <w:tab/>
            </w:r>
            <w:r w:rsidR="00807604" w:rsidRPr="003F5877">
              <w:tab/>
            </w:r>
            <w:r w:rsidRPr="003F5877">
              <w:t>The total benefits of BESS deployed in thermal power plants for frequency and peak regulation</w:t>
            </w:r>
          </w:p>
          <w:p w14:paraId="49251DA1" w14:textId="31E903A9" w:rsidR="003F5877" w:rsidRPr="003F5877" w:rsidRDefault="003F5877" w:rsidP="00467E3B">
            <w:pPr>
              <w:spacing w:line="432" w:lineRule="auto"/>
              <w:rPr>
                <w:i/>
              </w:rPr>
            </w:pPr>
            <w:r w:rsidRPr="003F5877">
              <w:rPr>
                <w:i/>
              </w:rPr>
              <w:t>N</w:t>
            </w:r>
            <w:r w:rsidRPr="003F5877">
              <w:rPr>
                <w:vertAlign w:val="subscript"/>
              </w:rPr>
              <w:t>y</w:t>
            </w:r>
            <w:r w:rsidRPr="003F5877">
              <w:rPr>
                <w:vertAlign w:val="subscript"/>
              </w:rPr>
              <w:tab/>
            </w:r>
            <w:r w:rsidRPr="003F5877">
              <w:rPr>
                <w:vertAlign w:val="subscript"/>
              </w:rPr>
              <w:tab/>
            </w:r>
            <w:r w:rsidR="00807604" w:rsidRPr="003F5877">
              <w:tab/>
            </w:r>
            <w:r w:rsidRPr="003F5877">
              <w:t>The whole life cycle</w:t>
            </w:r>
          </w:p>
          <w:p w14:paraId="2FEE8534" w14:textId="77777777" w:rsidR="003F5877" w:rsidRPr="003F5877" w:rsidRDefault="003F5877" w:rsidP="00467E3B">
            <w:pPr>
              <w:spacing w:line="432" w:lineRule="auto"/>
              <w:rPr>
                <w:i/>
              </w:rPr>
            </w:pPr>
            <w:proofErr w:type="spellStart"/>
            <w:r w:rsidRPr="003F5877">
              <w:rPr>
                <w:i/>
              </w:rPr>
              <w:t>N</w:t>
            </w:r>
            <w:r w:rsidRPr="003F5877">
              <w:rPr>
                <w:vertAlign w:val="subscript"/>
              </w:rPr>
              <w:t>life</w:t>
            </w:r>
            <w:proofErr w:type="spellEnd"/>
            <w:r w:rsidRPr="003F5877">
              <w:tab/>
            </w:r>
            <w:r w:rsidRPr="003F5877">
              <w:tab/>
              <w:t>The equivalent cycle life of energy storage</w:t>
            </w:r>
          </w:p>
          <w:p w14:paraId="6C78DBF4" w14:textId="533E2EE1" w:rsidR="003F5877" w:rsidRPr="003F5877" w:rsidRDefault="003F5877" w:rsidP="00467E3B">
            <w:pPr>
              <w:spacing w:line="432" w:lineRule="auto"/>
              <w:rPr>
                <w:i/>
              </w:rPr>
            </w:pPr>
            <w:r w:rsidRPr="003F5877">
              <w:t>N</w:t>
            </w:r>
            <w:r w:rsidRPr="003F5877">
              <w:tab/>
            </w:r>
            <w:r w:rsidRPr="003F5877">
              <w:tab/>
            </w:r>
            <w:r w:rsidR="00807604" w:rsidRPr="003F5877">
              <w:tab/>
            </w:r>
            <w:r w:rsidRPr="003F5877">
              <w:t>The annual average number of failures of energy storage equipment</w:t>
            </w:r>
          </w:p>
          <w:p w14:paraId="739B0517" w14:textId="13994854" w:rsidR="003F5877" w:rsidRPr="003F5877" w:rsidRDefault="003F5877" w:rsidP="00467E3B">
            <w:pPr>
              <w:spacing w:line="432" w:lineRule="auto"/>
              <w:rPr>
                <w:i/>
              </w:rPr>
            </w:pPr>
            <w:proofErr w:type="spellStart"/>
            <w:r w:rsidRPr="003F5877">
              <w:rPr>
                <w:i/>
              </w:rPr>
              <w:t>N</w:t>
            </w:r>
            <w:r w:rsidRPr="003F5877">
              <w:rPr>
                <w:vertAlign w:val="subscript"/>
              </w:rPr>
              <w:t>f</w:t>
            </w:r>
            <w:proofErr w:type="spellEnd"/>
            <w:r w:rsidRPr="003F5877">
              <w:tab/>
            </w:r>
            <w:r w:rsidRPr="003F5877">
              <w:tab/>
            </w:r>
            <w:r w:rsidR="00807604" w:rsidRPr="003F5877">
              <w:tab/>
            </w:r>
            <w:r w:rsidRPr="003F5877">
              <w:t>The number of operation days of energy storage for FM in one year</w:t>
            </w:r>
          </w:p>
          <w:p w14:paraId="1D1F4176" w14:textId="7A788924" w:rsidR="003F5877" w:rsidRPr="003F5877" w:rsidRDefault="003F5877" w:rsidP="00467E3B">
            <w:pPr>
              <w:spacing w:line="432" w:lineRule="auto"/>
              <w:rPr>
                <w:lang w:val="en"/>
              </w:rPr>
            </w:pPr>
            <w:r w:rsidRPr="003F5877">
              <w:rPr>
                <w:i/>
              </w:rPr>
              <w:t>N</w:t>
            </w:r>
            <w:r w:rsidRPr="003F5877">
              <w:rPr>
                <w:vertAlign w:val="subscript"/>
              </w:rPr>
              <w:t>p</w:t>
            </w:r>
            <w:r w:rsidRPr="003F5877">
              <w:rPr>
                <w:vertAlign w:val="subscript"/>
              </w:rPr>
              <w:tab/>
            </w:r>
            <w:r w:rsidRPr="003F5877">
              <w:rPr>
                <w:vertAlign w:val="subscript"/>
              </w:rPr>
              <w:tab/>
            </w:r>
            <w:r w:rsidR="00807604" w:rsidRPr="003F5877">
              <w:tab/>
            </w:r>
            <w:r w:rsidRPr="003F5877">
              <w:rPr>
                <w:lang w:val="en"/>
              </w:rPr>
              <w:t>The operation days of BESS for peak regulation in one year</w:t>
            </w:r>
          </w:p>
          <w:p w14:paraId="531F1A51" w14:textId="77777777" w:rsidR="003F5877" w:rsidRPr="003F5877" w:rsidRDefault="003F5877" w:rsidP="00467E3B">
            <w:pPr>
              <w:spacing w:line="432" w:lineRule="auto"/>
              <w:rPr>
                <w:lang w:val="en"/>
              </w:rPr>
            </w:pPr>
            <w:r w:rsidRPr="003F5877">
              <w:rPr>
                <w:i/>
              </w:rPr>
              <w:t>N</w:t>
            </w:r>
            <w:r w:rsidRPr="003F5877">
              <w:rPr>
                <w:vertAlign w:val="subscript"/>
              </w:rPr>
              <w:t>B</w:t>
            </w:r>
            <w:r w:rsidRPr="003F5877">
              <w:tab/>
            </w:r>
            <w:r w:rsidRPr="003F5877">
              <w:tab/>
              <w:t>The annual average net income during the whole life cycle of system</w:t>
            </w:r>
          </w:p>
          <w:p w14:paraId="6B417615" w14:textId="7D3226FB" w:rsidR="003F5877" w:rsidRPr="003F5877" w:rsidRDefault="003F5877" w:rsidP="00467E3B">
            <w:pPr>
              <w:spacing w:line="432" w:lineRule="auto"/>
              <w:rPr>
                <w:lang w:val="en"/>
              </w:rPr>
            </w:pPr>
            <w:proofErr w:type="spellStart"/>
            <w:r w:rsidRPr="003F5877">
              <w:rPr>
                <w:i/>
              </w:rPr>
              <w:t>N</w:t>
            </w:r>
            <w:r w:rsidRPr="003F5877">
              <w:rPr>
                <w:vertAlign w:val="subscript"/>
              </w:rPr>
              <w:t>t</w:t>
            </w:r>
            <w:proofErr w:type="spellEnd"/>
            <w:r w:rsidRPr="003F5877">
              <w:rPr>
                <w:lang w:val="en"/>
              </w:rPr>
              <w:tab/>
            </w:r>
            <w:r w:rsidRPr="003F5877">
              <w:rPr>
                <w:lang w:val="en"/>
              </w:rPr>
              <w:tab/>
            </w:r>
            <w:r w:rsidR="00807604" w:rsidRPr="003F5877">
              <w:tab/>
            </w:r>
            <w:r w:rsidRPr="003F5877">
              <w:rPr>
                <w:lang w:val="en"/>
              </w:rPr>
              <w:t>The fracturing cycles</w:t>
            </w:r>
          </w:p>
          <w:p w14:paraId="495BE99B" w14:textId="080E6399" w:rsidR="003F5877" w:rsidRPr="003F5877" w:rsidRDefault="003F5877" w:rsidP="00467E3B">
            <w:pPr>
              <w:spacing w:line="432" w:lineRule="auto"/>
              <w:rPr>
                <w:lang w:val="en"/>
              </w:rPr>
            </w:pPr>
            <w:r w:rsidRPr="003F5877">
              <w:rPr>
                <w:i/>
              </w:rPr>
              <w:t>A</w:t>
            </w:r>
            <w:r w:rsidRPr="003F5877">
              <w:rPr>
                <w:vertAlign w:val="subscript"/>
              </w:rPr>
              <w:t>1</w:t>
            </w:r>
            <w:r w:rsidRPr="003F5877">
              <w:tab/>
            </w:r>
            <w:r w:rsidRPr="003F5877">
              <w:tab/>
            </w:r>
            <w:r w:rsidR="00807604" w:rsidRPr="003F5877">
              <w:tab/>
            </w:r>
            <w:r w:rsidRPr="003F5877">
              <w:t>The year that the unit has been in operation</w:t>
            </w:r>
          </w:p>
          <w:p w14:paraId="661DC163" w14:textId="77777777" w:rsidR="003F5877" w:rsidRPr="003F5877" w:rsidRDefault="003F5877" w:rsidP="00467E3B">
            <w:pPr>
              <w:spacing w:line="432" w:lineRule="auto"/>
              <w:rPr>
                <w:lang w:val="en"/>
              </w:rPr>
            </w:pPr>
            <w:r w:rsidRPr="003F5877">
              <w:rPr>
                <w:i/>
              </w:rPr>
              <w:t>ΔA</w:t>
            </w:r>
            <w:r w:rsidRPr="003F5877">
              <w:rPr>
                <w:lang w:val="en"/>
              </w:rPr>
              <w:tab/>
            </w:r>
            <w:r w:rsidRPr="003F5877">
              <w:rPr>
                <w:lang w:val="en"/>
              </w:rPr>
              <w:tab/>
            </w:r>
            <w:proofErr w:type="gramStart"/>
            <w:r w:rsidRPr="003F5877">
              <w:rPr>
                <w:lang w:val="en"/>
              </w:rPr>
              <w:t>The</w:t>
            </w:r>
            <w:proofErr w:type="gramEnd"/>
            <w:r w:rsidRPr="003F5877">
              <w:rPr>
                <w:lang w:val="en"/>
              </w:rPr>
              <w:t xml:space="preserve"> operating life of the units extended by the deployment of energy storage</w:t>
            </w:r>
          </w:p>
          <w:p w14:paraId="1E90EA41" w14:textId="2B0F942A" w:rsidR="003F5877" w:rsidRPr="003F5877" w:rsidRDefault="003F5877" w:rsidP="00467E3B">
            <w:pPr>
              <w:spacing w:line="432" w:lineRule="auto"/>
              <w:rPr>
                <w:lang w:val="en"/>
              </w:rPr>
            </w:pPr>
            <w:r w:rsidRPr="003F5877">
              <w:rPr>
                <w:i/>
              </w:rPr>
              <w:t>A</w:t>
            </w:r>
            <w:r w:rsidRPr="003F5877">
              <w:rPr>
                <w:lang w:val="en"/>
              </w:rPr>
              <w:tab/>
            </w:r>
            <w:r w:rsidRPr="003F5877">
              <w:rPr>
                <w:lang w:val="en"/>
              </w:rPr>
              <w:tab/>
            </w:r>
            <w:r w:rsidR="00807604" w:rsidRPr="003F5877">
              <w:tab/>
            </w:r>
            <w:r w:rsidRPr="003F5877">
              <w:rPr>
                <w:lang w:val="en"/>
              </w:rPr>
              <w:t>The remaining operational life of the thermal power unit</w:t>
            </w:r>
          </w:p>
          <w:p w14:paraId="387779AF" w14:textId="0FB3CFD9" w:rsidR="003F5877" w:rsidRPr="003F5877" w:rsidRDefault="003F5877" w:rsidP="00467E3B">
            <w:pPr>
              <w:spacing w:line="432" w:lineRule="auto"/>
              <w:rPr>
                <w:lang w:val="en"/>
              </w:rPr>
            </w:pPr>
            <w:r w:rsidRPr="003F5877">
              <w:rPr>
                <w:i/>
              </w:rPr>
              <w:t>D</w:t>
            </w:r>
            <w:r w:rsidRPr="003F5877">
              <w:rPr>
                <w:i/>
                <w:vertAlign w:val="subscript"/>
              </w:rPr>
              <w:t>t</w:t>
            </w:r>
            <w:r w:rsidRPr="003F5877">
              <w:tab/>
            </w:r>
            <w:r w:rsidRPr="003F5877">
              <w:tab/>
            </w:r>
            <w:r w:rsidR="00807604" w:rsidRPr="003F5877">
              <w:tab/>
            </w:r>
            <w:r w:rsidRPr="003F5877">
              <w:t xml:space="preserve">The actual regulation depth of FM unit on the execution day </w:t>
            </w:r>
          </w:p>
          <w:p w14:paraId="5A83FFA5" w14:textId="77777777" w:rsidR="003F5877" w:rsidRPr="003F5877" w:rsidRDefault="003F5877" w:rsidP="00467E3B">
            <w:pPr>
              <w:spacing w:line="432" w:lineRule="auto"/>
              <w:rPr>
                <w:lang w:val="en"/>
              </w:rPr>
            </w:pPr>
            <w:proofErr w:type="spellStart"/>
            <w:r w:rsidRPr="003F5877">
              <w:rPr>
                <w:i/>
              </w:rPr>
              <w:t>D</w:t>
            </w:r>
            <w:r w:rsidRPr="003F5877">
              <w:rPr>
                <w:vertAlign w:val="subscript"/>
              </w:rPr>
              <w:t>f</w:t>
            </w:r>
            <w:proofErr w:type="spellEnd"/>
            <w:r w:rsidRPr="003F5877">
              <w:t xml:space="preserve"> </w:t>
            </w:r>
            <w:r w:rsidRPr="003F5877">
              <w:tab/>
            </w:r>
            <w:r w:rsidRPr="003F5877">
              <w:tab/>
              <w:t xml:space="preserve">The </w:t>
            </w:r>
            <w:r w:rsidRPr="003F5877">
              <w:rPr>
                <w:lang w:val="en"/>
              </w:rPr>
              <w:t>low cycle fatigue loss</w:t>
            </w:r>
          </w:p>
          <w:p w14:paraId="14F34B50" w14:textId="77777777" w:rsidR="003F5877" w:rsidRPr="003F5877" w:rsidRDefault="003F5877" w:rsidP="00467E3B">
            <w:pPr>
              <w:spacing w:line="432" w:lineRule="auto"/>
            </w:pPr>
            <w:r w:rsidRPr="003F5877">
              <w:rPr>
                <w:i/>
              </w:rPr>
              <w:t>T</w:t>
            </w:r>
            <w:r w:rsidRPr="003F5877">
              <w:rPr>
                <w:vertAlign w:val="subscript"/>
              </w:rPr>
              <w:t>off</w:t>
            </w:r>
            <w:r w:rsidRPr="003F5877">
              <w:tab/>
            </w:r>
            <w:r w:rsidRPr="003F5877">
              <w:tab/>
              <w:t xml:space="preserve">The annual average outage time of the energy storage equipment </w:t>
            </w:r>
          </w:p>
          <w:p w14:paraId="549D04E4" w14:textId="00398157" w:rsidR="003F5877" w:rsidRPr="003F5877" w:rsidRDefault="003F5877" w:rsidP="00467E3B">
            <w:pPr>
              <w:spacing w:line="432" w:lineRule="auto"/>
              <w:rPr>
                <w:lang w:val="en"/>
              </w:rPr>
            </w:pPr>
            <w:r w:rsidRPr="003F5877">
              <w:rPr>
                <w:i/>
              </w:rPr>
              <w:t>T</w:t>
            </w:r>
            <w:r w:rsidRPr="003F5877">
              <w:rPr>
                <w:vertAlign w:val="subscript"/>
              </w:rPr>
              <w:t>P</w:t>
            </w:r>
            <w:r w:rsidRPr="003F5877">
              <w:rPr>
                <w:lang w:val="en"/>
              </w:rPr>
              <w:tab/>
            </w:r>
            <w:r w:rsidRPr="003F5877">
              <w:rPr>
                <w:lang w:val="en"/>
              </w:rPr>
              <w:tab/>
            </w:r>
            <w:r w:rsidR="00807604" w:rsidRPr="003F5877">
              <w:tab/>
            </w:r>
            <w:r w:rsidRPr="003F5877">
              <w:rPr>
                <w:lang w:val="en"/>
              </w:rPr>
              <w:t>The dynamic investment payback period</w:t>
            </w:r>
          </w:p>
          <w:p w14:paraId="26D18DF3" w14:textId="3923A15A" w:rsidR="003F5877" w:rsidRPr="003F5877" w:rsidRDefault="003F5877" w:rsidP="00467E3B">
            <w:pPr>
              <w:spacing w:line="432" w:lineRule="auto"/>
            </w:pPr>
            <w:proofErr w:type="spellStart"/>
            <w:r w:rsidRPr="003F5877">
              <w:rPr>
                <w:i/>
              </w:rPr>
              <w:t>T</w:t>
            </w:r>
            <w:proofErr w:type="spellEnd"/>
            <w:r w:rsidRPr="003F5877">
              <w:tab/>
            </w:r>
            <w:r w:rsidRPr="003F5877">
              <w:tab/>
            </w:r>
            <w:r w:rsidR="00807604" w:rsidRPr="003F5877">
              <w:tab/>
            </w:r>
            <w:r w:rsidRPr="003F5877">
              <w:t>The annual operation time of thermal power plants</w:t>
            </w:r>
          </w:p>
          <w:p w14:paraId="503F6510" w14:textId="77777777" w:rsidR="003F5877" w:rsidRPr="003F5877" w:rsidRDefault="003F5877" w:rsidP="00467E3B">
            <w:pPr>
              <w:spacing w:line="432" w:lineRule="auto"/>
            </w:pPr>
            <w:proofErr w:type="spellStart"/>
            <w:r w:rsidRPr="003F5877">
              <w:rPr>
                <w:i/>
              </w:rPr>
              <w:t>W</w:t>
            </w:r>
            <w:r w:rsidRPr="003F5877">
              <w:rPr>
                <w:i/>
                <w:vertAlign w:val="subscript"/>
              </w:rPr>
              <w:t>t</w:t>
            </w:r>
            <w:proofErr w:type="spellEnd"/>
            <w:r w:rsidRPr="003F5877">
              <w:tab/>
            </w:r>
            <w:r w:rsidRPr="003F5877">
              <w:tab/>
              <w:t xml:space="preserve">The annual charge and discharge capacity of energy storage at year </w:t>
            </w:r>
            <w:r w:rsidRPr="003F5877">
              <w:rPr>
                <w:i/>
                <w:iCs/>
              </w:rPr>
              <w:t>t</w:t>
            </w:r>
          </w:p>
          <w:p w14:paraId="2B150316" w14:textId="77777777" w:rsidR="003F5877" w:rsidRPr="003F5877" w:rsidRDefault="003F5877" w:rsidP="00467E3B">
            <w:pPr>
              <w:spacing w:line="432" w:lineRule="auto"/>
              <w:rPr>
                <w:iCs/>
              </w:rPr>
            </w:pPr>
            <w:proofErr w:type="spellStart"/>
            <w:r w:rsidRPr="003F5877">
              <w:rPr>
                <w:i/>
              </w:rPr>
              <w:t>W</w:t>
            </w:r>
            <w:r w:rsidRPr="003F5877">
              <w:rPr>
                <w:vertAlign w:val="subscript"/>
              </w:rPr>
              <w:t>fuel</w:t>
            </w:r>
            <w:proofErr w:type="spellEnd"/>
            <w:r w:rsidRPr="003F5877">
              <w:rPr>
                <w:vertAlign w:val="subscript"/>
              </w:rPr>
              <w:tab/>
            </w:r>
            <w:r w:rsidRPr="003F5877">
              <w:rPr>
                <w:vertAlign w:val="subscript"/>
              </w:rPr>
              <w:tab/>
            </w:r>
            <w:r w:rsidRPr="003F5877">
              <w:t>The fuel quantity required for the unit power generation</w:t>
            </w:r>
          </w:p>
          <w:p w14:paraId="60242886" w14:textId="26F1BCC2" w:rsidR="003F5877" w:rsidRPr="003F5877" w:rsidRDefault="003F5877" w:rsidP="00467E3B">
            <w:pPr>
              <w:spacing w:line="432" w:lineRule="auto"/>
              <w:rPr>
                <w:iCs/>
              </w:rPr>
            </w:pPr>
            <w:r w:rsidRPr="003F5877">
              <w:rPr>
                <w:i/>
              </w:rPr>
              <w:t>E</w:t>
            </w:r>
            <w:r w:rsidRPr="003F5877">
              <w:rPr>
                <w:lang w:val="en"/>
              </w:rPr>
              <w:tab/>
            </w:r>
            <w:r w:rsidRPr="003F5877">
              <w:rPr>
                <w:lang w:val="en"/>
              </w:rPr>
              <w:tab/>
            </w:r>
            <w:r w:rsidR="00807604" w:rsidRPr="003F5877">
              <w:tab/>
            </w:r>
            <w:r w:rsidRPr="003F5877">
              <w:rPr>
                <w:lang w:val="en"/>
              </w:rPr>
              <w:t>The elastic modulus</w:t>
            </w:r>
          </w:p>
          <w:p w14:paraId="66338C19" w14:textId="22E33625" w:rsidR="003F5877" w:rsidRPr="003F5877" w:rsidRDefault="003F5877" w:rsidP="00467E3B">
            <w:pPr>
              <w:spacing w:line="432" w:lineRule="auto"/>
              <w:rPr>
                <w:i/>
              </w:rPr>
            </w:pPr>
            <w:r w:rsidRPr="003F5877">
              <w:rPr>
                <w:i/>
              </w:rPr>
              <w:t>E</w:t>
            </w:r>
            <w:r w:rsidRPr="003F5877">
              <w:rPr>
                <w:i/>
                <w:vertAlign w:val="subscript"/>
              </w:rPr>
              <w:t>t</w:t>
            </w:r>
            <w:r w:rsidRPr="003F5877">
              <w:rPr>
                <w:i/>
                <w:vertAlign w:val="subscript"/>
              </w:rPr>
              <w:tab/>
            </w:r>
            <w:r w:rsidRPr="003F5877">
              <w:rPr>
                <w:i/>
                <w:vertAlign w:val="subscript"/>
              </w:rPr>
              <w:tab/>
            </w:r>
            <w:r w:rsidR="00807604" w:rsidRPr="003F5877">
              <w:tab/>
            </w:r>
            <w:r w:rsidRPr="003F5877">
              <w:t xml:space="preserve">The discharge capacity of energy storage for frequency </w:t>
            </w:r>
            <w:r w:rsidRPr="003F5877">
              <w:rPr>
                <w:lang w:val="en"/>
              </w:rPr>
              <w:t>regulation</w:t>
            </w:r>
            <w:r w:rsidRPr="003F5877">
              <w:t xml:space="preserve"> at day</w:t>
            </w:r>
            <w:r w:rsidRPr="003F5877">
              <w:rPr>
                <w:i/>
              </w:rPr>
              <w:t xml:space="preserve"> t</w:t>
            </w:r>
          </w:p>
          <w:p w14:paraId="629278BE" w14:textId="01A0F0DA" w:rsidR="003F5877" w:rsidRPr="003F5877" w:rsidRDefault="003F5877" w:rsidP="00467E3B">
            <w:pPr>
              <w:spacing w:line="432" w:lineRule="auto"/>
              <w:rPr>
                <w:i/>
              </w:rPr>
            </w:pPr>
            <w:proofErr w:type="spellStart"/>
            <w:r w:rsidRPr="003F5877">
              <w:rPr>
                <w:i/>
              </w:rPr>
              <w:t>E</w:t>
            </w:r>
            <w:r w:rsidRPr="003F5877">
              <w:rPr>
                <w:i/>
                <w:vertAlign w:val="subscript"/>
              </w:rPr>
              <w:t>i</w:t>
            </w:r>
            <w:proofErr w:type="spellEnd"/>
            <w:r w:rsidRPr="003F5877">
              <w:rPr>
                <w:i/>
                <w:vertAlign w:val="subscript"/>
              </w:rPr>
              <w:tab/>
            </w:r>
            <w:r w:rsidRPr="003F5877">
              <w:rPr>
                <w:i/>
                <w:vertAlign w:val="subscript"/>
              </w:rPr>
              <w:tab/>
            </w:r>
            <w:r w:rsidR="00807604" w:rsidRPr="003F5877">
              <w:tab/>
            </w:r>
            <w:r w:rsidRPr="003F5877">
              <w:rPr>
                <w:lang w:val="en"/>
              </w:rPr>
              <w:t>The discharge capacity of BESS during peak regulation at day</w:t>
            </w:r>
            <w:r w:rsidRPr="003F5877">
              <w:rPr>
                <w:i/>
                <w:lang w:val="en"/>
              </w:rPr>
              <w:t xml:space="preserve"> </w:t>
            </w:r>
            <w:proofErr w:type="spellStart"/>
            <w:r w:rsidRPr="003F5877">
              <w:rPr>
                <w:i/>
              </w:rPr>
              <w:t>i</w:t>
            </w:r>
            <w:proofErr w:type="spellEnd"/>
          </w:p>
          <w:p w14:paraId="282EECD0" w14:textId="2DB7A1F6" w:rsidR="003F5877" w:rsidRPr="003F5877" w:rsidRDefault="003F5877" w:rsidP="00467E3B">
            <w:pPr>
              <w:spacing w:line="432" w:lineRule="auto"/>
            </w:pPr>
            <w:proofErr w:type="spellStart"/>
            <w:r w:rsidRPr="003F5877">
              <w:rPr>
                <w:i/>
              </w:rPr>
              <w:t>P</w:t>
            </w:r>
            <w:r w:rsidRPr="003F5877">
              <w:rPr>
                <w:vertAlign w:val="subscript"/>
              </w:rPr>
              <w:t>thermal</w:t>
            </w:r>
            <w:proofErr w:type="spellEnd"/>
            <w:r w:rsidRPr="003F5877">
              <w:tab/>
              <w:t>The installation cost of unit capacity</w:t>
            </w:r>
          </w:p>
          <w:p w14:paraId="2B3FAE99" w14:textId="77777777" w:rsidR="003F5877" w:rsidRPr="003F5877" w:rsidRDefault="003F5877" w:rsidP="00467E3B">
            <w:pPr>
              <w:spacing w:line="432" w:lineRule="auto"/>
            </w:pPr>
            <w:proofErr w:type="spellStart"/>
            <w:r w:rsidRPr="003F5877">
              <w:rPr>
                <w:i/>
              </w:rPr>
              <w:t>K</w:t>
            </w:r>
            <w:r w:rsidRPr="003F5877">
              <w:rPr>
                <w:vertAlign w:val="subscript"/>
              </w:rPr>
              <w:t>Ap</w:t>
            </w:r>
            <w:proofErr w:type="spellEnd"/>
            <w:r w:rsidRPr="003F5877">
              <w:rPr>
                <w:vertAlign w:val="subscript"/>
              </w:rPr>
              <w:tab/>
            </w:r>
            <w:r w:rsidRPr="003F5877">
              <w:rPr>
                <w:vertAlign w:val="subscript"/>
              </w:rPr>
              <w:tab/>
            </w:r>
            <w:r w:rsidRPr="003F5877">
              <w:t>The comprehensive FM performance index of FM unit on the execution day</w:t>
            </w:r>
          </w:p>
          <w:p w14:paraId="4519DE8D" w14:textId="78CD1675" w:rsidR="003F5877" w:rsidRPr="003F5877" w:rsidRDefault="003F5877" w:rsidP="00467E3B">
            <w:pPr>
              <w:spacing w:line="432" w:lineRule="auto"/>
              <w:rPr>
                <w:i/>
              </w:rPr>
            </w:pPr>
            <w:r w:rsidRPr="003F5877">
              <w:rPr>
                <w:i/>
                <w:iCs/>
                <w:lang w:val="en"/>
              </w:rPr>
              <w:t>M</w:t>
            </w:r>
            <w:r w:rsidRPr="003F5877">
              <w:rPr>
                <w:lang w:val="en"/>
              </w:rPr>
              <w:tab/>
            </w:r>
            <w:r w:rsidRPr="003F5877">
              <w:rPr>
                <w:lang w:val="en"/>
              </w:rPr>
              <w:tab/>
            </w:r>
            <w:r w:rsidR="00807604" w:rsidRPr="003F5877">
              <w:tab/>
            </w:r>
            <w:r w:rsidRPr="003F5877">
              <w:rPr>
                <w:lang w:val="en"/>
              </w:rPr>
              <w:t>The operation life of thermal power units</w:t>
            </w:r>
          </w:p>
          <w:p w14:paraId="0C7B9F31" w14:textId="6EE37A44" w:rsidR="003F5877" w:rsidRPr="003F5877" w:rsidRDefault="003F5877" w:rsidP="00467E3B">
            <w:pPr>
              <w:spacing w:line="432" w:lineRule="auto"/>
              <w:rPr>
                <w:i/>
              </w:rPr>
            </w:pPr>
            <w:r w:rsidRPr="003F5877">
              <w:rPr>
                <w:i/>
              </w:rPr>
              <w:t>K</w:t>
            </w:r>
            <w:r w:rsidRPr="003F5877">
              <w:tab/>
            </w:r>
            <w:r w:rsidRPr="003F5877">
              <w:tab/>
            </w:r>
            <w:r w:rsidR="00807604" w:rsidRPr="003F5877">
              <w:tab/>
            </w:r>
            <w:r w:rsidRPr="003F5877">
              <w:t>The total investment in the project</w:t>
            </w:r>
          </w:p>
          <w:p w14:paraId="7D96D7B7" w14:textId="38905BAD" w:rsidR="003F5877" w:rsidRPr="003F5877" w:rsidRDefault="003F5877" w:rsidP="00467E3B">
            <w:pPr>
              <w:spacing w:line="432" w:lineRule="auto"/>
              <w:rPr>
                <w:i/>
              </w:rPr>
            </w:pPr>
            <w:r w:rsidRPr="003F5877">
              <w:rPr>
                <w:i/>
                <w:iCs/>
              </w:rPr>
              <w:lastRenderedPageBreak/>
              <w:t>V</w:t>
            </w:r>
            <w:r w:rsidR="00807604" w:rsidRPr="003F5877">
              <w:tab/>
            </w:r>
            <w:r w:rsidRPr="003F5877">
              <w:tab/>
            </w:r>
            <w:r w:rsidR="00807604" w:rsidRPr="003F5877">
              <w:tab/>
            </w:r>
            <w:r w:rsidRPr="003F5877">
              <w:t>The net present value</w:t>
            </w:r>
          </w:p>
          <w:p w14:paraId="1EDE7B2C" w14:textId="69522815" w:rsidR="003F5877" w:rsidRPr="003F5877" w:rsidRDefault="003F5877" w:rsidP="00467E3B">
            <w:pPr>
              <w:spacing w:line="432" w:lineRule="auto"/>
            </w:pPr>
            <w:r w:rsidRPr="003F5877">
              <w:rPr>
                <w:i/>
              </w:rPr>
              <w:t>q</w:t>
            </w:r>
            <w:r w:rsidRPr="003F5877">
              <w:tab/>
            </w:r>
            <w:r w:rsidRPr="003F5877">
              <w:tab/>
            </w:r>
            <w:r w:rsidR="00807604" w:rsidRPr="003F5877">
              <w:tab/>
            </w:r>
            <w:proofErr w:type="gramStart"/>
            <w:r w:rsidRPr="003F5877">
              <w:t>The</w:t>
            </w:r>
            <w:proofErr w:type="gramEnd"/>
            <w:r w:rsidRPr="003F5877">
              <w:t xml:space="preserve"> ratio of basic peak regulation capacity to maximum output of thermal power units</w:t>
            </w:r>
          </w:p>
          <w:p w14:paraId="58280BD8" w14:textId="0FD88D3E" w:rsidR="003F5877" w:rsidRPr="003F5877" w:rsidRDefault="003F5877" w:rsidP="00467E3B">
            <w:pPr>
              <w:spacing w:line="432" w:lineRule="auto"/>
            </w:pPr>
            <w:r w:rsidRPr="003F5877">
              <w:rPr>
                <w:i/>
              </w:rPr>
              <w:t>e</w:t>
            </w:r>
            <w:r w:rsidRPr="003F5877">
              <w:rPr>
                <w:lang w:val="en"/>
              </w:rPr>
              <w:tab/>
            </w:r>
            <w:r w:rsidRPr="003F5877">
              <w:rPr>
                <w:lang w:val="en"/>
              </w:rPr>
              <w:tab/>
            </w:r>
            <w:r w:rsidR="00807604" w:rsidRPr="003F5877">
              <w:tab/>
            </w:r>
            <w:proofErr w:type="gramStart"/>
            <w:r w:rsidRPr="003F5877">
              <w:rPr>
                <w:lang w:val="en"/>
              </w:rPr>
              <w:t>The</w:t>
            </w:r>
            <w:proofErr w:type="gramEnd"/>
            <w:r w:rsidRPr="003F5877">
              <w:rPr>
                <w:lang w:val="en"/>
              </w:rPr>
              <w:t xml:space="preserve"> contract price of power plant</w:t>
            </w:r>
          </w:p>
          <w:p w14:paraId="135B348A" w14:textId="1519C090" w:rsidR="003F5877" w:rsidRPr="003F5877" w:rsidRDefault="003F5877" w:rsidP="00467E3B">
            <w:pPr>
              <w:spacing w:line="432" w:lineRule="auto"/>
            </w:pPr>
            <w:r w:rsidRPr="003F5877">
              <w:rPr>
                <w:i/>
              </w:rPr>
              <w:t>c</w:t>
            </w:r>
            <w:r w:rsidRPr="003F5877">
              <w:rPr>
                <w:lang w:val="en"/>
              </w:rPr>
              <w:tab/>
            </w:r>
            <w:r w:rsidRPr="003F5877">
              <w:rPr>
                <w:lang w:val="en"/>
              </w:rPr>
              <w:tab/>
            </w:r>
            <w:r w:rsidR="00807604" w:rsidRPr="003F5877">
              <w:tab/>
            </w:r>
            <w:proofErr w:type="gramStart"/>
            <w:r w:rsidRPr="003F5877">
              <w:rPr>
                <w:lang w:val="en"/>
              </w:rPr>
              <w:t>The</w:t>
            </w:r>
            <w:proofErr w:type="gramEnd"/>
            <w:r w:rsidRPr="003F5877">
              <w:rPr>
                <w:lang w:val="en"/>
              </w:rPr>
              <w:t xml:space="preserve"> fatigue ductility index</w:t>
            </w:r>
          </w:p>
          <w:p w14:paraId="2CFB4828" w14:textId="17FD0E16" w:rsidR="003F5877" w:rsidRPr="003F5877" w:rsidRDefault="003F5877" w:rsidP="00467E3B">
            <w:pPr>
              <w:spacing w:line="432" w:lineRule="auto"/>
              <w:rPr>
                <w:lang w:val="en"/>
              </w:rPr>
            </w:pPr>
            <w:r w:rsidRPr="003F5877">
              <w:rPr>
                <w:i/>
              </w:rPr>
              <w:t>b</w:t>
            </w:r>
            <w:r w:rsidRPr="003F5877">
              <w:rPr>
                <w:lang w:val="en"/>
              </w:rPr>
              <w:tab/>
            </w:r>
            <w:r w:rsidRPr="003F5877">
              <w:rPr>
                <w:lang w:val="en"/>
              </w:rPr>
              <w:tab/>
            </w:r>
            <w:r w:rsidR="00807604" w:rsidRPr="003F5877">
              <w:tab/>
            </w:r>
            <w:proofErr w:type="gramStart"/>
            <w:r w:rsidRPr="003F5877">
              <w:rPr>
                <w:lang w:val="en"/>
              </w:rPr>
              <w:t>The</w:t>
            </w:r>
            <w:proofErr w:type="gramEnd"/>
            <w:r w:rsidRPr="003F5877">
              <w:rPr>
                <w:lang w:val="en"/>
              </w:rPr>
              <w:t xml:space="preserve"> fatigue strength index</w:t>
            </w:r>
          </w:p>
          <w:p w14:paraId="3F0BFEF2" w14:textId="62121731" w:rsidR="003F5877" w:rsidRPr="003F5877" w:rsidRDefault="003F5877" w:rsidP="00467E3B">
            <w:pPr>
              <w:spacing w:line="432" w:lineRule="auto"/>
              <w:rPr>
                <w:lang w:val="en"/>
              </w:rPr>
            </w:pPr>
            <w:r w:rsidRPr="003F5877">
              <w:rPr>
                <w:i/>
              </w:rPr>
              <w:t>r</w:t>
            </w:r>
            <w:r w:rsidRPr="003F5877">
              <w:tab/>
            </w:r>
            <w:r w:rsidRPr="003F5877">
              <w:tab/>
            </w:r>
            <w:r w:rsidR="00807604" w:rsidRPr="003F5877">
              <w:tab/>
            </w:r>
            <w:proofErr w:type="gramStart"/>
            <w:r w:rsidRPr="003F5877">
              <w:t>The</w:t>
            </w:r>
            <w:proofErr w:type="gramEnd"/>
            <w:r w:rsidRPr="003F5877">
              <w:t xml:space="preserve"> discount rate</w:t>
            </w:r>
          </w:p>
          <w:p w14:paraId="4A4070A4" w14:textId="6B108B4A" w:rsidR="003F5877" w:rsidRPr="003F5877" w:rsidRDefault="003F5877" w:rsidP="00467E3B">
            <w:pPr>
              <w:spacing w:line="432" w:lineRule="auto"/>
              <w:rPr>
                <w:lang w:val="en"/>
              </w:rPr>
            </w:pPr>
            <w:r w:rsidRPr="003F5877">
              <w:rPr>
                <w:i/>
              </w:rPr>
              <w:t>ε</w:t>
            </w:r>
            <w:r w:rsidRPr="003F5877">
              <w:rPr>
                <w:i/>
              </w:rPr>
              <w:tab/>
            </w:r>
            <w:r w:rsidRPr="003F5877">
              <w:rPr>
                <w:i/>
              </w:rPr>
              <w:tab/>
            </w:r>
            <w:r w:rsidR="00807604" w:rsidRPr="003F5877">
              <w:tab/>
            </w:r>
            <w:proofErr w:type="gramStart"/>
            <w:r w:rsidRPr="003F5877">
              <w:rPr>
                <w:lang w:val="en"/>
              </w:rPr>
              <w:t>The</w:t>
            </w:r>
            <w:proofErr w:type="gramEnd"/>
            <w:r w:rsidRPr="003F5877">
              <w:rPr>
                <w:lang w:val="en"/>
              </w:rPr>
              <w:t xml:space="preserve"> total strain amplitude</w:t>
            </w:r>
          </w:p>
          <w:p w14:paraId="252E1E8B" w14:textId="74BC8393" w:rsidR="003F5877" w:rsidRPr="003F5877" w:rsidRDefault="003F5877" w:rsidP="00467E3B">
            <w:pPr>
              <w:spacing w:line="432" w:lineRule="auto"/>
              <w:rPr>
                <w:lang w:val="en"/>
              </w:rPr>
            </w:pPr>
            <w:proofErr w:type="spellStart"/>
            <w:r w:rsidRPr="003F5877">
              <w:rPr>
                <w:i/>
              </w:rPr>
              <w:t>ε</w:t>
            </w:r>
            <w:r w:rsidRPr="003F5877">
              <w:rPr>
                <w:vertAlign w:val="subscript"/>
              </w:rPr>
              <w:t>f</w:t>
            </w:r>
            <w:proofErr w:type="spellEnd"/>
            <w:r w:rsidRPr="003F5877">
              <w:rPr>
                <w:lang w:val="en"/>
              </w:rPr>
              <w:tab/>
            </w:r>
            <w:r w:rsidRPr="003F5877">
              <w:rPr>
                <w:lang w:val="en"/>
              </w:rPr>
              <w:tab/>
            </w:r>
            <w:r w:rsidR="00807604" w:rsidRPr="003F5877">
              <w:tab/>
            </w:r>
            <w:proofErr w:type="gramStart"/>
            <w:r w:rsidRPr="003F5877">
              <w:rPr>
                <w:lang w:val="en"/>
              </w:rPr>
              <w:t>The</w:t>
            </w:r>
            <w:proofErr w:type="gramEnd"/>
            <w:r w:rsidRPr="003F5877">
              <w:rPr>
                <w:lang w:val="en"/>
              </w:rPr>
              <w:t xml:space="preserve"> fatigue ductility coefficient</w:t>
            </w:r>
          </w:p>
          <w:p w14:paraId="7556819A" w14:textId="7F109B9B" w:rsidR="003F5877" w:rsidRPr="003F5877" w:rsidRDefault="003F5877" w:rsidP="00467E3B">
            <w:pPr>
              <w:spacing w:line="432" w:lineRule="auto"/>
              <w:rPr>
                <w:lang w:val="en"/>
              </w:rPr>
            </w:pPr>
            <w:proofErr w:type="spellStart"/>
            <w:r w:rsidRPr="003F5877">
              <w:rPr>
                <w:i/>
              </w:rPr>
              <w:t>δ</w:t>
            </w:r>
            <w:r w:rsidRPr="003F5877">
              <w:rPr>
                <w:vertAlign w:val="subscript"/>
              </w:rPr>
              <w:t>f</w:t>
            </w:r>
            <w:proofErr w:type="spellEnd"/>
            <w:r w:rsidRPr="003F5877">
              <w:rPr>
                <w:lang w:val="en"/>
              </w:rPr>
              <w:tab/>
            </w:r>
            <w:r w:rsidRPr="003F5877">
              <w:rPr>
                <w:lang w:val="en"/>
              </w:rPr>
              <w:tab/>
            </w:r>
            <w:r w:rsidR="00807604" w:rsidRPr="003F5877">
              <w:tab/>
            </w:r>
            <w:proofErr w:type="gramStart"/>
            <w:r w:rsidRPr="003F5877">
              <w:rPr>
                <w:lang w:val="en"/>
              </w:rPr>
              <w:t>The</w:t>
            </w:r>
            <w:proofErr w:type="gramEnd"/>
            <w:r w:rsidRPr="003F5877">
              <w:rPr>
                <w:lang w:val="en"/>
              </w:rPr>
              <w:t xml:space="preserve"> fatigue strength coefficient</w:t>
            </w:r>
          </w:p>
          <w:p w14:paraId="12B6D940" w14:textId="3B2E773B" w:rsidR="003F5877" w:rsidRPr="003F5877" w:rsidRDefault="003F5877" w:rsidP="00467E3B">
            <w:pPr>
              <w:spacing w:line="432" w:lineRule="auto"/>
            </w:pPr>
            <w:proofErr w:type="spellStart"/>
            <w:r w:rsidRPr="003F5877">
              <w:rPr>
                <w:i/>
              </w:rPr>
              <w:t>c</w:t>
            </w:r>
            <w:r w:rsidRPr="003F5877">
              <w:rPr>
                <w:vertAlign w:val="subscript"/>
              </w:rPr>
              <w:t>F</w:t>
            </w:r>
            <w:proofErr w:type="spellEnd"/>
            <w:r w:rsidRPr="003F5877">
              <w:tab/>
            </w:r>
            <w:r w:rsidRPr="003F5877">
              <w:tab/>
            </w:r>
            <w:r w:rsidR="00807604" w:rsidRPr="003F5877">
              <w:tab/>
            </w:r>
            <w:proofErr w:type="gramStart"/>
            <w:r w:rsidRPr="003F5877">
              <w:t>The</w:t>
            </w:r>
            <w:proofErr w:type="gramEnd"/>
            <w:r w:rsidRPr="003F5877">
              <w:t xml:space="preserve"> average failure handling cost</w:t>
            </w:r>
          </w:p>
          <w:p w14:paraId="0BB919BC" w14:textId="00A0D7E5" w:rsidR="003F5877" w:rsidRDefault="003F5877" w:rsidP="00467E3B">
            <w:pPr>
              <w:spacing w:line="432" w:lineRule="auto"/>
            </w:pPr>
            <w:r w:rsidRPr="003F5877">
              <w:rPr>
                <w:i/>
              </w:rPr>
              <w:t>e</w:t>
            </w:r>
            <w:r w:rsidRPr="003F5877">
              <w:rPr>
                <w:i/>
                <w:vertAlign w:val="subscript"/>
              </w:rPr>
              <w:t>t</w:t>
            </w:r>
            <w:r w:rsidRPr="003F5877">
              <w:tab/>
            </w:r>
            <w:r w:rsidRPr="003F5877">
              <w:tab/>
            </w:r>
            <w:r w:rsidR="00807604" w:rsidRPr="003F5877">
              <w:tab/>
            </w:r>
            <w:proofErr w:type="gramStart"/>
            <w:r w:rsidRPr="003F5877">
              <w:t>The</w:t>
            </w:r>
            <w:proofErr w:type="gramEnd"/>
            <w:r w:rsidRPr="003F5877">
              <w:t xml:space="preserve"> annual average electricity price in auxiliary service market at year</w:t>
            </w:r>
            <w:r w:rsidRPr="003F5877">
              <w:rPr>
                <w:i/>
              </w:rPr>
              <w:t xml:space="preserve"> t</w:t>
            </w:r>
            <w:r w:rsidRPr="003F5877">
              <w:t xml:space="preserve"> </w:t>
            </w:r>
          </w:p>
          <w:p w14:paraId="059F04A4" w14:textId="3670C018" w:rsidR="00806BC9" w:rsidRPr="00806BC9" w:rsidRDefault="00806BC9" w:rsidP="00467E3B">
            <w:pPr>
              <w:spacing w:line="432" w:lineRule="auto"/>
              <w:rPr>
                <w:szCs w:val="21"/>
                <w:lang w:val="en"/>
              </w:rPr>
            </w:pPr>
            <w:proofErr w:type="spellStart"/>
            <w:r w:rsidRPr="00A62BCD">
              <w:rPr>
                <w:i/>
                <w:szCs w:val="21"/>
                <w:lang w:val="en"/>
              </w:rPr>
              <w:t>ρ</w:t>
            </w:r>
            <w:r w:rsidRPr="00A62BCD">
              <w:rPr>
                <w:szCs w:val="21"/>
                <w:vertAlign w:val="subscript"/>
                <w:lang w:val="en"/>
              </w:rPr>
              <w:t>metali</w:t>
            </w:r>
            <w:proofErr w:type="spellEnd"/>
            <w:r w:rsidRPr="003F5877">
              <w:tab/>
            </w:r>
            <w:proofErr w:type="gramStart"/>
            <w:r w:rsidR="00807604">
              <w:rPr>
                <w:szCs w:val="21"/>
                <w:lang w:val="en"/>
              </w:rPr>
              <w:t>T</w:t>
            </w:r>
            <w:r w:rsidRPr="00A62BCD">
              <w:rPr>
                <w:szCs w:val="21"/>
                <w:lang w:val="en"/>
              </w:rPr>
              <w:t>he</w:t>
            </w:r>
            <w:proofErr w:type="gramEnd"/>
            <w:r w:rsidRPr="00A62BCD">
              <w:rPr>
                <w:szCs w:val="21"/>
                <w:lang w:val="en"/>
              </w:rPr>
              <w:t xml:space="preserve"> content of metal </w:t>
            </w:r>
            <w:proofErr w:type="spellStart"/>
            <w:r w:rsidRPr="00A62BCD">
              <w:rPr>
                <w:szCs w:val="21"/>
                <w:lang w:val="en"/>
              </w:rPr>
              <w:t>i</w:t>
            </w:r>
            <w:proofErr w:type="spellEnd"/>
            <w:r w:rsidRPr="00A62BCD">
              <w:rPr>
                <w:szCs w:val="21"/>
                <w:lang w:val="en"/>
              </w:rPr>
              <w:t xml:space="preserve"> in the unit weight of energy storage battery</w:t>
            </w:r>
          </w:p>
          <w:p w14:paraId="219F1815" w14:textId="1B5FFFDE" w:rsidR="00806BC9" w:rsidRDefault="00806BC9" w:rsidP="00467E3B">
            <w:pPr>
              <w:spacing w:line="432" w:lineRule="auto"/>
            </w:pPr>
            <w:proofErr w:type="spellStart"/>
            <w:r w:rsidRPr="00A62BCD">
              <w:rPr>
                <w:i/>
                <w:szCs w:val="21"/>
                <w:lang w:val="en"/>
              </w:rPr>
              <w:t>δ</w:t>
            </w:r>
            <w:r w:rsidRPr="00A62BCD">
              <w:rPr>
                <w:szCs w:val="21"/>
                <w:vertAlign w:val="subscript"/>
                <w:lang w:val="en"/>
              </w:rPr>
              <w:t>energu_i</w:t>
            </w:r>
            <w:proofErr w:type="spellEnd"/>
            <w:r w:rsidRPr="003F5877">
              <w:tab/>
            </w:r>
            <w:proofErr w:type="gramStart"/>
            <w:r w:rsidR="00807604">
              <w:rPr>
                <w:szCs w:val="21"/>
                <w:lang w:val="en"/>
              </w:rPr>
              <w:t>T</w:t>
            </w:r>
            <w:r w:rsidRPr="00A62BCD">
              <w:rPr>
                <w:szCs w:val="21"/>
                <w:lang w:val="en"/>
              </w:rPr>
              <w:t>he</w:t>
            </w:r>
            <w:proofErr w:type="gramEnd"/>
            <w:r w:rsidRPr="00A62BCD">
              <w:rPr>
                <w:szCs w:val="21"/>
                <w:lang w:val="en"/>
              </w:rPr>
              <w:t xml:space="preserve"> energy-to-weight ratio of the energy storage system</w:t>
            </w:r>
          </w:p>
          <w:p w14:paraId="1B61A154" w14:textId="16855D48" w:rsidR="003F5877" w:rsidRDefault="003F5877" w:rsidP="00467E3B">
            <w:pPr>
              <w:spacing w:line="432" w:lineRule="auto"/>
            </w:pPr>
            <w:bookmarkStart w:id="14" w:name="OLE_LINK1"/>
            <w:r w:rsidRPr="003F5877">
              <w:rPr>
                <w:i/>
              </w:rPr>
              <w:t>λ</w:t>
            </w:r>
            <w:r w:rsidRPr="003F5877">
              <w:rPr>
                <w:vertAlign w:val="subscript"/>
              </w:rPr>
              <w:t>1</w:t>
            </w:r>
            <w:r w:rsidRPr="003F5877">
              <w:tab/>
            </w:r>
            <w:r w:rsidRPr="003F5877">
              <w:tab/>
            </w:r>
            <w:r w:rsidR="00807604" w:rsidRPr="003F5877">
              <w:tab/>
            </w:r>
            <w:proofErr w:type="gramStart"/>
            <w:r w:rsidRPr="003F5877">
              <w:t>The</w:t>
            </w:r>
            <w:proofErr w:type="gramEnd"/>
            <w:r w:rsidRPr="003F5877">
              <w:t xml:space="preserve"> mileage settlement price</w:t>
            </w:r>
            <w:bookmarkEnd w:id="14"/>
          </w:p>
          <w:p w14:paraId="571CFE96" w14:textId="155855B2" w:rsidR="00806BC9" w:rsidRPr="003F5877" w:rsidRDefault="00806BC9" w:rsidP="00467E3B">
            <w:pPr>
              <w:spacing w:line="432" w:lineRule="auto"/>
            </w:pPr>
            <w:r w:rsidRPr="003F5877">
              <w:rPr>
                <w:i/>
              </w:rPr>
              <w:t>λ</w:t>
            </w:r>
            <w:r>
              <w:rPr>
                <w:vertAlign w:val="subscript"/>
              </w:rPr>
              <w:t>2</w:t>
            </w:r>
            <w:r w:rsidRPr="003F5877">
              <w:tab/>
            </w:r>
            <w:r w:rsidRPr="003F5877">
              <w:tab/>
            </w:r>
            <w:r w:rsidR="00807604" w:rsidRPr="003F5877">
              <w:tab/>
            </w:r>
            <w:proofErr w:type="gramStart"/>
            <w:r w:rsidRPr="003F5877">
              <w:t>The</w:t>
            </w:r>
            <w:proofErr w:type="gramEnd"/>
            <w:r w:rsidRPr="003F5877">
              <w:t xml:space="preserve"> </w:t>
            </w:r>
            <w:r>
              <w:t>coefficient</w:t>
            </w:r>
          </w:p>
        </w:tc>
      </w:tr>
    </w:tbl>
    <w:bookmarkEnd w:id="12"/>
    <w:p w14:paraId="563DAC62" w14:textId="26FD872F" w:rsidR="002E0342" w:rsidRPr="001D7D49" w:rsidRDefault="001D7D49">
      <w:pPr>
        <w:pStyle w:val="1"/>
        <w:rPr>
          <w:color w:val="000000" w:themeColor="text1"/>
        </w:rPr>
      </w:pPr>
      <w:r w:rsidRPr="00DC0FAC">
        <w:rPr>
          <w:color w:val="000000" w:themeColor="text1"/>
        </w:rPr>
        <w:lastRenderedPageBreak/>
        <w:t>I</w:t>
      </w:r>
      <w:r>
        <w:rPr>
          <w:color w:val="000000" w:themeColor="text1"/>
        </w:rPr>
        <w:t>ntroduction</w:t>
      </w:r>
    </w:p>
    <w:p w14:paraId="3D851C74" w14:textId="2C705D66" w:rsidR="0030620B" w:rsidRDefault="00355373" w:rsidP="00B57D1E">
      <w:pPr>
        <w:ind w:firstLineChars="100" w:firstLine="200"/>
        <w:jc w:val="both"/>
        <w:rPr>
          <w:szCs w:val="21"/>
          <w:lang w:val="en"/>
        </w:rPr>
      </w:pPr>
      <w:r w:rsidRPr="00B57D1E">
        <w:rPr>
          <w:szCs w:val="21"/>
          <w:lang w:val="en"/>
        </w:rPr>
        <w:t>With the increasingly prominent problem of energy crisis and environmental pollution, renewable energy generation such as wind power and PV are developing rapidly, and their uncertainties have adverse effects on the operation of the power grid. Among them, the problem of frequency and peak regulation is particularly outstanding [1-2]. To make the power generation more flexible, the state has been taking measures: building peaking power sources such as gas power plants and hydropower plants, undertaking the renovation of coal-fired units, and building energy storage systems [3-6]. Because of the rapid development of large-capacity energy storage technology and its excellent regulation performance, utilizing energy storage systems for frequency and peak regulation becomes a popular research topic [7-8]. However, because of the imperfect market mechanism and the high price, the investors’ interests cannot be guaranteed, which hinders the further promotion of energy storage [9-10]. How to scientifically calculate the direct and indirect benefits of energy storage systems participating in frequency and peak regulation services is conducive to the improvement of future market mechanisms. Also, it is essential to promote the application of energy storage technology.</w:t>
      </w:r>
    </w:p>
    <w:p w14:paraId="6383A07A" w14:textId="3AEF814B" w:rsidR="00B57D1E" w:rsidRDefault="00B57D1E" w:rsidP="00B57D1E">
      <w:pPr>
        <w:ind w:firstLineChars="100" w:firstLine="200"/>
        <w:jc w:val="both"/>
      </w:pPr>
      <w:r w:rsidRPr="00B57D1E">
        <w:t xml:space="preserve">Some scholars have made lots of research findings on the economic benefit evaluation of BESS for frequency and peak </w:t>
      </w:r>
      <w:r w:rsidRPr="00B57D1E">
        <w:t>regulation. Most of them are about how to configure energy storage in the new energy power plants or thermal power plants to realize joint regulation.</w:t>
      </w:r>
    </w:p>
    <w:p w14:paraId="113FE75A" w14:textId="126CA6E6" w:rsidR="00B57D1E" w:rsidRDefault="00B57D1E" w:rsidP="00B57D1E">
      <w:pPr>
        <w:ind w:firstLineChars="100" w:firstLine="200"/>
        <w:jc w:val="both"/>
      </w:pPr>
      <w:r w:rsidRPr="00B57D1E">
        <w:t>The energy storage in new energy power plants could effectively improve the renewable energy penetration and the economic benefits by providing high-quality auxiliary services including frequency and peak regulation [11]. Ma et al. established a comprehensive economic benefit model of BESS for wind power auxiliary services and evaluated the benefits by calculating the return rate on investment and payback period [12]. Lu et al. aimed at how the economy of the PV system with energy storage was influenced by the cost of energy storage, electricity price and load characteristics [13]. Further, references [14-15] stated that preliminarily optimizing the capacity and operation of BESS could improve its benefits and effectively mitigate the abandon rate of wind and solar power. Therefore, there have been a few demonstration applications of wind-PV-storage hybrid systems in China. However, large-scale renewable energy access on power grids results in the problem of renewable energy accommodation, causing the function of conventional thermal power units transforming from power generation to frequency and peak regulation. Hence, for conventional thermal power units, the provision of auxiliary services has become an important way to make profits [16].</w:t>
      </w:r>
    </w:p>
    <w:p w14:paraId="6D4B88D6" w14:textId="1FE2A885" w:rsidR="00B57D1E" w:rsidRDefault="00B57D1E" w:rsidP="00B57D1E">
      <w:pPr>
        <w:ind w:firstLineChars="100" w:firstLine="200"/>
        <w:jc w:val="both"/>
      </w:pPr>
      <w:r w:rsidRPr="00B57D1E">
        <w:t xml:space="preserve">Energy storage configured in thermal power plants is mainly used to participate in peak and frequency regulation, which can not only make profits, but also alleviate the excessive coal consumption and serious equipment wear in power generation process [17-18]. Chen et al. evaluated the benefits of AGC for frequency regulation with the assist of energy storage considering the life loss cost of BESS. Although the participation of lithium-ion battery energy storage and generators in joint frequency regulation could bring economic benefits, the subsequent recycling cost of energy storage was not involved [19]. Huang et al. improved BESS cost model by considering scrap processing, power shortage punishment and power abandonment loss based on life cycle theory, a capacity configuration method is proposed considering BESS participating in the primary frequency regulation, which showed that reasonable capacity configuration of BESS could balance the effect and economy of primary frequency regulation [20]. Li et al. mainly evaluated the economy of BESS on the thermal power side for auxiliary peak regulation and verified that BESS could effectively reduce the peak regulation cost of units, besides, BESS could achieve its own economic balance during the life cycle [21]. In [22], based on the current situation that the large-scale applications of energy storage were hindered by the cost, the benefits of the delay in upgrading and reconstruction of thermal power units resulting from energy storage for auxiliary peak regulation were analyzed quantitatively. Compared with [19-22], </w:t>
      </w:r>
      <w:proofErr w:type="spellStart"/>
      <w:r w:rsidRPr="00B57D1E">
        <w:t>Oudalov</w:t>
      </w:r>
      <w:proofErr w:type="spellEnd"/>
      <w:r w:rsidRPr="00B57D1E">
        <w:t xml:space="preserve"> A et al. evaluated the economic benefits from the joint participation of BESS in auxiliary frequency and peak regulation, which broadened further the profit space of BESS. Besides, by comparing the economy of lead-acid, vanadium flow and sodium-sulfur BESS for frequency and peak regulation, it is expected that BESS has a bright application prospect in frequency and peak regulation in the next three to five years [23].</w:t>
      </w:r>
    </w:p>
    <w:p w14:paraId="5567B3AF" w14:textId="6E5864C7" w:rsidR="00B57D1E" w:rsidRPr="006815A8" w:rsidRDefault="00B57D1E" w:rsidP="00B57D1E">
      <w:pPr>
        <w:ind w:firstLineChars="100" w:firstLine="200"/>
        <w:jc w:val="both"/>
      </w:pPr>
      <w:r w:rsidRPr="00B57D1E">
        <w:lastRenderedPageBreak/>
        <w:t>To summarize, the BESS in thermal power plants provides high-quality frequency and peak regulation auxiliary services and alleviates many problems, such as excessive coal consumption and serious wear of generating units. Moreover, it can delay the investment in upgrading and reconstruction of units. However, there are no previous works that have quantified the above benefits. In addition, most cost models of BESS based on LCC ignore the failure loss cost and the decommissioning disposal cost, while most benefit models of BESS ignore the recycling benefits. These shortcomings affect the authenticity of investment accounting and are not conducive to the further promotion of energy storage applications.</w:t>
      </w:r>
    </w:p>
    <w:p w14:paraId="73E3A7C8" w14:textId="7E48AF54" w:rsidR="00220184" w:rsidRDefault="00B57D1E" w:rsidP="00220184">
      <w:pPr>
        <w:ind w:firstLineChars="100" w:firstLine="200"/>
        <w:jc w:val="both"/>
        <w:rPr>
          <w:rFonts w:eastAsia="等线"/>
          <w:szCs w:val="21"/>
        </w:rPr>
      </w:pPr>
      <w:r w:rsidRPr="00B57D1E">
        <w:rPr>
          <w:rFonts w:eastAsia="等线"/>
          <w:szCs w:val="21"/>
        </w:rPr>
        <w:t>Therefore, this paper proposes a modeling and evaluation method for the economic benefits of BESS on the generation side considering the unit loss reduction during frequency regulation and the delay in investment in peak regulation. Based on the life cycle theory, a cost model including investment, replacement, operation and maintenance, failure and decommissioning disposal of BESS is established. Furthermore, this paper proposes a quantitative calculation method of measuring the indirect benefits of reduction in unit losses and the delay in investment on upgrading and reconstruction of units. By increasing the indirect benefits in the cost and benefit model of BESS, the actual profitability of BESS can be evaluated more scientifically, which serves as guidance for the formulation of auxiliary service market mechanism.</w:t>
      </w:r>
    </w:p>
    <w:p w14:paraId="7A3DC4D1" w14:textId="56A36207" w:rsidR="00275DB5" w:rsidRPr="00DC0FAC" w:rsidRDefault="00275DB5" w:rsidP="00275DB5">
      <w:pPr>
        <w:pStyle w:val="1"/>
        <w:rPr>
          <w:color w:val="000000" w:themeColor="text1"/>
        </w:rPr>
      </w:pPr>
      <w:r w:rsidRPr="00275DB5">
        <w:rPr>
          <w:color w:val="000000" w:themeColor="text1"/>
        </w:rPr>
        <w:t xml:space="preserve">Life Cycle Cost Model of BESS for Frequency and Peak Regulation </w:t>
      </w:r>
    </w:p>
    <w:p w14:paraId="5686FE02" w14:textId="24D6746C" w:rsidR="00275DB5" w:rsidRPr="006815A8" w:rsidRDefault="00B57D1E" w:rsidP="00275DB5">
      <w:pPr>
        <w:ind w:firstLineChars="100" w:firstLine="200"/>
        <w:jc w:val="both"/>
        <w:rPr>
          <w:rFonts w:eastAsia="等线"/>
          <w:szCs w:val="21"/>
        </w:rPr>
      </w:pPr>
      <w:r w:rsidRPr="00B57D1E">
        <w:rPr>
          <w:rFonts w:eastAsia="等线"/>
          <w:szCs w:val="21"/>
        </w:rPr>
        <w:t>According to the definition in IEC603003-3, LCC refers to all direct and, indirect costs that occur over the entire life cycle of a system. In this work, the LCC model of BESS includes investment cost, operation and maintenance cost, failure loss cost, and decommissioning disposal cost.</w:t>
      </w:r>
    </w:p>
    <w:p w14:paraId="6616919A" w14:textId="16C7030F" w:rsidR="00275DB5" w:rsidRPr="00DC0FAC" w:rsidRDefault="00275DB5" w:rsidP="00275DB5">
      <w:pPr>
        <w:pStyle w:val="2"/>
        <w:rPr>
          <w:color w:val="000000" w:themeColor="text1"/>
        </w:rPr>
      </w:pPr>
      <w:r>
        <w:rPr>
          <w:color w:val="000000" w:themeColor="text1"/>
        </w:rPr>
        <w:t xml:space="preserve">The </w:t>
      </w:r>
      <w:r w:rsidRPr="00275DB5">
        <w:rPr>
          <w:color w:val="000000" w:themeColor="text1"/>
        </w:rPr>
        <w:t>Cost of Investment</w:t>
      </w:r>
    </w:p>
    <w:p w14:paraId="45C6A3FF" w14:textId="69632DCC" w:rsidR="00275DB5" w:rsidRPr="006815A8" w:rsidRDefault="00B57D1E" w:rsidP="00B57D1E">
      <w:pPr>
        <w:ind w:firstLineChars="100" w:firstLine="200"/>
        <w:jc w:val="both"/>
        <w:rPr>
          <w:rFonts w:eastAsia="等线"/>
          <w:snapToGrid w:val="0"/>
        </w:rPr>
      </w:pPr>
      <w:r w:rsidRPr="00B57D1E">
        <w:rPr>
          <w:rFonts w:eastAsia="等线"/>
          <w:snapToGrid w:val="0"/>
        </w:rPr>
        <w:t xml:space="preserve">The cost of investment in BESS usually includes the initial cost and the replacement cost, and the former refers to the one-time fixed investment at the initial stage of the BESS construction, while the latter refers to the capital spent to replace the battery energy storage equipment during the operation. The investment cost </w:t>
      </w:r>
      <w:proofErr w:type="spellStart"/>
      <w:r w:rsidRPr="00B57D1E">
        <w:rPr>
          <w:rFonts w:eastAsia="等线"/>
          <w:i/>
          <w:iCs/>
          <w:snapToGrid w:val="0"/>
        </w:rPr>
        <w:t>C</w:t>
      </w:r>
      <w:r w:rsidRPr="00B57D1E">
        <w:rPr>
          <w:rFonts w:eastAsia="等线"/>
          <w:snapToGrid w:val="0"/>
          <w:vertAlign w:val="subscript"/>
        </w:rPr>
        <w:t>inv</w:t>
      </w:r>
      <w:proofErr w:type="spellEnd"/>
      <w:r w:rsidRPr="00B57D1E">
        <w:rPr>
          <w:rFonts w:eastAsia="等线"/>
          <w:snapToGrid w:val="0"/>
        </w:rPr>
        <w:t xml:space="preserve"> of BESS over its whole life cycle is given by (1)</w:t>
      </w:r>
    </w:p>
    <w:p w14:paraId="708E3C62" w14:textId="662B02DF" w:rsidR="00275DB5" w:rsidRPr="006815A8" w:rsidRDefault="00275DB5" w:rsidP="002700F7">
      <w:pPr>
        <w:tabs>
          <w:tab w:val="center" w:pos="2310"/>
          <w:tab w:val="right" w:pos="4620"/>
        </w:tabs>
        <w:snapToGrid w:val="0"/>
        <w:jc w:val="right"/>
        <w:textAlignment w:val="center"/>
      </w:pPr>
      <w:r>
        <w:tab/>
      </w:r>
      <w:r w:rsidRPr="006815A8">
        <w:object w:dxaOrig="3165" w:dyaOrig="555" w14:anchorId="6DED5A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3pt;height:27.8pt" o:ole="">
            <v:imagedata r:id="rId8" o:title=""/>
          </v:shape>
          <o:OLEObject Type="Embed" ProgID="Equation.DSMT4" ShapeID="_x0000_i1025" DrawAspect="Content" ObjectID="_1728905141" r:id="rId9"/>
        </w:object>
      </w:r>
      <w:r>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1</w:instrText>
        </w:r>
      </w:fldSimple>
      <w:r w:rsidRPr="006815A8">
        <w:instrText>)</w:instrText>
      </w:r>
      <w:r w:rsidRPr="006815A8">
        <w:fldChar w:fldCharType="end"/>
      </w:r>
    </w:p>
    <w:p w14:paraId="1BAF7823" w14:textId="536A7E7C" w:rsidR="00275DB5" w:rsidRPr="006815A8" w:rsidRDefault="00B57D1E" w:rsidP="00275DB5">
      <w:pPr>
        <w:jc w:val="both"/>
        <w:rPr>
          <w:rFonts w:eastAsia="等线"/>
        </w:rPr>
      </w:pPr>
      <w:r w:rsidRPr="00B57D1E">
        <w:rPr>
          <w:rFonts w:eastAsia="等线"/>
        </w:rPr>
        <w:t xml:space="preserve">where </w:t>
      </w:r>
      <w:r w:rsidRPr="00B57D1E">
        <w:rPr>
          <w:rFonts w:eastAsia="等线"/>
          <w:i/>
          <w:iCs/>
        </w:rPr>
        <w:t>n</w:t>
      </w:r>
      <w:r w:rsidRPr="00B57D1E">
        <w:rPr>
          <w:rFonts w:eastAsia="等线"/>
        </w:rPr>
        <w:t xml:space="preserve"> is the total amount of replacement. </w:t>
      </w:r>
      <w:r w:rsidRPr="00B57D1E">
        <w:rPr>
          <w:rFonts w:eastAsia="等线"/>
          <w:i/>
          <w:iCs/>
        </w:rPr>
        <w:t>n</w:t>
      </w:r>
      <w:r w:rsidRPr="00B57D1E">
        <w:rPr>
          <w:rFonts w:eastAsia="等线"/>
        </w:rPr>
        <w:t xml:space="preserve">+1 is the times of BESS put into service in total. </w:t>
      </w:r>
      <w:r w:rsidRPr="00B57D1E">
        <w:rPr>
          <w:rFonts w:eastAsia="等线"/>
          <w:i/>
          <w:iCs/>
        </w:rPr>
        <w:t>n</w:t>
      </w:r>
      <w:r w:rsidRPr="00B57D1E">
        <w:rPr>
          <w:rFonts w:eastAsia="等线"/>
        </w:rPr>
        <w:t>=</w:t>
      </w:r>
      <w:r w:rsidRPr="00B57D1E">
        <w:rPr>
          <w:rFonts w:eastAsia="等线"/>
          <w:i/>
          <w:iCs/>
        </w:rPr>
        <w:t>N</w:t>
      </w:r>
      <w:r w:rsidRPr="00B57D1E">
        <w:rPr>
          <w:rFonts w:eastAsia="等线"/>
          <w:vertAlign w:val="subscript"/>
        </w:rPr>
        <w:t>y</w:t>
      </w:r>
      <w:r w:rsidRPr="00B57D1E">
        <w:rPr>
          <w:rFonts w:eastAsia="等线"/>
        </w:rPr>
        <w:t>/</w:t>
      </w:r>
      <w:proofErr w:type="spellStart"/>
      <w:r w:rsidRPr="00B57D1E">
        <w:rPr>
          <w:rFonts w:eastAsia="等线"/>
          <w:i/>
          <w:iCs/>
        </w:rPr>
        <w:t>N</w:t>
      </w:r>
      <w:r w:rsidRPr="00B57D1E">
        <w:rPr>
          <w:rFonts w:eastAsia="等线"/>
          <w:vertAlign w:val="subscript"/>
        </w:rPr>
        <w:t>life</w:t>
      </w:r>
      <w:proofErr w:type="spellEnd"/>
      <w:r w:rsidRPr="00B57D1E">
        <w:rPr>
          <w:rFonts w:eastAsia="等线"/>
        </w:rPr>
        <w:t xml:space="preserve">, and </w:t>
      </w:r>
      <w:proofErr w:type="spellStart"/>
      <w:r w:rsidRPr="00B57D1E">
        <w:rPr>
          <w:rFonts w:eastAsia="等线"/>
          <w:i/>
          <w:iCs/>
        </w:rPr>
        <w:t>N</w:t>
      </w:r>
      <w:r w:rsidRPr="00B57D1E">
        <w:rPr>
          <w:rFonts w:eastAsia="等线"/>
          <w:vertAlign w:val="subscript"/>
        </w:rPr>
        <w:t>life</w:t>
      </w:r>
      <w:proofErr w:type="spellEnd"/>
      <w:r w:rsidRPr="00B57D1E">
        <w:rPr>
          <w:rFonts w:eastAsia="等线"/>
        </w:rPr>
        <w:t xml:space="preserve"> is calculated equivalently by rain flow counting method.</w:t>
      </w:r>
    </w:p>
    <w:p w14:paraId="50D2CECE" w14:textId="2EC9018C" w:rsidR="00275DB5" w:rsidRPr="00DC0FAC" w:rsidRDefault="00275DB5" w:rsidP="00275DB5">
      <w:pPr>
        <w:pStyle w:val="2"/>
        <w:rPr>
          <w:color w:val="000000" w:themeColor="text1"/>
        </w:rPr>
      </w:pPr>
      <w:r w:rsidRPr="00275DB5">
        <w:rPr>
          <w:color w:val="000000" w:themeColor="text1"/>
        </w:rPr>
        <w:t>Operation and Maintenance Cost</w:t>
      </w:r>
    </w:p>
    <w:p w14:paraId="06272BCB" w14:textId="071F41D8" w:rsidR="00275DB5" w:rsidRPr="006815A8" w:rsidRDefault="00B57D1E" w:rsidP="00B57D1E">
      <w:pPr>
        <w:ind w:firstLineChars="100" w:firstLine="200"/>
        <w:jc w:val="both"/>
        <w:rPr>
          <w:rFonts w:eastAsia="黑体"/>
        </w:rPr>
      </w:pPr>
      <w:r w:rsidRPr="00B57D1E">
        <w:rPr>
          <w:rFonts w:eastAsia="黑体"/>
        </w:rPr>
        <w:t>The operation and maintenance cost are the dynamic investment to ensure the normal operation of energy storage in its service life, which usually includes a fixed part determined by the power conversion system and a variable part determined by the charge and discharge capacity of energy storage.</w:t>
      </w:r>
    </w:p>
    <w:p w14:paraId="27C7ADAA" w14:textId="55EA3E90" w:rsidR="00275DB5" w:rsidRPr="006815A8" w:rsidRDefault="00275DB5" w:rsidP="002700F7">
      <w:pPr>
        <w:tabs>
          <w:tab w:val="center" w:pos="2310"/>
          <w:tab w:val="right" w:pos="4620"/>
        </w:tabs>
        <w:snapToGrid w:val="0"/>
        <w:jc w:val="right"/>
        <w:textAlignment w:val="center"/>
      </w:pPr>
      <w:r w:rsidRPr="006815A8">
        <w:tab/>
      </w:r>
      <w:r w:rsidR="004422D7" w:rsidRPr="006815A8">
        <w:object w:dxaOrig="4440" w:dyaOrig="1280" w14:anchorId="2628CC02">
          <v:shape id="_x0000_i1026" type="#_x0000_t75" style="width:176.85pt;height:50.1pt" o:ole="">
            <v:imagedata r:id="rId10" o:title=""/>
          </v:shape>
          <o:OLEObject Type="Embed" ProgID="Equation.DSMT4" ShapeID="_x0000_i1026" DrawAspect="Content" ObjectID="_1728905142" r:id="rId11"/>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2</w:instrText>
        </w:r>
      </w:fldSimple>
      <w:r w:rsidRPr="006815A8">
        <w:instrText>)</w:instrText>
      </w:r>
      <w:r w:rsidRPr="006815A8">
        <w:fldChar w:fldCharType="end"/>
      </w:r>
    </w:p>
    <w:p w14:paraId="15D03123" w14:textId="2A75294E" w:rsidR="00B57D1E" w:rsidRPr="00B57D1E" w:rsidRDefault="00275DB5" w:rsidP="00B57D1E">
      <w:pPr>
        <w:pStyle w:val="2"/>
        <w:rPr>
          <w:color w:val="000000" w:themeColor="text1"/>
        </w:rPr>
      </w:pPr>
      <w:r w:rsidRPr="00275DB5">
        <w:rPr>
          <w:color w:val="000000" w:themeColor="text1"/>
        </w:rPr>
        <w:t xml:space="preserve">Failure Loss Cost </w:t>
      </w:r>
    </w:p>
    <w:p w14:paraId="6BBE6A87" w14:textId="1987D278" w:rsidR="00B57D1E" w:rsidRPr="00B57D1E" w:rsidRDefault="00B57D1E" w:rsidP="00B57D1E">
      <w:pPr>
        <w:ind w:firstLineChars="100" w:firstLine="200"/>
        <w:jc w:val="both"/>
      </w:pPr>
      <w:r w:rsidRPr="00B57D1E">
        <w:t>The failure loss cost includes the fault handling cost and the power outage loss cost. The fault handling cost incurs when the owner departments repair and eliminate the fault according to the maintenance procedures, which is equal to the product of the annual average number of faults and the average faults handling cost. The outage loss cost is caused by the downtime of BESS, which is equal to the product of the annual average charge and discharge capacity of BESS, the annual average power outage duration, and the average electricity price in auxiliary service market, where the annual average power outage duration is equal to the product of the average repair time and annual average number of failures. The annual average number of faults, average failure handling cost and average repair times refer to [24].</w:t>
      </w:r>
    </w:p>
    <w:p w14:paraId="491C138D" w14:textId="417C8BC6" w:rsidR="00275DB5" w:rsidRPr="006815A8" w:rsidRDefault="00275DB5" w:rsidP="002700F7">
      <w:pPr>
        <w:tabs>
          <w:tab w:val="center" w:pos="2310"/>
          <w:tab w:val="right" w:pos="4620"/>
        </w:tabs>
        <w:snapToGrid w:val="0"/>
        <w:jc w:val="right"/>
        <w:textAlignment w:val="center"/>
      </w:pPr>
      <w:r w:rsidRPr="006815A8">
        <w:tab/>
      </w:r>
      <w:r w:rsidR="009A374A" w:rsidRPr="006815A8">
        <w:object w:dxaOrig="2280" w:dyaOrig="600" w14:anchorId="40410201">
          <v:shape id="_x0000_i1027" type="#_x0000_t75" style="width:114.1pt;height:29.05pt" o:ole="">
            <v:imagedata r:id="rId12" o:title=""/>
          </v:shape>
          <o:OLEObject Type="Embed" ProgID="Equation.DSMT4" ShapeID="_x0000_i1027" DrawAspect="Content" ObjectID="_1728905143" r:id="rId13"/>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3</w:instrText>
        </w:r>
      </w:fldSimple>
      <w:r w:rsidRPr="006815A8">
        <w:instrText>)</w:instrText>
      </w:r>
      <w:r w:rsidRPr="006815A8">
        <w:fldChar w:fldCharType="end"/>
      </w:r>
    </w:p>
    <w:p w14:paraId="31FBBE7E" w14:textId="31981CF4" w:rsidR="00275DB5" w:rsidRPr="00DC0FAC" w:rsidRDefault="00275DB5" w:rsidP="00275DB5">
      <w:pPr>
        <w:pStyle w:val="2"/>
        <w:rPr>
          <w:color w:val="000000" w:themeColor="text1"/>
        </w:rPr>
      </w:pPr>
      <w:r w:rsidRPr="00275DB5">
        <w:rPr>
          <w:color w:val="000000" w:themeColor="text1"/>
        </w:rPr>
        <w:t>Decommissioning Disposal Cost</w:t>
      </w:r>
    </w:p>
    <w:p w14:paraId="654B1285" w14:textId="018FCEEB" w:rsidR="00275DB5" w:rsidRPr="006815A8" w:rsidRDefault="00B57D1E" w:rsidP="00B57D1E">
      <w:pPr>
        <w:ind w:firstLineChars="100" w:firstLine="200"/>
        <w:jc w:val="both"/>
      </w:pPr>
      <w:r w:rsidRPr="00B57D1E">
        <w:t>The decommissioning disposal cost is occurred to dispose and recycle battery energy storage equipment harmlessly at the end of its entire life cycle</w:t>
      </w:r>
      <w:r w:rsidRPr="00B57D1E">
        <w:rPr>
          <w:rFonts w:hint="eastAsia"/>
        </w:rPr>
        <w:t>.</w:t>
      </w:r>
      <w:r w:rsidRPr="00B57D1E">
        <w:t xml:space="preserve"> The lithium iron phosphate battery used in this paper does not contain heavy metal elements such as Pb, Cd, and Hg, which harm the environment, so the corresponding environmentally harmless disposal costs are slightly low. The specific model is shown below.</w:t>
      </w:r>
    </w:p>
    <w:p w14:paraId="0C12554E" w14:textId="7921E56C" w:rsidR="00275DB5" w:rsidRPr="006815A8" w:rsidRDefault="00275DB5" w:rsidP="002700F7">
      <w:pPr>
        <w:tabs>
          <w:tab w:val="center" w:pos="2310"/>
          <w:tab w:val="right" w:pos="4620"/>
        </w:tabs>
        <w:snapToGrid w:val="0"/>
        <w:jc w:val="right"/>
        <w:textAlignment w:val="center"/>
      </w:pPr>
      <w:r w:rsidRPr="006815A8">
        <w:tab/>
      </w:r>
      <w:r w:rsidRPr="006815A8">
        <w:object w:dxaOrig="3435" w:dyaOrig="555" w14:anchorId="2C9722FA">
          <v:shape id="_x0000_i1028" type="#_x0000_t75" style="width:171.8pt;height:27.8pt" o:ole="">
            <v:imagedata r:id="rId14" o:title=""/>
          </v:shape>
          <o:OLEObject Type="Embed" ProgID="Equation.DSMT4" ShapeID="_x0000_i1028" DrawAspect="Content" ObjectID="_1728905144" r:id="rId15"/>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4</w:instrText>
        </w:r>
      </w:fldSimple>
      <w:r w:rsidRPr="006815A8">
        <w:instrText>)</w:instrText>
      </w:r>
      <w:r w:rsidRPr="006815A8">
        <w:fldChar w:fldCharType="end"/>
      </w:r>
    </w:p>
    <w:p w14:paraId="3052CADE" w14:textId="77777777" w:rsidR="00B57D1E" w:rsidRPr="00B57D1E" w:rsidRDefault="00B57D1E" w:rsidP="00B57D1E">
      <w:pPr>
        <w:ind w:firstLineChars="100" w:firstLine="200"/>
        <w:jc w:val="both"/>
      </w:pPr>
      <w:r w:rsidRPr="00B57D1E">
        <w:t xml:space="preserve">Based on the above analysis, the LCC model of energy storage </w:t>
      </w:r>
      <w:proofErr w:type="spellStart"/>
      <w:r w:rsidRPr="00B57D1E">
        <w:rPr>
          <w:i/>
          <w:iCs/>
        </w:rPr>
        <w:t>C</w:t>
      </w:r>
      <w:r w:rsidRPr="00B57D1E">
        <w:rPr>
          <w:vertAlign w:val="subscript"/>
        </w:rPr>
        <w:t>lcc</w:t>
      </w:r>
      <w:proofErr w:type="spellEnd"/>
      <w:r w:rsidRPr="00B57D1E">
        <w:t xml:space="preserve"> can be shown as follows:</w:t>
      </w:r>
    </w:p>
    <w:p w14:paraId="04353EE7" w14:textId="240102EB" w:rsidR="00275DB5" w:rsidRPr="006815A8" w:rsidRDefault="00275DB5" w:rsidP="002700F7">
      <w:pPr>
        <w:tabs>
          <w:tab w:val="center" w:pos="2310"/>
          <w:tab w:val="right" w:pos="4620"/>
        </w:tabs>
        <w:snapToGrid w:val="0"/>
        <w:jc w:val="right"/>
        <w:textAlignment w:val="center"/>
      </w:pPr>
      <w:r w:rsidRPr="006815A8">
        <w:tab/>
      </w:r>
      <w:r w:rsidRPr="006815A8">
        <w:object w:dxaOrig="2055" w:dyaOrig="300" w14:anchorId="3D25917C">
          <v:shape id="_x0000_i1029" type="#_x0000_t75" style="width:102.75pt;height:15.15pt" o:ole="">
            <v:imagedata r:id="rId16" o:title=""/>
          </v:shape>
          <o:OLEObject Type="Embed" ProgID="Equation.DSMT4" ShapeID="_x0000_i1029" DrawAspect="Content" ObjectID="_1728905145" r:id="rId17"/>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5</w:instrText>
        </w:r>
      </w:fldSimple>
      <w:r w:rsidRPr="006815A8">
        <w:instrText>)</w:instrText>
      </w:r>
      <w:r w:rsidRPr="006815A8">
        <w:fldChar w:fldCharType="end"/>
      </w:r>
    </w:p>
    <w:p w14:paraId="0376B6DA" w14:textId="507A3945" w:rsidR="00275DB5" w:rsidRPr="00DC0FAC" w:rsidRDefault="00275DB5" w:rsidP="00275DB5">
      <w:pPr>
        <w:pStyle w:val="1"/>
        <w:rPr>
          <w:color w:val="000000" w:themeColor="text1"/>
        </w:rPr>
      </w:pPr>
      <w:r w:rsidRPr="00275DB5">
        <w:rPr>
          <w:color w:val="000000" w:themeColor="text1"/>
        </w:rPr>
        <w:t>The Benefit Model of BESS for Frequency and Peak Regulation</w:t>
      </w:r>
    </w:p>
    <w:p w14:paraId="7281EBB5" w14:textId="08F03BFA" w:rsidR="00275DB5" w:rsidRPr="00DC0FAC" w:rsidRDefault="00275DB5" w:rsidP="00275DB5">
      <w:pPr>
        <w:pStyle w:val="2"/>
        <w:rPr>
          <w:color w:val="000000" w:themeColor="text1"/>
        </w:rPr>
      </w:pPr>
      <w:r>
        <w:rPr>
          <w:color w:val="000000" w:themeColor="text1"/>
        </w:rPr>
        <w:t xml:space="preserve">The </w:t>
      </w:r>
      <w:r w:rsidRPr="00275DB5">
        <w:rPr>
          <w:color w:val="000000" w:themeColor="text1"/>
        </w:rPr>
        <w:t>Benefit Model</w:t>
      </w:r>
      <w:r>
        <w:rPr>
          <w:color w:val="000000" w:themeColor="text1"/>
        </w:rPr>
        <w:t xml:space="preserve"> of BESS for FM</w:t>
      </w:r>
      <w:r w:rsidRPr="00275DB5">
        <w:rPr>
          <w:color w:val="000000" w:themeColor="text1"/>
        </w:rPr>
        <w:t xml:space="preserve"> Considering Unit Loss Reduction </w:t>
      </w:r>
    </w:p>
    <w:p w14:paraId="1E9D04F3" w14:textId="651CE311" w:rsidR="00275DB5" w:rsidRDefault="00B57D1E" w:rsidP="00B57D1E">
      <w:pPr>
        <w:ind w:firstLineChars="100" w:firstLine="200"/>
        <w:jc w:val="both"/>
        <w:rPr>
          <w:color w:val="000000" w:themeColor="text1"/>
        </w:rPr>
      </w:pPr>
      <w:bookmarkStart w:id="15" w:name="OLE_LINK10"/>
      <w:r w:rsidRPr="00B57D1E">
        <w:rPr>
          <w:color w:val="000000" w:themeColor="text1"/>
        </w:rPr>
        <w:t>The benefits of BESS participating in auxiliary frequency modulation include direct and indirect benefits.</w:t>
      </w:r>
    </w:p>
    <w:bookmarkEnd w:id="15"/>
    <w:p w14:paraId="7F5A5A24" w14:textId="20527D0D" w:rsidR="00275DB5" w:rsidRPr="00DC0FAC" w:rsidRDefault="00275DB5" w:rsidP="00275DB5">
      <w:pPr>
        <w:pStyle w:val="3"/>
        <w:rPr>
          <w:color w:val="000000" w:themeColor="text1"/>
        </w:rPr>
      </w:pPr>
      <w:r w:rsidRPr="00275DB5">
        <w:rPr>
          <w:color w:val="000000" w:themeColor="text1"/>
        </w:rPr>
        <w:t>Direct benefits of FM mileage compensation</w:t>
      </w:r>
    </w:p>
    <w:p w14:paraId="49112112" w14:textId="0F355892" w:rsidR="00275DB5" w:rsidRPr="006815A8" w:rsidRDefault="003C7612" w:rsidP="003C7612">
      <w:pPr>
        <w:ind w:firstLineChars="100" w:firstLine="200"/>
        <w:jc w:val="both"/>
        <w:rPr>
          <w:rFonts w:eastAsia="等线"/>
        </w:rPr>
      </w:pPr>
      <w:bookmarkStart w:id="16" w:name="_Hlk78880904"/>
      <w:r w:rsidRPr="003C7612">
        <w:rPr>
          <w:rFonts w:eastAsia="等线"/>
        </w:rPr>
        <w:t>The direct benefits of FM market compensation are divided into the income of FM mileage compensation and the income of AGC capacity compensation. All generation units providing qualified AGC services can obtain corresponding AGC capacity compensation income. However, the deployed BESS is expected to have little impact on the AGC capacity compensation income. The increase of FM income mainly results from FM mileage compensation income. Hence, the benefits model of BESS only considers FM mileage compensation income, which is affected by FM mileage, FM performance indicators and mileage settlement price. The calculation model is:</w:t>
      </w:r>
    </w:p>
    <w:p w14:paraId="312E9E49" w14:textId="45CE93E4" w:rsidR="00275DB5" w:rsidRPr="006815A8" w:rsidRDefault="00275DB5" w:rsidP="002700F7">
      <w:pPr>
        <w:tabs>
          <w:tab w:val="center" w:pos="2310"/>
          <w:tab w:val="right" w:pos="4620"/>
        </w:tabs>
        <w:snapToGrid w:val="0"/>
        <w:jc w:val="right"/>
        <w:textAlignment w:val="center"/>
      </w:pPr>
      <w:r w:rsidRPr="006815A8">
        <w:tab/>
      </w:r>
      <w:r w:rsidRPr="006815A8">
        <w:object w:dxaOrig="1500" w:dyaOrig="555" w14:anchorId="1419F615">
          <v:shape id="_x0000_i1030" type="#_x0000_t75" style="width:75.35pt;height:27.8pt" o:ole="">
            <v:imagedata r:id="rId18" o:title=""/>
          </v:shape>
          <o:OLEObject Type="Embed" ProgID="Equation.DSMT4" ShapeID="_x0000_i1030" DrawAspect="Content" ObjectID="_1728905146" r:id="rId19"/>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6</w:instrText>
        </w:r>
      </w:fldSimple>
      <w:r w:rsidRPr="006815A8">
        <w:instrText>)</w:instrText>
      </w:r>
      <w:r w:rsidRPr="006815A8">
        <w:fldChar w:fldCharType="end"/>
      </w:r>
    </w:p>
    <w:p w14:paraId="647B1BD4" w14:textId="7F146DA3" w:rsidR="00275DB5" w:rsidRPr="006815A8" w:rsidRDefault="009A0F68" w:rsidP="00275DB5">
      <w:pPr>
        <w:jc w:val="both"/>
        <w:rPr>
          <w:rFonts w:eastAsia="等线"/>
        </w:rPr>
      </w:pPr>
      <w:r>
        <w:rPr>
          <w:rFonts w:eastAsia="等线"/>
        </w:rPr>
        <w:t>w</w:t>
      </w:r>
      <w:r w:rsidR="00275DB5" w:rsidRPr="006815A8">
        <w:rPr>
          <w:rFonts w:eastAsia="等线"/>
        </w:rPr>
        <w:t>here</w:t>
      </w:r>
      <w:r w:rsidR="007F5A62">
        <w:rPr>
          <w:rFonts w:eastAsia="等线"/>
        </w:rPr>
        <w:t xml:space="preserve"> </w:t>
      </w:r>
      <w:proofErr w:type="spellStart"/>
      <w:r w:rsidR="00275DB5" w:rsidRPr="006815A8">
        <w:rPr>
          <w:i/>
        </w:rPr>
        <w:t>K</w:t>
      </w:r>
      <w:r w:rsidR="00275DB5" w:rsidRPr="006815A8">
        <w:rPr>
          <w:vertAlign w:val="subscript"/>
        </w:rPr>
        <w:t>Ap</w:t>
      </w:r>
      <w:proofErr w:type="spellEnd"/>
      <w:r w:rsidR="00275DB5" w:rsidRPr="006815A8">
        <w:rPr>
          <w:rFonts w:eastAsia="等线"/>
        </w:rPr>
        <w:t xml:space="preserve"> </w:t>
      </w:r>
      <w:r w:rsidR="00C952A7">
        <w:rPr>
          <w:rFonts w:eastAsia="等线"/>
        </w:rPr>
        <w:t>is</w:t>
      </w:r>
      <w:r w:rsidR="00275DB5" w:rsidRPr="006815A8">
        <w:rPr>
          <w:rFonts w:eastAsia="等线"/>
        </w:rPr>
        <w:t xml:space="preserve"> equal to the product of regulation rate, regulation accuracy and response time</w:t>
      </w:r>
      <w:r w:rsidR="00275DB5">
        <w:rPr>
          <w:rFonts w:eastAsia="等线"/>
        </w:rPr>
        <w:t xml:space="preserve"> </w:t>
      </w:r>
      <w:r w:rsidR="00275DB5" w:rsidRPr="006815A8">
        <w:rPr>
          <w:rFonts w:eastAsia="等线"/>
          <w:vertAlign w:val="superscript"/>
        </w:rPr>
        <w:t>[1</w:t>
      </w:r>
      <w:r w:rsidR="00BD08BC">
        <w:rPr>
          <w:rFonts w:eastAsia="等线"/>
          <w:vertAlign w:val="superscript"/>
        </w:rPr>
        <w:t>6</w:t>
      </w:r>
      <w:r w:rsidR="00275DB5" w:rsidRPr="006815A8">
        <w:rPr>
          <w:rFonts w:eastAsia="等线"/>
          <w:vertAlign w:val="superscript"/>
        </w:rPr>
        <w:t>]</w:t>
      </w:r>
      <w:r w:rsidR="00275DB5" w:rsidRPr="006815A8">
        <w:rPr>
          <w:rFonts w:eastAsia="等线"/>
        </w:rPr>
        <w:t xml:space="preserve">. </w:t>
      </w:r>
    </w:p>
    <w:p w14:paraId="689B07F2" w14:textId="13813E29" w:rsidR="0006216A" w:rsidRPr="00DC0FAC" w:rsidRDefault="0024143B" w:rsidP="0006216A">
      <w:pPr>
        <w:pStyle w:val="3"/>
        <w:rPr>
          <w:color w:val="000000" w:themeColor="text1"/>
        </w:rPr>
      </w:pPr>
      <w:bookmarkStart w:id="17" w:name="_Hlk78880942"/>
      <w:bookmarkEnd w:id="16"/>
      <w:r>
        <w:rPr>
          <w:color w:val="000000" w:themeColor="text1"/>
        </w:rPr>
        <w:lastRenderedPageBreak/>
        <w:t>I</w:t>
      </w:r>
      <w:r w:rsidR="00CE25B1" w:rsidRPr="00CE25B1">
        <w:rPr>
          <w:color w:val="000000" w:themeColor="text1"/>
        </w:rPr>
        <w:t>ndirect benefits of unit loss cost</w:t>
      </w:r>
      <w:r w:rsidR="004C2FC6">
        <w:rPr>
          <w:color w:val="000000" w:themeColor="text1"/>
        </w:rPr>
        <w:t xml:space="preserve"> reduction</w:t>
      </w:r>
    </w:p>
    <w:p w14:paraId="19AC10FC" w14:textId="492C2CCC" w:rsidR="00CE25B1" w:rsidRPr="006815A8" w:rsidRDefault="003C7612" w:rsidP="003C7612">
      <w:pPr>
        <w:ind w:firstLineChars="100" w:firstLine="200"/>
        <w:jc w:val="both"/>
        <w:rPr>
          <w:rFonts w:eastAsia="等线"/>
        </w:rPr>
      </w:pPr>
      <w:bookmarkStart w:id="18" w:name="_Hlk78880998"/>
      <w:bookmarkEnd w:id="17"/>
      <w:r w:rsidRPr="003C7612">
        <w:rPr>
          <w:rFonts w:eastAsia="等线"/>
        </w:rPr>
        <w:t>The participation of BESS in thermal power plants in frequency regulation can reduce the fatigue loss of turbine rotors and other core components caused by the continuous variable load operation, and extend the service life of the units [25]. In this paper, we assume that the benefits from the units in their extended service life are the indirect benefits of BESS.</w:t>
      </w:r>
    </w:p>
    <w:p w14:paraId="2F6DE44E" w14:textId="635529C9" w:rsidR="003C7612" w:rsidRPr="003C7612" w:rsidRDefault="003C7612" w:rsidP="003C7612">
      <w:pPr>
        <w:ind w:firstLineChars="100" w:firstLine="200"/>
        <w:jc w:val="both"/>
      </w:pPr>
      <w:r w:rsidRPr="003C7612">
        <w:t xml:space="preserve">Since the calculation of the turbine rotor life is complicated, there is no recognized calculation formula in the current research. In this work, in the light of the </w:t>
      </w:r>
      <w:proofErr w:type="spellStart"/>
      <w:r w:rsidRPr="003C7612">
        <w:t>Δ</w:t>
      </w:r>
      <w:r w:rsidRPr="003C7612">
        <w:rPr>
          <w:i/>
          <w:iCs/>
        </w:rPr>
        <w:t>ε</w:t>
      </w:r>
      <w:proofErr w:type="spellEnd"/>
      <w:r w:rsidRPr="003C7612">
        <w:t>-</w:t>
      </w:r>
      <w:r w:rsidRPr="003C7612">
        <w:rPr>
          <w:i/>
          <w:iCs/>
        </w:rPr>
        <w:t>N</w:t>
      </w:r>
      <w:r w:rsidRPr="003C7612">
        <w:t xml:space="preserve"> low cycle fatigue characteristic relationship of rotor material, we firstly calculate the low cycle fatigue life loss, and then obtain the extended operating life of the unit resulting from the configuration of energy storage. Lastly, we quantify the benefit from the power plant in its extended service life, which is the indirect benefits of the reduction in unit loss.</w:t>
      </w:r>
    </w:p>
    <w:p w14:paraId="1BD2AD63" w14:textId="5530EA25" w:rsidR="00CE25B1" w:rsidRPr="003C7612" w:rsidRDefault="003C7612" w:rsidP="003C7612">
      <w:pPr>
        <w:ind w:firstLineChars="100" w:firstLine="200"/>
        <w:jc w:val="both"/>
      </w:pPr>
      <w:r w:rsidRPr="003C7612">
        <w:t>The Manson-coffin formula describes the relation between the total strain amplitude and the number of rotors fracturing cycles, and their functional relationship is:</w:t>
      </w:r>
    </w:p>
    <w:p w14:paraId="7C52686E" w14:textId="72CC42F6" w:rsidR="00CE25B1" w:rsidRPr="006815A8" w:rsidRDefault="00CE25B1" w:rsidP="002700F7">
      <w:pPr>
        <w:tabs>
          <w:tab w:val="center" w:pos="2310"/>
          <w:tab w:val="right" w:pos="4620"/>
        </w:tabs>
        <w:snapToGrid w:val="0"/>
        <w:jc w:val="right"/>
        <w:textAlignment w:val="center"/>
      </w:pPr>
      <w:r w:rsidRPr="006815A8">
        <w:tab/>
      </w:r>
      <w:r w:rsidRPr="006815A8">
        <w:object w:dxaOrig="2040" w:dyaOrig="555" w14:anchorId="2C86FAC2">
          <v:shape id="_x0000_i1031" type="#_x0000_t75" style="width:101.9pt;height:27.8pt" o:ole="">
            <v:imagedata r:id="rId20" o:title=""/>
          </v:shape>
          <o:OLEObject Type="Embed" ProgID="Equation.DSMT4" ShapeID="_x0000_i1031" DrawAspect="Content" ObjectID="_1728905147" r:id="rId21"/>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7</w:instrText>
        </w:r>
      </w:fldSimple>
      <w:r w:rsidRPr="006815A8">
        <w:instrText>)</w:instrText>
      </w:r>
      <w:r w:rsidRPr="006815A8">
        <w:fldChar w:fldCharType="end"/>
      </w:r>
    </w:p>
    <w:p w14:paraId="007D5061" w14:textId="00921DFC" w:rsidR="00CE25B1" w:rsidRPr="006815A8" w:rsidRDefault="00CE25B1" w:rsidP="00CE25B1">
      <w:pPr>
        <w:jc w:val="both"/>
        <w:rPr>
          <w:lang w:val="en"/>
        </w:rPr>
      </w:pPr>
      <w:r w:rsidRPr="006815A8">
        <w:rPr>
          <w:lang w:val="en"/>
        </w:rPr>
        <w:t xml:space="preserve">where </w:t>
      </w:r>
      <w:r w:rsidR="008F43FF">
        <w:rPr>
          <w:lang w:val="en"/>
        </w:rPr>
        <w:t>p</w:t>
      </w:r>
      <w:r w:rsidRPr="006815A8">
        <w:rPr>
          <w:lang w:val="en"/>
        </w:rPr>
        <w:t xml:space="preserve">arameters refer </w:t>
      </w:r>
      <w:r w:rsidR="00AD54E4" w:rsidRPr="006815A8">
        <w:rPr>
          <w:lang w:val="en"/>
        </w:rPr>
        <w:t>to [</w:t>
      </w:r>
      <w:r w:rsidRPr="006815A8">
        <w:rPr>
          <w:lang w:val="en"/>
        </w:rPr>
        <w:t>2</w:t>
      </w:r>
      <w:r w:rsidR="002D2A51">
        <w:rPr>
          <w:lang w:val="en"/>
        </w:rPr>
        <w:t>6</w:t>
      </w:r>
      <w:r w:rsidRPr="006815A8">
        <w:rPr>
          <w:lang w:val="en"/>
        </w:rPr>
        <w:t>].</w:t>
      </w:r>
    </w:p>
    <w:p w14:paraId="76ACD226" w14:textId="5E9264C3" w:rsidR="003C7612" w:rsidRPr="003C7612" w:rsidRDefault="003C7612" w:rsidP="003C7612">
      <w:pPr>
        <w:ind w:firstLineChars="100" w:firstLine="200"/>
        <w:jc w:val="both"/>
        <w:rPr>
          <w:rFonts w:eastAsia="等线"/>
        </w:rPr>
      </w:pPr>
      <w:r w:rsidRPr="003C7612">
        <w:rPr>
          <w:rFonts w:eastAsia="等线"/>
        </w:rPr>
        <w:t>We use the finite element calculation software ANSYS to calculate the rotor thermal stress and the centrifugal tangential stress at the time when the unit is generating, to calculate the total strain amplitude of the rotor [27]. And the fracturing cycles can be computed by Manson coffin formula.</w:t>
      </w:r>
    </w:p>
    <w:p w14:paraId="17B33FC6" w14:textId="31307897" w:rsidR="00CE25B1" w:rsidRPr="006815A8" w:rsidRDefault="003C7612" w:rsidP="003C7612">
      <w:pPr>
        <w:ind w:firstLineChars="100" w:firstLine="200"/>
        <w:jc w:val="both"/>
        <w:rPr>
          <w:rFonts w:eastAsia="等线"/>
        </w:rPr>
      </w:pPr>
      <w:r w:rsidRPr="003C7612">
        <w:rPr>
          <w:rFonts w:eastAsia="等线"/>
        </w:rPr>
        <w:t>The relationship between the low cycle fatigue life loss and the number of rotors fracturing cycles is:</w:t>
      </w:r>
    </w:p>
    <w:p w14:paraId="52A250B7" w14:textId="57419485" w:rsidR="00CE25B1" w:rsidRPr="006815A8" w:rsidRDefault="00CE25B1" w:rsidP="002700F7">
      <w:pPr>
        <w:tabs>
          <w:tab w:val="center" w:pos="2310"/>
          <w:tab w:val="right" w:pos="4620"/>
        </w:tabs>
        <w:snapToGrid w:val="0"/>
        <w:jc w:val="right"/>
        <w:textAlignment w:val="center"/>
      </w:pPr>
      <w:r w:rsidRPr="006815A8">
        <w:tab/>
      </w:r>
      <w:r w:rsidRPr="006815A8">
        <w:object w:dxaOrig="1125" w:dyaOrig="315" w14:anchorId="514EBDF1">
          <v:shape id="_x0000_i1032" type="#_x0000_t75" style="width:56pt;height:16pt" o:ole="">
            <v:imagedata r:id="rId22" o:title=""/>
          </v:shape>
          <o:OLEObject Type="Embed" ProgID="Equation.DSMT4" ShapeID="_x0000_i1032" DrawAspect="Content" ObjectID="_1728905148" r:id="rId23"/>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8</w:instrText>
        </w:r>
      </w:fldSimple>
      <w:r w:rsidRPr="006815A8">
        <w:instrText>)</w:instrText>
      </w:r>
      <w:r w:rsidRPr="006815A8">
        <w:fldChar w:fldCharType="end"/>
      </w:r>
    </w:p>
    <w:p w14:paraId="5C6279A5" w14:textId="7D0B75BF" w:rsidR="00CE25B1" w:rsidRPr="006815A8" w:rsidRDefault="003C7612" w:rsidP="003C7612">
      <w:pPr>
        <w:ind w:firstLineChars="100" w:firstLine="200"/>
        <w:jc w:val="both"/>
        <w:rPr>
          <w:rFonts w:eastAsia="等线"/>
        </w:rPr>
      </w:pPr>
      <w:r w:rsidRPr="003C7612">
        <w:rPr>
          <w:rFonts w:eastAsia="等线"/>
        </w:rPr>
        <w:t xml:space="preserve">According to the calculated cumulative fatigue life loss [28], the prediction of the remaining operational life </w:t>
      </w:r>
      <w:r w:rsidRPr="003C7612">
        <w:rPr>
          <w:rFonts w:eastAsia="等线"/>
          <w:i/>
          <w:iCs/>
        </w:rPr>
        <w:t>A</w:t>
      </w:r>
      <w:r w:rsidRPr="003C7612">
        <w:rPr>
          <w:rFonts w:eastAsia="等线"/>
        </w:rPr>
        <w:t xml:space="preserve"> of the thermal power unit is given by (9):</w:t>
      </w:r>
    </w:p>
    <w:p w14:paraId="48E19E5C" w14:textId="24C2B00E" w:rsidR="00CE25B1" w:rsidRPr="006815A8" w:rsidRDefault="00CE25B1" w:rsidP="002700F7">
      <w:pPr>
        <w:tabs>
          <w:tab w:val="center" w:pos="2310"/>
          <w:tab w:val="right" w:pos="4620"/>
        </w:tabs>
        <w:snapToGrid w:val="0"/>
        <w:jc w:val="right"/>
        <w:textAlignment w:val="center"/>
      </w:pPr>
      <w:r w:rsidRPr="006815A8">
        <w:tab/>
      </w:r>
      <w:r w:rsidRPr="006815A8">
        <w:object w:dxaOrig="150" w:dyaOrig="225" w14:anchorId="54D99BBE">
          <v:shape id="_x0000_i1033" type="#_x0000_t75" style="width:8.85pt;height:11.35pt" o:ole="">
            <v:imagedata r:id="rId24" o:title=""/>
          </v:shape>
          <o:OLEObject Type="Embed" ProgID="Equation.DSMT4" ShapeID="_x0000_i1033" DrawAspect="Content" ObjectID="_1728905149" r:id="rId25"/>
        </w:object>
      </w:r>
      <w:r w:rsidRPr="006815A8">
        <w:object w:dxaOrig="1665" w:dyaOrig="315" w14:anchorId="3B38B605">
          <v:shape id="_x0000_i1034" type="#_x0000_t75" style="width:83.35pt;height:16pt" o:ole="">
            <v:imagedata r:id="rId26" o:title=""/>
          </v:shape>
          <o:OLEObject Type="Embed" ProgID="Equation.DSMT4" ShapeID="_x0000_i1034" DrawAspect="Content" ObjectID="_1728905150" r:id="rId27"/>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9</w:instrText>
        </w:r>
      </w:fldSimple>
      <w:r w:rsidRPr="006815A8">
        <w:instrText>)</w:instrText>
      </w:r>
      <w:r w:rsidRPr="006815A8">
        <w:fldChar w:fldCharType="end"/>
      </w:r>
    </w:p>
    <w:p w14:paraId="40924369" w14:textId="5D1375C0" w:rsidR="003C7612" w:rsidRPr="003C7612" w:rsidRDefault="003C7612" w:rsidP="003C7612">
      <w:pPr>
        <w:jc w:val="both"/>
        <w:rPr>
          <w:rFonts w:eastAsia="等线"/>
          <w:lang w:val="en"/>
        </w:rPr>
      </w:pPr>
      <w:r w:rsidRPr="003C7612">
        <w:rPr>
          <w:rFonts w:eastAsia="等线"/>
          <w:lang w:val="en"/>
        </w:rPr>
        <w:t xml:space="preserve">where </w:t>
      </w:r>
      <w:r w:rsidRPr="003C7612">
        <w:rPr>
          <w:rFonts w:eastAsia="等线"/>
          <w:i/>
          <w:iCs/>
          <w:lang w:val="en"/>
        </w:rPr>
        <w:t>A</w:t>
      </w:r>
      <w:r w:rsidRPr="003C7612">
        <w:rPr>
          <w:rFonts w:eastAsia="等线"/>
          <w:vertAlign w:val="subscript"/>
          <w:lang w:val="en"/>
        </w:rPr>
        <w:t>1</w:t>
      </w:r>
      <w:r w:rsidRPr="003C7612">
        <w:rPr>
          <w:rFonts w:eastAsia="等线"/>
          <w:lang w:val="en"/>
        </w:rPr>
        <w:t xml:space="preserve"> is the time that the unit has been in operation.</w:t>
      </w:r>
    </w:p>
    <w:p w14:paraId="22DB65EE" w14:textId="77777777" w:rsidR="003C7612" w:rsidRPr="003C7612" w:rsidRDefault="003C7612" w:rsidP="003C7612">
      <w:pPr>
        <w:ind w:firstLineChars="100" w:firstLine="200"/>
        <w:jc w:val="both"/>
        <w:rPr>
          <w:rFonts w:eastAsia="等线"/>
          <w:lang w:val="en"/>
        </w:rPr>
      </w:pPr>
      <w:r w:rsidRPr="003C7612">
        <w:rPr>
          <w:rFonts w:eastAsia="等线"/>
          <w:lang w:val="en"/>
        </w:rPr>
        <w:t>The difference between the remaining operational life of units before and after the deployment of BESS is Δ</w:t>
      </w:r>
      <w:r w:rsidRPr="003C7612">
        <w:rPr>
          <w:rFonts w:eastAsia="等线"/>
          <w:i/>
          <w:iCs/>
          <w:lang w:val="en"/>
        </w:rPr>
        <w:t>A</w:t>
      </w:r>
      <w:r w:rsidRPr="003C7612">
        <w:rPr>
          <w:rFonts w:eastAsia="等线"/>
          <w:lang w:val="en"/>
        </w:rPr>
        <w:t>, which is the extended operating life of units resulting from BESS.</w:t>
      </w:r>
    </w:p>
    <w:p w14:paraId="55E21C0C" w14:textId="77777777" w:rsidR="003C7612" w:rsidRPr="003C7612" w:rsidRDefault="003C7612" w:rsidP="003C7612">
      <w:pPr>
        <w:ind w:firstLineChars="100" w:firstLine="200"/>
        <w:jc w:val="both"/>
        <w:rPr>
          <w:rFonts w:eastAsia="等线"/>
          <w:lang w:val="en"/>
        </w:rPr>
      </w:pPr>
      <w:r w:rsidRPr="003C7612">
        <w:rPr>
          <w:rFonts w:eastAsia="等线"/>
          <w:lang w:val="en"/>
        </w:rPr>
        <w:t>Then the indirect benefit of BESS from the reduction in unit loss can be calculated as follows:</w:t>
      </w:r>
    </w:p>
    <w:p w14:paraId="106FBC41" w14:textId="6CBA681A" w:rsidR="00CE25B1" w:rsidRPr="006815A8" w:rsidRDefault="00CE25B1" w:rsidP="002700F7">
      <w:pPr>
        <w:tabs>
          <w:tab w:val="center" w:pos="2310"/>
          <w:tab w:val="right" w:pos="4620"/>
        </w:tabs>
        <w:snapToGrid w:val="0"/>
        <w:jc w:val="right"/>
        <w:textAlignment w:val="center"/>
      </w:pPr>
      <w:r w:rsidRPr="006815A8">
        <w:tab/>
      </w:r>
      <w:r w:rsidRPr="006815A8">
        <w:object w:dxaOrig="2175" w:dyaOrig="570" w14:anchorId="09ABAA2C">
          <v:shape id="_x0000_i1035" type="#_x0000_t75" style="width:109.05pt;height:27.8pt" o:ole="">
            <v:imagedata r:id="rId28" o:title=""/>
          </v:shape>
          <o:OLEObject Type="Embed" ProgID="Equation.DSMT4" ShapeID="_x0000_i1035" DrawAspect="Content" ObjectID="_1728905151" r:id="rId29"/>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10</w:instrText>
        </w:r>
      </w:fldSimple>
      <w:r w:rsidRPr="006815A8">
        <w:instrText>)</w:instrText>
      </w:r>
      <w:r w:rsidRPr="006815A8">
        <w:fldChar w:fldCharType="end"/>
      </w:r>
    </w:p>
    <w:p w14:paraId="703C1042" w14:textId="5C606292" w:rsidR="00CE25B1" w:rsidRPr="006815A8" w:rsidRDefault="00CE25B1" w:rsidP="00CE25B1">
      <w:pPr>
        <w:ind w:firstLineChars="100" w:firstLine="200"/>
        <w:jc w:val="both"/>
        <w:rPr>
          <w:rFonts w:eastAsia="等线"/>
        </w:rPr>
      </w:pPr>
      <w:r w:rsidRPr="006815A8">
        <w:rPr>
          <w:rFonts w:eastAsia="等线"/>
        </w:rPr>
        <w:t xml:space="preserve">The </w:t>
      </w:r>
      <w:r>
        <w:rPr>
          <w:rFonts w:eastAsia="等线"/>
        </w:rPr>
        <w:t xml:space="preserve">complete </w:t>
      </w:r>
      <w:r w:rsidRPr="006815A8">
        <w:rPr>
          <w:rFonts w:eastAsia="等线"/>
        </w:rPr>
        <w:t xml:space="preserve">calculation </w:t>
      </w:r>
      <w:r>
        <w:rPr>
          <w:rFonts w:eastAsia="等线"/>
        </w:rPr>
        <w:t>process</w:t>
      </w:r>
      <w:r w:rsidRPr="006815A8">
        <w:rPr>
          <w:rFonts w:eastAsia="等线"/>
        </w:rPr>
        <w:t xml:space="preserve"> is shown in Fig</w:t>
      </w:r>
      <w:r w:rsidR="00592FB2">
        <w:rPr>
          <w:rFonts w:eastAsia="等线"/>
        </w:rPr>
        <w:t>.</w:t>
      </w:r>
      <w:r w:rsidRPr="006815A8">
        <w:rPr>
          <w:rFonts w:eastAsia="等线"/>
        </w:rPr>
        <w:t xml:space="preserve"> 1.</w:t>
      </w:r>
    </w:p>
    <w:p w14:paraId="1E7E5EA4" w14:textId="1D0DEEC7" w:rsidR="00CE25B1" w:rsidRPr="00DC0FAC" w:rsidRDefault="0024143B" w:rsidP="00CE25B1">
      <w:pPr>
        <w:pStyle w:val="3"/>
        <w:rPr>
          <w:color w:val="000000" w:themeColor="text1"/>
        </w:rPr>
      </w:pPr>
      <w:bookmarkStart w:id="19" w:name="_Hlk78881017"/>
      <w:bookmarkEnd w:id="18"/>
      <w:r>
        <w:rPr>
          <w:color w:val="000000" w:themeColor="text1"/>
        </w:rPr>
        <w:t>I</w:t>
      </w:r>
      <w:r w:rsidR="00CE25B1" w:rsidRPr="00CE25B1">
        <w:rPr>
          <w:color w:val="000000" w:themeColor="text1"/>
        </w:rPr>
        <w:t xml:space="preserve">ndirect benefits of fuel cost </w:t>
      </w:r>
      <w:r w:rsidR="00F23ABB">
        <w:rPr>
          <w:color w:val="000000" w:themeColor="text1"/>
        </w:rPr>
        <w:t>reduction</w:t>
      </w:r>
    </w:p>
    <w:p w14:paraId="5CA060E6" w14:textId="246C3A28" w:rsidR="00A17A30" w:rsidRPr="006815A8" w:rsidRDefault="003C7612" w:rsidP="003C7612">
      <w:pPr>
        <w:ind w:firstLineChars="100" w:firstLine="200"/>
        <w:jc w:val="both"/>
        <w:rPr>
          <w:rFonts w:eastAsia="等线"/>
        </w:rPr>
      </w:pPr>
      <w:bookmarkStart w:id="20" w:name="_Hlk78881035"/>
      <w:bookmarkEnd w:id="19"/>
      <w:r w:rsidRPr="003C7612">
        <w:rPr>
          <w:rFonts w:eastAsia="等线"/>
        </w:rPr>
        <w:t>The participation of BESS in frequency regulation can reduce the output of thermal power units. The corresponding reduced fuel cost is the benefit of BESS for frequency regulation, which is calculated:</w:t>
      </w:r>
    </w:p>
    <w:p w14:paraId="0FB2342B" w14:textId="7DFEC675" w:rsidR="00A17A30" w:rsidRDefault="00A17A30" w:rsidP="002700F7">
      <w:pPr>
        <w:tabs>
          <w:tab w:val="center" w:pos="2310"/>
          <w:tab w:val="right" w:pos="4620"/>
        </w:tabs>
        <w:snapToGrid w:val="0"/>
        <w:jc w:val="right"/>
        <w:textAlignment w:val="center"/>
      </w:pPr>
      <w:r w:rsidRPr="006815A8">
        <w:tab/>
      </w:r>
      <w:r w:rsidRPr="006815A8">
        <w:object w:dxaOrig="1575" w:dyaOrig="555" w14:anchorId="3CE29CA6">
          <v:shape id="_x0000_i1036" type="#_x0000_t75" style="width:78.3pt;height:27.8pt" o:ole="">
            <v:imagedata r:id="rId30" o:title=""/>
          </v:shape>
          <o:OLEObject Type="Embed" ProgID="Equation.DSMT4" ShapeID="_x0000_i1036" DrawAspect="Content" ObjectID="_1728905152" r:id="rId31"/>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11</w:instrText>
        </w:r>
      </w:fldSimple>
      <w:r w:rsidRPr="006815A8">
        <w:instrText>)</w:instrText>
      </w:r>
      <w:r w:rsidRPr="006815A8">
        <w:fldChar w:fldCharType="end"/>
      </w:r>
    </w:p>
    <w:p w14:paraId="3EC6BA6D" w14:textId="77777777" w:rsidR="00A3017B" w:rsidRPr="00DC0FAC" w:rsidRDefault="00A3017B" w:rsidP="00A3017B">
      <w:pPr>
        <w:pStyle w:val="3"/>
        <w:rPr>
          <w:color w:val="000000" w:themeColor="text1"/>
        </w:rPr>
      </w:pPr>
      <w:bookmarkStart w:id="21" w:name="_Hlk78881068"/>
      <w:bookmarkEnd w:id="20"/>
      <w:r>
        <w:rPr>
          <w:color w:val="000000" w:themeColor="text1"/>
        </w:rPr>
        <w:t>I</w:t>
      </w:r>
      <w:r w:rsidRPr="00A17A30">
        <w:rPr>
          <w:color w:val="000000" w:themeColor="text1"/>
        </w:rPr>
        <w:t>ndirect benefits of pollution emission cost</w:t>
      </w:r>
      <w:r>
        <w:rPr>
          <w:color w:val="000000" w:themeColor="text1"/>
        </w:rPr>
        <w:t xml:space="preserve"> reduction</w:t>
      </w:r>
      <w:bookmarkEnd w:id="21"/>
    </w:p>
    <w:p w14:paraId="7F28DA36" w14:textId="18198413" w:rsidR="003C7612" w:rsidRPr="003C7612" w:rsidRDefault="003C7612" w:rsidP="003C7612">
      <w:pPr>
        <w:ind w:firstLineChars="100" w:firstLine="200"/>
        <w:jc w:val="both"/>
      </w:pPr>
      <w:bookmarkStart w:id="22" w:name="_Hlk78881087"/>
      <w:r w:rsidRPr="003C7612">
        <w:t>The participation of BESS in frequency regulation can reduce the output of thermal power units, thereby</w:t>
      </w:r>
      <w:r w:rsidRPr="003C7612" w:rsidDel="00F041A8">
        <w:t xml:space="preserve"> </w:t>
      </w:r>
      <w:r w:rsidRPr="003C7612">
        <w:t>reducing greenhouse gas emissions. The corresponding reduced pollution emission cost is the benefit of BESS for frequency regulation, which is calculated as follows:</w:t>
      </w:r>
    </w:p>
    <w:p w14:paraId="68EABEBD" w14:textId="5D4845FF" w:rsidR="00A3017B" w:rsidRDefault="00A3017B" w:rsidP="00A3017B">
      <w:pPr>
        <w:ind w:firstLineChars="100" w:firstLine="200"/>
        <w:jc w:val="both"/>
        <w:rPr>
          <w:lang w:val="en"/>
        </w:rPr>
      </w:pPr>
    </w:p>
    <w:bookmarkStart w:id="23" w:name="_Hlk78897123"/>
    <w:p w14:paraId="4DBCE7F9" w14:textId="77777777" w:rsidR="00592FB2" w:rsidRPr="006815A8" w:rsidRDefault="00592FB2" w:rsidP="00592FB2">
      <w:pPr>
        <w:ind w:firstLineChars="100" w:firstLine="200"/>
        <w:jc w:val="center"/>
      </w:pPr>
      <w:r>
        <w:object w:dxaOrig="4035" w:dyaOrig="6991" w14:anchorId="135F6546">
          <v:shape id="_x0000_i1037" type="#_x0000_t75" style="width:201.7pt;height:349.45pt" o:ole="">
            <v:imagedata r:id="rId32" o:title=""/>
          </v:shape>
          <o:OLEObject Type="Embed" ProgID="Visio.Drawing.15" ShapeID="_x0000_i1037" DrawAspect="Content" ObjectID="_1728905153" r:id="rId33"/>
        </w:object>
      </w:r>
      <w:bookmarkEnd w:id="23"/>
    </w:p>
    <w:p w14:paraId="6D15C5E8" w14:textId="601B0435" w:rsidR="00592FB2" w:rsidRPr="00592FB2" w:rsidRDefault="00592FB2" w:rsidP="00592FB2">
      <w:pPr>
        <w:pStyle w:val="a4"/>
        <w:spacing w:afterLines="50" w:after="120"/>
        <w:ind w:firstLine="0"/>
      </w:pPr>
      <w:bookmarkStart w:id="24" w:name="_Hlk78897159"/>
      <w:r w:rsidRPr="002700F7">
        <w:t>Fig.1 The calculation process of indirect benefit calculation process of the unit loss</w:t>
      </w:r>
      <w:r>
        <w:t xml:space="preserve"> reduction</w:t>
      </w:r>
      <w:bookmarkEnd w:id="24"/>
    </w:p>
    <w:p w14:paraId="333201DA" w14:textId="1ABD77C8" w:rsidR="00A3017B" w:rsidRPr="006815A8" w:rsidRDefault="00A3017B" w:rsidP="00A3017B">
      <w:pPr>
        <w:tabs>
          <w:tab w:val="center" w:pos="2310"/>
          <w:tab w:val="right" w:pos="4620"/>
        </w:tabs>
        <w:snapToGrid w:val="0"/>
        <w:jc w:val="right"/>
        <w:textAlignment w:val="center"/>
      </w:pPr>
      <w:r w:rsidRPr="006815A8">
        <w:tab/>
      </w:r>
      <w:r w:rsidR="00467620" w:rsidRPr="006815A8">
        <w:object w:dxaOrig="3019" w:dyaOrig="700" w14:anchorId="02773B7E">
          <v:shape id="_x0000_i1038" type="#_x0000_t75" style="width:119.15pt;height:27.8pt" o:ole="">
            <v:imagedata r:id="rId34" o:title=""/>
          </v:shape>
          <o:OLEObject Type="Embed" ProgID="Equation.DSMT4" ShapeID="_x0000_i1038" DrawAspect="Content" ObjectID="_1728905154" r:id="rId35"/>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12</w:instrText>
        </w:r>
      </w:fldSimple>
      <w:r w:rsidRPr="006815A8">
        <w:instrText>)</w:instrText>
      </w:r>
      <w:r w:rsidRPr="006815A8">
        <w:fldChar w:fldCharType="end"/>
      </w:r>
    </w:p>
    <w:p w14:paraId="1E359793" w14:textId="77777777" w:rsidR="00A3017B" w:rsidRPr="006815A8" w:rsidRDefault="00A3017B" w:rsidP="00A3017B">
      <w:pPr>
        <w:ind w:firstLineChars="100" w:firstLine="200"/>
        <w:jc w:val="both"/>
        <w:rPr>
          <w:rFonts w:eastAsia="等线"/>
        </w:rPr>
      </w:pPr>
      <w:r>
        <w:rPr>
          <w:rFonts w:eastAsia="等线"/>
        </w:rPr>
        <w:t>In summary</w:t>
      </w:r>
      <w:r w:rsidRPr="006815A8">
        <w:rPr>
          <w:rFonts w:eastAsia="等线"/>
        </w:rPr>
        <w:t xml:space="preserve">, the total benefit of </w:t>
      </w:r>
      <w:r>
        <w:rPr>
          <w:rFonts w:eastAsia="等线"/>
        </w:rPr>
        <w:t>BESS</w:t>
      </w:r>
      <w:r w:rsidRPr="006815A8">
        <w:rPr>
          <w:rFonts w:eastAsia="等线"/>
        </w:rPr>
        <w:t xml:space="preserve"> </w:t>
      </w:r>
      <w:r>
        <w:rPr>
          <w:rFonts w:eastAsia="等线"/>
        </w:rPr>
        <w:t>participating in</w:t>
      </w:r>
      <w:r w:rsidRPr="006815A8">
        <w:rPr>
          <w:rFonts w:eastAsia="等线"/>
        </w:rPr>
        <w:t xml:space="preserve"> auxiliary frequency </w:t>
      </w:r>
      <w:r>
        <w:rPr>
          <w:rFonts w:eastAsia="等线"/>
          <w:szCs w:val="21"/>
        </w:rPr>
        <w:t>regulation</w:t>
      </w:r>
      <w:r w:rsidRPr="006815A8">
        <w:rPr>
          <w:rFonts w:eastAsia="等线"/>
        </w:rPr>
        <w:t xml:space="preserve"> service is:</w:t>
      </w:r>
    </w:p>
    <w:p w14:paraId="1281F122" w14:textId="6E2BFA40" w:rsidR="00275DB5" w:rsidRPr="00A3017B" w:rsidRDefault="00806793" w:rsidP="00806793">
      <w:pPr>
        <w:tabs>
          <w:tab w:val="center" w:pos="2310"/>
          <w:tab w:val="right" w:pos="4620"/>
        </w:tabs>
        <w:snapToGrid w:val="0"/>
        <w:jc w:val="right"/>
        <w:textAlignment w:val="center"/>
      </w:pPr>
      <w:r>
        <w:tab/>
      </w:r>
      <w:r w:rsidR="00054FA7" w:rsidRPr="006815A8">
        <w:object w:dxaOrig="2070" w:dyaOrig="315" w14:anchorId="1C9B2691">
          <v:shape id="_x0000_i1039" type="#_x0000_t75" style="width:93.9pt;height:15.15pt" o:ole="">
            <v:imagedata r:id="rId36" o:title=""/>
          </v:shape>
          <o:OLEObject Type="Embed" ProgID="Equation.DSMT4" ShapeID="_x0000_i1039" DrawAspect="Content" ObjectID="_1728905155" r:id="rId37"/>
        </w:object>
      </w:r>
      <w:r w:rsidR="00A3017B" w:rsidRPr="006815A8">
        <w:tab/>
      </w:r>
      <w:r w:rsidR="00A3017B" w:rsidRPr="006815A8">
        <w:fldChar w:fldCharType="begin"/>
      </w:r>
      <w:r w:rsidR="00A3017B" w:rsidRPr="006815A8">
        <w:instrText xml:space="preserve"> MACROBUTTON MTPlaceRef \* MERGEFORMAT </w:instrText>
      </w:r>
      <w:r w:rsidR="00A3017B" w:rsidRPr="006815A8">
        <w:fldChar w:fldCharType="begin"/>
      </w:r>
      <w:r w:rsidR="00A3017B" w:rsidRPr="006815A8">
        <w:instrText xml:space="preserve"> SEQ MTEqn \h \* MERGEFORMAT </w:instrText>
      </w:r>
      <w:r w:rsidR="00A3017B" w:rsidRPr="006815A8">
        <w:fldChar w:fldCharType="end"/>
      </w:r>
      <w:r w:rsidR="00A3017B" w:rsidRPr="006815A8">
        <w:instrText>(</w:instrText>
      </w:r>
      <w:fldSimple w:instr=" SEQ MTEqn \c \* Arabic \* MERGEFORMAT ">
        <w:r w:rsidR="005B1B78">
          <w:rPr>
            <w:noProof/>
          </w:rPr>
          <w:instrText>13</w:instrText>
        </w:r>
      </w:fldSimple>
      <w:r w:rsidR="00A3017B" w:rsidRPr="006815A8">
        <w:instrText>)</w:instrText>
      </w:r>
      <w:r w:rsidR="00A3017B" w:rsidRPr="006815A8">
        <w:fldChar w:fldCharType="end"/>
      </w:r>
    </w:p>
    <w:p w14:paraId="32FCA561" w14:textId="33BB4DAC" w:rsidR="00A17A30" w:rsidRPr="00A17A30" w:rsidRDefault="00A17A30" w:rsidP="00275DB5">
      <w:pPr>
        <w:pStyle w:val="2"/>
        <w:ind w:firstLineChars="100" w:firstLine="200"/>
        <w:jc w:val="both"/>
        <w:rPr>
          <w:color w:val="000000" w:themeColor="text1"/>
        </w:rPr>
      </w:pPr>
      <w:bookmarkStart w:id="25" w:name="_Hlk78881125"/>
      <w:bookmarkEnd w:id="22"/>
      <w:r w:rsidRPr="00A17A30">
        <w:rPr>
          <w:color w:val="000000" w:themeColor="text1"/>
        </w:rPr>
        <w:t>BESS Peak Regulation Benefit Model</w:t>
      </w:r>
      <w:bookmarkEnd w:id="25"/>
      <w:r w:rsidRPr="00A17A30">
        <w:rPr>
          <w:color w:val="000000" w:themeColor="text1"/>
        </w:rPr>
        <w:t xml:space="preserve"> </w:t>
      </w:r>
    </w:p>
    <w:p w14:paraId="7438B082" w14:textId="339F7EF3" w:rsidR="00A17A30" w:rsidRPr="006815A8" w:rsidRDefault="00A17A30" w:rsidP="00A17A30">
      <w:pPr>
        <w:ind w:firstLineChars="100" w:firstLine="200"/>
        <w:jc w:val="both"/>
        <w:rPr>
          <w:rFonts w:eastAsia="等线"/>
        </w:rPr>
      </w:pPr>
      <w:bookmarkStart w:id="26" w:name="_Hlk78881117"/>
      <w:r w:rsidRPr="006815A8">
        <w:rPr>
          <w:rFonts w:eastAsia="等线"/>
        </w:rPr>
        <w:t xml:space="preserve">The </w:t>
      </w:r>
      <w:r>
        <w:rPr>
          <w:rFonts w:eastAsia="等线"/>
        </w:rPr>
        <w:t>benefit</w:t>
      </w:r>
      <w:r w:rsidRPr="006815A8">
        <w:rPr>
          <w:rFonts w:eastAsia="等线"/>
        </w:rPr>
        <w:t xml:space="preserve">s of BESS participating in peak </w:t>
      </w:r>
      <w:r>
        <w:rPr>
          <w:rFonts w:eastAsia="等线"/>
        </w:rPr>
        <w:t>regulation</w:t>
      </w:r>
      <w:r w:rsidRPr="006815A8">
        <w:rPr>
          <w:rFonts w:eastAsia="等线"/>
        </w:rPr>
        <w:t xml:space="preserve"> service include direct and indirect </w:t>
      </w:r>
      <w:r>
        <w:rPr>
          <w:rFonts w:eastAsia="等线"/>
        </w:rPr>
        <w:t>benefit</w:t>
      </w:r>
      <w:r w:rsidRPr="006815A8">
        <w:rPr>
          <w:rFonts w:eastAsia="等线"/>
        </w:rPr>
        <w:t>s.</w:t>
      </w:r>
    </w:p>
    <w:p w14:paraId="67C8A4A3" w14:textId="511F387C" w:rsidR="00A17A30" w:rsidRPr="00DC0FAC" w:rsidRDefault="00A17A30" w:rsidP="00A17A30">
      <w:pPr>
        <w:pStyle w:val="3"/>
        <w:rPr>
          <w:color w:val="000000" w:themeColor="text1"/>
        </w:rPr>
      </w:pPr>
      <w:bookmarkStart w:id="27" w:name="_Hlk78881142"/>
      <w:bookmarkStart w:id="28" w:name="_Hlk77788985"/>
      <w:bookmarkEnd w:id="26"/>
      <w:r w:rsidRPr="006815A8">
        <w:rPr>
          <w:rFonts w:eastAsia="等线"/>
        </w:rPr>
        <w:t xml:space="preserve">Direct benefits of peak </w:t>
      </w:r>
      <w:r>
        <w:rPr>
          <w:rFonts w:eastAsia="等线"/>
        </w:rPr>
        <w:t>regulation</w:t>
      </w:r>
      <w:r w:rsidRPr="006815A8">
        <w:rPr>
          <w:rFonts w:eastAsia="等线"/>
        </w:rPr>
        <w:t xml:space="preserve"> compensation</w:t>
      </w:r>
      <w:bookmarkEnd w:id="27"/>
      <w:r w:rsidRPr="00275DB5">
        <w:rPr>
          <w:color w:val="000000" w:themeColor="text1"/>
        </w:rPr>
        <w:t xml:space="preserve"> </w:t>
      </w:r>
    </w:p>
    <w:p w14:paraId="30E4944C" w14:textId="261DF1BB" w:rsidR="00A17A30" w:rsidRPr="003C7612" w:rsidRDefault="003C7612" w:rsidP="003C7612">
      <w:pPr>
        <w:ind w:firstLineChars="100" w:firstLine="200"/>
        <w:jc w:val="both"/>
      </w:pPr>
      <w:bookmarkStart w:id="29" w:name="_Hlk78881160"/>
      <w:bookmarkEnd w:id="28"/>
      <w:r w:rsidRPr="003C7612">
        <w:t>When BESS assists thermal power units with peak regulation or participates in peak regulation auxiliary service market as an independent entity, its discharge capacity should be settled according to the relevant contract price of the conventional power plant. Thus, the compensation benefits are calculated:</w:t>
      </w:r>
    </w:p>
    <w:p w14:paraId="4C19F130" w14:textId="5E03951D" w:rsidR="00A17A30" w:rsidRPr="006815A8" w:rsidRDefault="00A17A30" w:rsidP="002700F7">
      <w:pPr>
        <w:tabs>
          <w:tab w:val="center" w:pos="2310"/>
          <w:tab w:val="right" w:pos="4620"/>
        </w:tabs>
        <w:snapToGrid w:val="0"/>
        <w:jc w:val="right"/>
        <w:textAlignment w:val="center"/>
      </w:pPr>
      <w:r w:rsidRPr="006815A8">
        <w:tab/>
      </w:r>
      <w:r w:rsidR="00054FA7" w:rsidRPr="006815A8">
        <w:object w:dxaOrig="1020" w:dyaOrig="615" w14:anchorId="38BA4C08">
          <v:shape id="_x0000_i1040" type="#_x0000_t75" style="width:51.8pt;height:31.15pt" o:ole="">
            <v:imagedata r:id="rId38" o:title=""/>
          </v:shape>
          <o:OLEObject Type="Embed" ProgID="Equation.DSMT4" ShapeID="_x0000_i1040" DrawAspect="Content" ObjectID="_1728905156" r:id="rId39"/>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14</w:instrText>
        </w:r>
      </w:fldSimple>
      <w:r w:rsidRPr="006815A8">
        <w:instrText>)</w:instrText>
      </w:r>
      <w:r w:rsidRPr="006815A8">
        <w:fldChar w:fldCharType="end"/>
      </w:r>
    </w:p>
    <w:p w14:paraId="41339F9B" w14:textId="34E41E5F" w:rsidR="00A17A30" w:rsidRDefault="004A6B73" w:rsidP="00275DB5">
      <w:pPr>
        <w:pStyle w:val="3"/>
        <w:ind w:firstLineChars="100" w:firstLine="200"/>
        <w:jc w:val="both"/>
        <w:rPr>
          <w:rFonts w:eastAsia="等线"/>
        </w:rPr>
      </w:pPr>
      <w:bookmarkStart w:id="30" w:name="_Hlk78881173"/>
      <w:bookmarkEnd w:id="29"/>
      <w:r>
        <w:rPr>
          <w:rFonts w:eastAsia="等线"/>
        </w:rPr>
        <w:t>I</w:t>
      </w:r>
      <w:r w:rsidRPr="00A17A30">
        <w:rPr>
          <w:rFonts w:eastAsia="等线"/>
        </w:rPr>
        <w:t xml:space="preserve">ndirect </w:t>
      </w:r>
      <w:r w:rsidR="00A17A30" w:rsidRPr="00A17A30">
        <w:rPr>
          <w:rFonts w:eastAsia="等线"/>
        </w:rPr>
        <w:t xml:space="preserve">benefits of the delay of thermal power plant </w:t>
      </w:r>
      <w:r w:rsidR="004039DB">
        <w:rPr>
          <w:rFonts w:eastAsia="等线"/>
        </w:rPr>
        <w:t>investment</w:t>
      </w:r>
    </w:p>
    <w:p w14:paraId="530DAC71" w14:textId="1A8DE93C" w:rsidR="00A17A30" w:rsidRPr="006815A8" w:rsidRDefault="003C7612" w:rsidP="003C7612">
      <w:pPr>
        <w:ind w:firstLineChars="100" w:firstLine="200"/>
        <w:jc w:val="both"/>
        <w:rPr>
          <w:rFonts w:eastAsia="等线"/>
        </w:rPr>
      </w:pPr>
      <w:bookmarkStart w:id="31" w:name="_Hlk78881196"/>
      <w:bookmarkEnd w:id="30"/>
      <w:r w:rsidRPr="003C7612">
        <w:rPr>
          <w:rFonts w:eastAsia="等线"/>
          <w:lang w:val="en-GB"/>
        </w:rPr>
        <w:t>BESS participating in peak regulation can</w:t>
      </w:r>
      <w:r w:rsidRPr="003C7612">
        <w:rPr>
          <w:rFonts w:eastAsia="等线"/>
        </w:rPr>
        <w:t xml:space="preserve"> </w:t>
      </w:r>
      <w:r w:rsidRPr="003C7612">
        <w:rPr>
          <w:rFonts w:eastAsia="等线"/>
          <w:lang w:val="en-GB"/>
        </w:rPr>
        <w:t xml:space="preserve">reduce the output of thermal power units, which means the </w:t>
      </w:r>
      <w:r w:rsidRPr="003C7612">
        <w:rPr>
          <w:rFonts w:eastAsia="等线" w:hint="eastAsia"/>
          <w:lang w:val="en-GB"/>
        </w:rPr>
        <w:t>install</w:t>
      </w:r>
      <w:r w:rsidRPr="003C7612">
        <w:rPr>
          <w:rFonts w:eastAsia="等线"/>
          <w:lang w:val="en-GB"/>
        </w:rPr>
        <w:t xml:space="preserve">ation capacities of units are equivalently reduced. </w:t>
      </w:r>
      <w:r w:rsidRPr="003C7612">
        <w:rPr>
          <w:rFonts w:eastAsia="等线"/>
        </w:rPr>
        <w:t>Considering the time value of funds</w:t>
      </w:r>
      <w:r w:rsidRPr="003C7612">
        <w:rPr>
          <w:rFonts w:eastAsia="等线"/>
          <w:lang w:val="en-GB"/>
        </w:rPr>
        <w:t>, the corresponding delayed</w:t>
      </w:r>
      <w:r w:rsidRPr="003C7612">
        <w:rPr>
          <w:rFonts w:eastAsia="等线" w:hint="eastAsia"/>
          <w:lang w:val="en-GB"/>
        </w:rPr>
        <w:t xml:space="preserve"> install</w:t>
      </w:r>
      <w:r w:rsidRPr="003C7612">
        <w:rPr>
          <w:rFonts w:eastAsia="等线"/>
          <w:lang w:val="en-GB"/>
        </w:rPr>
        <w:t xml:space="preserve">ation capacities investments are </w:t>
      </w:r>
      <w:r w:rsidRPr="003C7612">
        <w:rPr>
          <w:rFonts w:eastAsia="等线"/>
        </w:rPr>
        <w:t>the benefits of BESS</w:t>
      </w:r>
      <w:r w:rsidRPr="003C7612">
        <w:rPr>
          <w:rFonts w:eastAsia="等线"/>
          <w:lang w:val="en-GB"/>
        </w:rPr>
        <w:t>, which are calculated:</w:t>
      </w:r>
    </w:p>
    <w:p w14:paraId="4E9D52D3" w14:textId="4DE80CFA" w:rsidR="00A17A30" w:rsidRPr="006815A8" w:rsidRDefault="00A17A30" w:rsidP="002700F7">
      <w:pPr>
        <w:tabs>
          <w:tab w:val="center" w:pos="2310"/>
          <w:tab w:val="right" w:pos="4620"/>
        </w:tabs>
        <w:snapToGrid w:val="0"/>
        <w:jc w:val="right"/>
        <w:textAlignment w:val="center"/>
      </w:pPr>
      <w:r w:rsidRPr="006815A8">
        <w:lastRenderedPageBreak/>
        <w:tab/>
      </w:r>
      <w:r w:rsidR="006970D9" w:rsidRPr="006815A8">
        <w:object w:dxaOrig="2860" w:dyaOrig="1040" w14:anchorId="2FFB342F">
          <v:shape id="_x0000_i1041" type="#_x0000_t75" style="width:117.9pt;height:39.15pt" o:ole="">
            <v:imagedata r:id="rId40" o:title=""/>
          </v:shape>
          <o:OLEObject Type="Embed" ProgID="Equation.DSMT4" ShapeID="_x0000_i1041" DrawAspect="Content" ObjectID="_1728905157" r:id="rId41"/>
        </w:object>
      </w:r>
      <w:r w:rsidRPr="006815A8">
        <w:t xml:space="preserve"> </w: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bookmarkStart w:id="32" w:name="ZEqnNum942112"/>
      <w:r w:rsidRPr="006815A8">
        <w:instrText>(</w:instrText>
      </w:r>
      <w:fldSimple w:instr=" SEQ MTEqn \c \* Arabic \* MERGEFORMAT ">
        <w:r w:rsidR="005B1B78">
          <w:rPr>
            <w:noProof/>
          </w:rPr>
          <w:instrText>15</w:instrText>
        </w:r>
      </w:fldSimple>
      <w:r w:rsidRPr="006815A8">
        <w:instrText>)</w:instrText>
      </w:r>
      <w:bookmarkEnd w:id="32"/>
      <w:r w:rsidRPr="006815A8">
        <w:fldChar w:fldCharType="end"/>
      </w:r>
    </w:p>
    <w:p w14:paraId="19E5FB07" w14:textId="64AA5F75" w:rsidR="00A17A30" w:rsidRPr="00DC0FAC" w:rsidRDefault="00CA23D8" w:rsidP="00A17A30">
      <w:pPr>
        <w:pStyle w:val="3"/>
        <w:rPr>
          <w:color w:val="000000" w:themeColor="text1"/>
        </w:rPr>
      </w:pPr>
      <w:bookmarkStart w:id="33" w:name="_Hlk78881228"/>
      <w:bookmarkEnd w:id="31"/>
      <w:r>
        <w:rPr>
          <w:rFonts w:eastAsia="等线"/>
        </w:rPr>
        <w:t>I</w:t>
      </w:r>
      <w:r w:rsidR="00A17A30" w:rsidRPr="00A17A30">
        <w:rPr>
          <w:rFonts w:eastAsia="等线"/>
        </w:rPr>
        <w:t>ndirect benefits of the</w:t>
      </w:r>
      <w:r w:rsidR="00154639" w:rsidRPr="00A17A30">
        <w:rPr>
          <w:rFonts w:eastAsia="等线"/>
        </w:rPr>
        <w:t xml:space="preserve"> </w:t>
      </w:r>
      <w:r w:rsidR="00A17A30" w:rsidRPr="00A17A30">
        <w:rPr>
          <w:rFonts w:eastAsia="等线"/>
        </w:rPr>
        <w:t xml:space="preserve">maintenance cost </w:t>
      </w:r>
      <w:r w:rsidR="00154639">
        <w:rPr>
          <w:rFonts w:eastAsia="等线"/>
        </w:rPr>
        <w:t xml:space="preserve">reduction </w:t>
      </w:r>
      <w:r w:rsidR="00A17A30" w:rsidRPr="00A17A30">
        <w:rPr>
          <w:rFonts w:eastAsia="等线"/>
        </w:rPr>
        <w:t>of thermal power units</w:t>
      </w:r>
    </w:p>
    <w:p w14:paraId="3B0E8759" w14:textId="2573D15B" w:rsidR="00A17A30" w:rsidRPr="006815A8" w:rsidRDefault="003C7612" w:rsidP="003C7612">
      <w:pPr>
        <w:ind w:firstLineChars="100" w:firstLine="200"/>
        <w:jc w:val="both"/>
        <w:rPr>
          <w:rFonts w:eastAsia="等线"/>
          <w:szCs w:val="21"/>
        </w:rPr>
      </w:pPr>
      <w:bookmarkStart w:id="34" w:name="_Hlk78881259"/>
      <w:bookmarkEnd w:id="33"/>
      <w:r w:rsidRPr="003C7612">
        <w:rPr>
          <w:rFonts w:eastAsia="等线"/>
          <w:szCs w:val="21"/>
        </w:rPr>
        <w:t xml:space="preserve">Because of the reduction in the </w:t>
      </w:r>
      <w:r w:rsidRPr="003C7612">
        <w:rPr>
          <w:rFonts w:eastAsia="等线" w:hint="eastAsia"/>
          <w:szCs w:val="21"/>
        </w:rPr>
        <w:t>install</w:t>
      </w:r>
      <w:r w:rsidRPr="003C7612">
        <w:rPr>
          <w:rFonts w:eastAsia="等线"/>
          <w:szCs w:val="21"/>
        </w:rPr>
        <w:t>ation capacity of units, the corresponding reduced maintenance cost is the benefit of BESS for peak regulation, which is calculated:</w:t>
      </w:r>
    </w:p>
    <w:p w14:paraId="376B36E7" w14:textId="062F1A95" w:rsidR="00A17A30" w:rsidRPr="006815A8" w:rsidRDefault="00A17A30" w:rsidP="002700F7">
      <w:pPr>
        <w:tabs>
          <w:tab w:val="center" w:pos="2310"/>
          <w:tab w:val="right" w:pos="4620"/>
        </w:tabs>
        <w:snapToGrid w:val="0"/>
        <w:jc w:val="right"/>
        <w:textAlignment w:val="center"/>
      </w:pPr>
      <w:bookmarkStart w:id="35" w:name="_Hlk50454775"/>
      <w:r w:rsidRPr="006815A8">
        <w:tab/>
      </w:r>
      <w:r w:rsidRPr="006815A8">
        <w:object w:dxaOrig="885" w:dyaOrig="315" w14:anchorId="5E2B37F4">
          <v:shape id="_x0000_i1042" type="#_x0000_t75" style="width:44.2pt;height:16pt" o:ole="">
            <v:imagedata r:id="rId42" o:title=""/>
          </v:shape>
          <o:OLEObject Type="Embed" ProgID="Equation.DSMT4" ShapeID="_x0000_i1042" DrawAspect="Content" ObjectID="_1728905158" r:id="rId43"/>
        </w:object>
      </w:r>
      <w:r w:rsidRPr="006815A8">
        <w:t xml:space="preserve"> </w: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16</w:instrText>
        </w:r>
      </w:fldSimple>
      <w:r w:rsidRPr="006815A8">
        <w:instrText>)</w:instrText>
      </w:r>
      <w:r w:rsidRPr="006815A8">
        <w:fldChar w:fldCharType="end"/>
      </w:r>
      <w:bookmarkEnd w:id="35"/>
    </w:p>
    <w:p w14:paraId="27260008" w14:textId="44909A89" w:rsidR="00A17A30" w:rsidRPr="006815A8" w:rsidRDefault="00A17A30" w:rsidP="00A17A30">
      <w:pPr>
        <w:jc w:val="both"/>
        <w:rPr>
          <w:rFonts w:eastAsia="等线"/>
          <w:szCs w:val="21"/>
        </w:rPr>
      </w:pPr>
      <w:r w:rsidRPr="006815A8">
        <w:rPr>
          <w:rFonts w:eastAsia="等线"/>
          <w:szCs w:val="21"/>
        </w:rPr>
        <w:t xml:space="preserve">where </w:t>
      </w:r>
      <w:r w:rsidRPr="006815A8">
        <w:rPr>
          <w:i/>
          <w:szCs w:val="21"/>
        </w:rPr>
        <w:t>R</w:t>
      </w:r>
      <w:r w:rsidRPr="006815A8">
        <w:rPr>
          <w:szCs w:val="21"/>
          <w:vertAlign w:val="subscript"/>
        </w:rPr>
        <w:t>p3</w:t>
      </w:r>
      <w:r w:rsidRPr="006815A8">
        <w:rPr>
          <w:rFonts w:eastAsia="等线"/>
          <w:szCs w:val="21"/>
        </w:rPr>
        <w:t xml:space="preserve"> </w:t>
      </w:r>
      <w:r w:rsidR="00C952A7">
        <w:rPr>
          <w:rFonts w:eastAsia="等线"/>
          <w:szCs w:val="21"/>
        </w:rPr>
        <w:t>is</w:t>
      </w:r>
      <w:r w:rsidRPr="006815A8">
        <w:rPr>
          <w:rFonts w:eastAsia="等线"/>
          <w:szCs w:val="21"/>
        </w:rPr>
        <w:t xml:space="preserve"> the indirect benefit of the </w:t>
      </w:r>
      <w:r>
        <w:rPr>
          <w:rFonts w:eastAsia="等线"/>
          <w:szCs w:val="21"/>
        </w:rPr>
        <w:t>reduction in</w:t>
      </w:r>
      <w:r w:rsidRPr="006815A8">
        <w:rPr>
          <w:rFonts w:eastAsia="等线"/>
          <w:szCs w:val="21"/>
        </w:rPr>
        <w:t xml:space="preserve"> maintenance cost of thermal power units. </w:t>
      </w:r>
      <w:r w:rsidRPr="006815A8">
        <w:rPr>
          <w:i/>
          <w:szCs w:val="21"/>
        </w:rPr>
        <w:t>λ</w:t>
      </w:r>
      <w:r w:rsidRPr="006815A8">
        <w:rPr>
          <w:szCs w:val="21"/>
          <w:vertAlign w:val="subscript"/>
        </w:rPr>
        <w:t>2</w:t>
      </w:r>
      <w:r w:rsidRPr="006815A8">
        <w:rPr>
          <w:rFonts w:eastAsia="等线"/>
          <w:szCs w:val="21"/>
        </w:rPr>
        <w:t xml:space="preserve"> </w:t>
      </w:r>
      <w:r w:rsidR="00C952A7">
        <w:rPr>
          <w:rFonts w:eastAsia="等线"/>
          <w:szCs w:val="21"/>
        </w:rPr>
        <w:t>is</w:t>
      </w:r>
      <w:r w:rsidRPr="006815A8">
        <w:rPr>
          <w:rFonts w:eastAsia="等线"/>
          <w:szCs w:val="21"/>
        </w:rPr>
        <w:t xml:space="preserve"> the coefficient.</w:t>
      </w:r>
    </w:p>
    <w:bookmarkEnd w:id="34"/>
    <w:p w14:paraId="303C06F2" w14:textId="2AF311D7" w:rsidR="00A17A30" w:rsidRPr="00DC0FAC" w:rsidRDefault="00E07A6E" w:rsidP="00A17A30">
      <w:pPr>
        <w:pStyle w:val="3"/>
        <w:rPr>
          <w:color w:val="000000" w:themeColor="text1"/>
        </w:rPr>
      </w:pPr>
      <w:r>
        <w:rPr>
          <w:rFonts w:eastAsia="等线"/>
        </w:rPr>
        <w:t>I</w:t>
      </w:r>
      <w:r w:rsidR="00A17A30" w:rsidRPr="00A17A30">
        <w:rPr>
          <w:rFonts w:eastAsia="等线"/>
        </w:rPr>
        <w:t>ndirect benefits of fuel cost</w:t>
      </w:r>
      <w:r w:rsidR="002B05F3">
        <w:rPr>
          <w:rFonts w:eastAsia="等线"/>
        </w:rPr>
        <w:t xml:space="preserve"> </w:t>
      </w:r>
      <w:r>
        <w:rPr>
          <w:rFonts w:eastAsia="等线"/>
        </w:rPr>
        <w:t>reduction</w:t>
      </w:r>
    </w:p>
    <w:p w14:paraId="6A289D8E" w14:textId="1D9DA15A" w:rsidR="00A17A30" w:rsidRPr="006815A8" w:rsidRDefault="003C7612" w:rsidP="003C7612">
      <w:pPr>
        <w:ind w:firstLineChars="100" w:firstLine="200"/>
        <w:jc w:val="both"/>
        <w:rPr>
          <w:rFonts w:eastAsia="等线"/>
          <w:szCs w:val="21"/>
        </w:rPr>
      </w:pPr>
      <w:bookmarkStart w:id="36" w:name="_Hlk78881275"/>
      <w:r w:rsidRPr="003C7612">
        <w:rPr>
          <w:rFonts w:eastAsia="等线"/>
          <w:szCs w:val="21"/>
        </w:rPr>
        <w:t>Because of the reduction in the output of units, the corresponding reduced fuel cost is the benefit of BESS for peak regulation, which is calculated:</w:t>
      </w:r>
    </w:p>
    <w:p w14:paraId="33314D31" w14:textId="38116653" w:rsidR="00A17A30" w:rsidRPr="006815A8" w:rsidRDefault="00A17A30" w:rsidP="002700F7">
      <w:pPr>
        <w:tabs>
          <w:tab w:val="center" w:pos="2310"/>
          <w:tab w:val="right" w:pos="4620"/>
        </w:tabs>
        <w:snapToGrid w:val="0"/>
        <w:jc w:val="right"/>
        <w:textAlignment w:val="center"/>
      </w:pPr>
      <w:r w:rsidRPr="006815A8">
        <w:tab/>
      </w:r>
      <w:r w:rsidRPr="006815A8">
        <w:object w:dxaOrig="1755" w:dyaOrig="600" w14:anchorId="74EAAE2B">
          <v:shape id="_x0000_i1043" type="#_x0000_t75" style="width:88pt;height:29.9pt" o:ole="">
            <v:imagedata r:id="rId44" o:title=""/>
          </v:shape>
          <o:OLEObject Type="Embed" ProgID="Equation.DSMT4" ShapeID="_x0000_i1043" DrawAspect="Content" ObjectID="_1728905159" r:id="rId45"/>
        </w:object>
      </w:r>
      <w:r w:rsidRPr="006815A8">
        <w:t xml:space="preserve"> </w: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17</w:instrText>
        </w:r>
      </w:fldSimple>
      <w:r w:rsidRPr="006815A8">
        <w:instrText>)</w:instrText>
      </w:r>
      <w:r w:rsidRPr="006815A8">
        <w:fldChar w:fldCharType="end"/>
      </w:r>
    </w:p>
    <w:bookmarkEnd w:id="36"/>
    <w:p w14:paraId="19778C82" w14:textId="540E5ABE" w:rsidR="00A17A30" w:rsidRPr="00DC0FAC" w:rsidRDefault="002B05F3" w:rsidP="00A17A30">
      <w:pPr>
        <w:pStyle w:val="3"/>
        <w:rPr>
          <w:color w:val="000000" w:themeColor="text1"/>
        </w:rPr>
      </w:pPr>
      <w:r>
        <w:rPr>
          <w:rFonts w:eastAsia="等线"/>
        </w:rPr>
        <w:t>I</w:t>
      </w:r>
      <w:r w:rsidR="00A17A30" w:rsidRPr="00A17A30">
        <w:rPr>
          <w:rFonts w:eastAsia="等线"/>
        </w:rPr>
        <w:t xml:space="preserve">ndirect benefits of pollution emissions </w:t>
      </w:r>
      <w:r w:rsidR="00331CE8">
        <w:rPr>
          <w:rFonts w:eastAsia="等线"/>
        </w:rPr>
        <w:t>reduction</w:t>
      </w:r>
      <w:r w:rsidR="00A17A30" w:rsidRPr="00A17A30">
        <w:rPr>
          <w:rFonts w:eastAsia="等线"/>
        </w:rPr>
        <w:t xml:space="preserve"> </w:t>
      </w:r>
    </w:p>
    <w:p w14:paraId="4C0849A6" w14:textId="535F18B5" w:rsidR="00A17A30" w:rsidRPr="006815A8" w:rsidRDefault="00903EDE" w:rsidP="00903EDE">
      <w:pPr>
        <w:ind w:firstLineChars="100" w:firstLine="200"/>
        <w:jc w:val="both"/>
        <w:rPr>
          <w:rFonts w:eastAsia="等线"/>
          <w:szCs w:val="21"/>
        </w:rPr>
      </w:pPr>
      <w:bookmarkStart w:id="37" w:name="_Hlk78881328"/>
      <w:r w:rsidRPr="00903EDE">
        <w:rPr>
          <w:rFonts w:eastAsia="等线"/>
          <w:szCs w:val="21"/>
        </w:rPr>
        <w:t>Because of the reduction in the output of units, the greenhouse gas emissions can be reduced, and the corresponding reduced pollution emission cost is the benefit of BESS for peak regulation, which is calculated:</w:t>
      </w:r>
    </w:p>
    <w:p w14:paraId="74FE55B2" w14:textId="49EBFB20" w:rsidR="00A17A30" w:rsidRDefault="00A17A30" w:rsidP="002700F7">
      <w:pPr>
        <w:tabs>
          <w:tab w:val="center" w:pos="2310"/>
          <w:tab w:val="right" w:pos="4620"/>
        </w:tabs>
        <w:snapToGrid w:val="0"/>
        <w:jc w:val="right"/>
        <w:textAlignment w:val="center"/>
      </w:pPr>
      <w:r w:rsidRPr="006815A8">
        <w:tab/>
      </w:r>
      <w:r w:rsidR="003209DE" w:rsidRPr="006815A8">
        <w:object w:dxaOrig="3040" w:dyaOrig="720" w14:anchorId="17EABC32">
          <v:shape id="_x0000_i1044" type="#_x0000_t75" style="width:120pt;height:29.05pt" o:ole="">
            <v:imagedata r:id="rId46" o:title=""/>
          </v:shape>
          <o:OLEObject Type="Embed" ProgID="Equation.DSMT4" ShapeID="_x0000_i1044" DrawAspect="Content" ObjectID="_1728905160" r:id="rId47"/>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18</w:instrText>
        </w:r>
      </w:fldSimple>
      <w:r w:rsidRPr="006815A8">
        <w:instrText>)</w:instrText>
      </w:r>
      <w:r w:rsidRPr="006815A8">
        <w:fldChar w:fldCharType="end"/>
      </w:r>
    </w:p>
    <w:p w14:paraId="6477F316" w14:textId="29275414" w:rsidR="00A17A30" w:rsidRPr="006815A8" w:rsidRDefault="00903EDE" w:rsidP="00903EDE">
      <w:pPr>
        <w:ind w:firstLineChars="100" w:firstLine="200"/>
        <w:jc w:val="both"/>
        <w:rPr>
          <w:rFonts w:eastAsia="等线"/>
          <w:szCs w:val="21"/>
        </w:rPr>
      </w:pPr>
      <w:r w:rsidRPr="00903EDE">
        <w:rPr>
          <w:rFonts w:eastAsia="等线"/>
          <w:szCs w:val="21"/>
        </w:rPr>
        <w:t>Hence, the total benefit of BESS participating in auxiliary peaking regulation of thermal power units are:</w:t>
      </w:r>
    </w:p>
    <w:p w14:paraId="68B58C39" w14:textId="624ED70C" w:rsidR="00A17A30" w:rsidRPr="006815A8" w:rsidRDefault="00A17A30" w:rsidP="002700F7">
      <w:pPr>
        <w:tabs>
          <w:tab w:val="center" w:pos="2310"/>
          <w:tab w:val="right" w:pos="4620"/>
        </w:tabs>
        <w:snapToGrid w:val="0"/>
        <w:jc w:val="right"/>
        <w:textAlignment w:val="center"/>
      </w:pPr>
      <w:r w:rsidRPr="006815A8">
        <w:tab/>
      </w:r>
      <w:r w:rsidRPr="006815A8">
        <w:object w:dxaOrig="2490" w:dyaOrig="345" w14:anchorId="234292D9">
          <v:shape id="_x0000_i1045" type="#_x0000_t75" style="width:123.8pt;height:16pt" o:ole="">
            <v:imagedata r:id="rId48" o:title=""/>
          </v:shape>
          <o:OLEObject Type="Embed" ProgID="Equation.DSMT4" ShapeID="_x0000_i1045" DrawAspect="Content" ObjectID="_1728905161" r:id="rId49"/>
        </w:object>
      </w:r>
      <w:r w:rsidRPr="006815A8">
        <w:t xml:space="preserve"> </w: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19</w:instrText>
        </w:r>
      </w:fldSimple>
      <w:r w:rsidRPr="006815A8">
        <w:instrText>)</w:instrText>
      </w:r>
      <w:r w:rsidRPr="006815A8">
        <w:fldChar w:fldCharType="end"/>
      </w:r>
    </w:p>
    <w:p w14:paraId="191DDB48" w14:textId="0E53BB56" w:rsidR="00A17A30" w:rsidRPr="00DC0FAC" w:rsidRDefault="00A17A30" w:rsidP="00A17A30">
      <w:pPr>
        <w:pStyle w:val="2"/>
        <w:rPr>
          <w:color w:val="000000" w:themeColor="text1"/>
        </w:rPr>
      </w:pPr>
      <w:bookmarkStart w:id="38" w:name="_Hlk78881355"/>
      <w:bookmarkEnd w:id="37"/>
      <w:r w:rsidRPr="00A17A30">
        <w:rPr>
          <w:color w:val="000000" w:themeColor="text1"/>
        </w:rPr>
        <w:t>Recycling benefits of BESS</w:t>
      </w:r>
      <w:bookmarkEnd w:id="38"/>
      <w:r w:rsidRPr="00275DB5">
        <w:rPr>
          <w:color w:val="000000" w:themeColor="text1"/>
        </w:rPr>
        <w:t xml:space="preserve"> </w:t>
      </w:r>
    </w:p>
    <w:p w14:paraId="52731FB6" w14:textId="15B71B49" w:rsidR="00A17A30" w:rsidRPr="006815A8" w:rsidRDefault="00903EDE" w:rsidP="00903EDE">
      <w:pPr>
        <w:ind w:firstLineChars="100" w:firstLine="200"/>
        <w:jc w:val="both"/>
        <w:rPr>
          <w:rFonts w:eastAsia="等线"/>
          <w:szCs w:val="21"/>
        </w:rPr>
      </w:pPr>
      <w:bookmarkStart w:id="39" w:name="_Hlk78881370"/>
      <w:r w:rsidRPr="00903EDE">
        <w:rPr>
          <w:rFonts w:eastAsia="等线"/>
          <w:szCs w:val="21"/>
        </w:rPr>
        <w:t>Recycling benefits can be obtained when useful materials are extracted from the waste and processed into reusable products. For the lithium iron phosphate battery energy storage, after the end of its operating life, there can be cobalt, lithium and other metal compounds separated from the waste batterie at a high recovery rate and processed into reuse. Hence, the recycling benefit model of BESS is established:</w:t>
      </w:r>
    </w:p>
    <w:p w14:paraId="2594722B" w14:textId="498AC1E8" w:rsidR="00A17A30" w:rsidRPr="006815A8" w:rsidRDefault="00A17A30" w:rsidP="002700F7">
      <w:pPr>
        <w:tabs>
          <w:tab w:val="center" w:pos="2310"/>
          <w:tab w:val="right" w:pos="4620"/>
        </w:tabs>
        <w:snapToGrid w:val="0"/>
        <w:jc w:val="right"/>
        <w:textAlignment w:val="center"/>
      </w:pPr>
      <w:bookmarkStart w:id="40" w:name="_Hlk50473488"/>
      <w:r w:rsidRPr="006815A8">
        <w:tab/>
      </w:r>
      <w:r w:rsidR="00E61AF0" w:rsidRPr="006815A8">
        <w:object w:dxaOrig="4700" w:dyaOrig="700" w14:anchorId="7544827E">
          <v:shape id="_x0000_i1046" type="#_x0000_t75" style="width:185.25pt;height:27.8pt" o:ole="">
            <v:imagedata r:id="rId50" o:title=""/>
          </v:shape>
          <o:OLEObject Type="Embed" ProgID="Equation.DSMT4" ShapeID="_x0000_i1046" DrawAspect="Content" ObjectID="_1728905162" r:id="rId51"/>
        </w:objec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20</w:instrText>
        </w:r>
      </w:fldSimple>
      <w:r w:rsidRPr="006815A8">
        <w:instrText>)</w:instrText>
      </w:r>
      <w:r w:rsidRPr="006815A8">
        <w:fldChar w:fldCharType="end"/>
      </w:r>
      <w:bookmarkEnd w:id="40"/>
    </w:p>
    <w:p w14:paraId="4AECA86C" w14:textId="2BD856AA" w:rsidR="00A17A30" w:rsidRPr="006815A8" w:rsidRDefault="008F43FF" w:rsidP="00A17A30">
      <w:pPr>
        <w:jc w:val="both"/>
        <w:rPr>
          <w:rFonts w:eastAsia="等线"/>
          <w:szCs w:val="21"/>
        </w:rPr>
      </w:pPr>
      <w:r>
        <w:rPr>
          <w:rFonts w:eastAsia="等线"/>
          <w:szCs w:val="21"/>
        </w:rPr>
        <w:t xml:space="preserve">where </w:t>
      </w:r>
      <w:r w:rsidR="00A17A30" w:rsidRPr="006815A8">
        <w:rPr>
          <w:rFonts w:eastAsia="等线"/>
          <w:szCs w:val="21"/>
        </w:rPr>
        <w:t>specific parameter settings refer to [10].</w:t>
      </w:r>
    </w:p>
    <w:p w14:paraId="7406180A" w14:textId="2099948F" w:rsidR="00A17A30" w:rsidRPr="006815A8" w:rsidRDefault="00D727F3" w:rsidP="00A17A30">
      <w:pPr>
        <w:ind w:firstLineChars="100" w:firstLine="200"/>
        <w:jc w:val="both"/>
        <w:rPr>
          <w:rFonts w:eastAsia="等线"/>
          <w:szCs w:val="21"/>
        </w:rPr>
      </w:pPr>
      <w:r>
        <w:rPr>
          <w:rFonts w:eastAsia="等线"/>
          <w:szCs w:val="21"/>
        </w:rPr>
        <w:t>In summary</w:t>
      </w:r>
      <w:r w:rsidR="00A17A30" w:rsidRPr="006815A8">
        <w:rPr>
          <w:rFonts w:eastAsia="等线"/>
          <w:szCs w:val="21"/>
        </w:rPr>
        <w:t xml:space="preserve">, the total benefit </w:t>
      </w:r>
      <w:r w:rsidR="00A17A30">
        <w:rPr>
          <w:rFonts w:eastAsia="等线"/>
          <w:szCs w:val="21"/>
        </w:rPr>
        <w:t xml:space="preserve">of </w:t>
      </w:r>
      <w:r w:rsidR="00A17A30" w:rsidRPr="006815A8">
        <w:rPr>
          <w:rFonts w:eastAsia="等线"/>
          <w:szCs w:val="21"/>
        </w:rPr>
        <w:t>BESS</w:t>
      </w:r>
      <w:r w:rsidR="00A17A30">
        <w:rPr>
          <w:rFonts w:eastAsia="等线"/>
          <w:szCs w:val="21"/>
        </w:rPr>
        <w:t xml:space="preserve"> in thermal power plants</w:t>
      </w:r>
      <w:r w:rsidR="00AD1D34">
        <w:rPr>
          <w:rFonts w:eastAsia="等线"/>
          <w:szCs w:val="21"/>
        </w:rPr>
        <w:t xml:space="preserve"> </w:t>
      </w:r>
      <w:r w:rsidR="00321729">
        <w:rPr>
          <w:rFonts w:eastAsia="等线"/>
          <w:szCs w:val="21"/>
        </w:rPr>
        <w:t>is</w:t>
      </w:r>
      <w:r w:rsidR="00A17A30" w:rsidRPr="006815A8">
        <w:rPr>
          <w:rFonts w:eastAsia="等线"/>
          <w:szCs w:val="21"/>
        </w:rPr>
        <w:t>:</w:t>
      </w:r>
    </w:p>
    <w:p w14:paraId="719821FE" w14:textId="5CB9D96D" w:rsidR="00A17A30" w:rsidRDefault="00A17A30" w:rsidP="002700F7">
      <w:pPr>
        <w:tabs>
          <w:tab w:val="center" w:pos="2310"/>
          <w:tab w:val="right" w:pos="4620"/>
        </w:tabs>
        <w:snapToGrid w:val="0"/>
        <w:jc w:val="right"/>
        <w:textAlignment w:val="center"/>
      </w:pPr>
      <w:r w:rsidRPr="006815A8">
        <w:tab/>
      </w:r>
      <w:r w:rsidRPr="006815A8">
        <w:object w:dxaOrig="1425" w:dyaOrig="345" w14:anchorId="604F04AC">
          <v:shape id="_x0000_i1047" type="#_x0000_t75" style="width:69.9pt;height:16pt" o:ole="">
            <v:imagedata r:id="rId52" o:title=""/>
          </v:shape>
          <o:OLEObject Type="Embed" ProgID="Equation.DSMT4" ShapeID="_x0000_i1047" DrawAspect="Content" ObjectID="_1728905163" r:id="rId53"/>
        </w:object>
      </w:r>
      <w:r w:rsidRPr="006815A8">
        <w:t xml:space="preserve"> </w:t>
      </w:r>
      <w:r w:rsidRPr="006815A8">
        <w:tab/>
      </w:r>
      <w:r w:rsidRPr="006815A8">
        <w:fldChar w:fldCharType="begin"/>
      </w:r>
      <w:r w:rsidRPr="006815A8">
        <w:instrText xml:space="preserve"> MACROBUTTON MTPlaceRef \* MERGEFORMAT </w:instrText>
      </w:r>
      <w:r w:rsidRPr="006815A8">
        <w:fldChar w:fldCharType="begin"/>
      </w:r>
      <w:r w:rsidRPr="006815A8">
        <w:instrText xml:space="preserve"> SEQ MTEqn \h \* MERGEFORMAT </w:instrText>
      </w:r>
      <w:r w:rsidRPr="006815A8">
        <w:fldChar w:fldCharType="end"/>
      </w:r>
      <w:r w:rsidRPr="006815A8">
        <w:instrText>(</w:instrText>
      </w:r>
      <w:fldSimple w:instr=" SEQ MTEqn \c \* Arabic \* MERGEFORMAT ">
        <w:r w:rsidR="005B1B78">
          <w:rPr>
            <w:noProof/>
          </w:rPr>
          <w:instrText>21</w:instrText>
        </w:r>
      </w:fldSimple>
      <w:r w:rsidRPr="006815A8">
        <w:instrText>)</w:instrText>
      </w:r>
      <w:r w:rsidRPr="006815A8">
        <w:fldChar w:fldCharType="end"/>
      </w:r>
    </w:p>
    <w:p w14:paraId="23260C28" w14:textId="20D1F81F" w:rsidR="00A17A30" w:rsidRPr="000E55FF" w:rsidRDefault="00A17A30" w:rsidP="00A17A30">
      <w:pPr>
        <w:pStyle w:val="1"/>
        <w:rPr>
          <w:color w:val="000000" w:themeColor="text1"/>
        </w:rPr>
      </w:pPr>
      <w:bookmarkStart w:id="41" w:name="_Hlk78882291"/>
      <w:bookmarkEnd w:id="39"/>
      <w:r w:rsidRPr="000E55FF">
        <w:rPr>
          <w:color w:val="000000" w:themeColor="text1"/>
        </w:rPr>
        <w:t>Economic Benefit Evaluation Indexes of BESS in Thermal Power Plants</w:t>
      </w:r>
      <w:bookmarkEnd w:id="41"/>
      <w:r w:rsidRPr="000E55FF">
        <w:rPr>
          <w:color w:val="000000" w:themeColor="text1"/>
        </w:rPr>
        <w:t xml:space="preserve"> </w:t>
      </w:r>
    </w:p>
    <w:p w14:paraId="5BABACA3" w14:textId="15B3F22F" w:rsidR="00A17A30" w:rsidRDefault="00903EDE" w:rsidP="00903EDE">
      <w:pPr>
        <w:ind w:firstLineChars="100" w:firstLine="200"/>
        <w:jc w:val="both"/>
        <w:rPr>
          <w:rFonts w:eastAsia="等线"/>
        </w:rPr>
      </w:pPr>
      <w:bookmarkStart w:id="42" w:name="_Hlk78882318"/>
      <w:r w:rsidRPr="00903EDE">
        <w:rPr>
          <w:rFonts w:eastAsia="等线"/>
        </w:rPr>
        <w:t>In view of the time value of funds, we select typical economic indexes such as dynamic investment payback period, return rate on investment and net present value to evaluate the economic benefits of thermal power plants with energy storage scientifically and effectively.</w:t>
      </w:r>
    </w:p>
    <w:p w14:paraId="3D68C957" w14:textId="6027AC24" w:rsidR="00A17A30" w:rsidRPr="00DC0FAC" w:rsidRDefault="00411C48" w:rsidP="00A17A30">
      <w:pPr>
        <w:pStyle w:val="2"/>
        <w:rPr>
          <w:color w:val="000000" w:themeColor="text1"/>
        </w:rPr>
      </w:pPr>
      <w:bookmarkStart w:id="43" w:name="_Hlk77789633"/>
      <w:bookmarkEnd w:id="42"/>
      <w:r>
        <w:rPr>
          <w:szCs w:val="21"/>
        </w:rPr>
        <w:t xml:space="preserve">Return </w:t>
      </w:r>
      <w:r w:rsidR="00A17A30" w:rsidRPr="006815A8">
        <w:rPr>
          <w:szCs w:val="21"/>
        </w:rPr>
        <w:t>Rate on investment</w:t>
      </w:r>
      <w:r w:rsidR="00A17A30" w:rsidRPr="00275DB5">
        <w:rPr>
          <w:color w:val="000000" w:themeColor="text1"/>
        </w:rPr>
        <w:t xml:space="preserve"> </w:t>
      </w:r>
    </w:p>
    <w:p w14:paraId="043C4A54" w14:textId="56A07167" w:rsidR="00A17A30" w:rsidRDefault="00903EDE" w:rsidP="00903EDE">
      <w:pPr>
        <w:ind w:firstLineChars="100" w:firstLine="200"/>
        <w:jc w:val="both"/>
        <w:rPr>
          <w:rFonts w:eastAsia="等线"/>
        </w:rPr>
      </w:pPr>
      <w:bookmarkStart w:id="44" w:name="_Hlk78882707"/>
      <w:bookmarkEnd w:id="43"/>
      <w:r w:rsidRPr="00903EDE">
        <w:rPr>
          <w:rFonts w:eastAsia="等线"/>
        </w:rPr>
        <w:t xml:space="preserve">The return rate on investment is an important indicator to reflect the profitability of a project. A higher rate of return on investment means better profitability of the project. The rate of return on investment can be calculated by the ratio of the annual </w:t>
      </w:r>
      <w:r w:rsidRPr="00903EDE">
        <w:rPr>
          <w:rFonts w:eastAsia="等线"/>
        </w:rPr>
        <w:t>average net return to the total investment during the whole life cycle of the system. The calculation formula is as follows:</w:t>
      </w:r>
    </w:p>
    <w:p w14:paraId="642B5E0C" w14:textId="7CE70526" w:rsidR="00903EDE" w:rsidRDefault="00903EDE" w:rsidP="00903EDE">
      <w:pPr>
        <w:pStyle w:val="MTDisplayEquation"/>
      </w:pPr>
      <w:r>
        <w:tab/>
      </w:r>
      <w:r w:rsidR="00054FA7" w:rsidRPr="006815A8">
        <w:object w:dxaOrig="1335" w:dyaOrig="480" w14:anchorId="06B8DC45">
          <v:shape id="_x0000_i1048" type="#_x0000_t75" style="width:66.1pt;height:23.6pt" o:ole="">
            <v:imagedata r:id="rId54" o:title=""/>
          </v:shape>
          <o:OLEObject Type="Embed" ProgID="Equation.DSMT4" ShapeID="_x0000_i1048" DrawAspect="Content" ObjectID="_1728905164" r:id="rId55"/>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5B1B78">
          <w:rPr>
            <w:noProof/>
          </w:rPr>
          <w:instrText>22</w:instrText>
        </w:r>
      </w:fldSimple>
      <w:r>
        <w:instrText>)</w:instrText>
      </w:r>
      <w:r>
        <w:fldChar w:fldCharType="end"/>
      </w:r>
    </w:p>
    <w:p w14:paraId="06AB1A21" w14:textId="165F22B4" w:rsidR="005B1B78" w:rsidRPr="005B1B78" w:rsidRDefault="005B1B78" w:rsidP="005B1B78">
      <w:pPr>
        <w:pStyle w:val="MTDisplayEquation"/>
      </w:pPr>
      <w:r>
        <w:tab/>
      </w:r>
      <w:r w:rsidR="00054FA7" w:rsidRPr="006815A8">
        <w:object w:dxaOrig="1245" w:dyaOrig="570" w14:anchorId="4BA50FE2">
          <v:shape id="_x0000_i1049" type="#_x0000_t75" style="width:62.75pt;height:27.35pt" o:ole="">
            <v:imagedata r:id="rId56" o:title=""/>
          </v:shape>
          <o:OLEObject Type="Embed" ProgID="Equation.DSMT4" ShapeID="_x0000_i1049" DrawAspect="Content" ObjectID="_1728905165" r:id="rId57"/>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Pr>
            <w:noProof/>
          </w:rPr>
          <w:instrText>23</w:instrText>
        </w:r>
      </w:fldSimple>
      <w:r>
        <w:instrText>)</w:instrText>
      </w:r>
      <w:r>
        <w:fldChar w:fldCharType="end"/>
      </w:r>
    </w:p>
    <w:p w14:paraId="1D0E1968" w14:textId="144390AD" w:rsidR="00A17A30" w:rsidRPr="006815A8" w:rsidRDefault="00A17A30" w:rsidP="00A17A30">
      <w:pPr>
        <w:jc w:val="both"/>
        <w:rPr>
          <w:rFonts w:eastAsia="等线"/>
        </w:rPr>
      </w:pPr>
      <w:r w:rsidRPr="006815A8">
        <w:rPr>
          <w:rFonts w:eastAsia="等线"/>
        </w:rPr>
        <w:t xml:space="preserve">where </w:t>
      </w:r>
      <w:r w:rsidRPr="006815A8">
        <w:rPr>
          <w:i/>
        </w:rPr>
        <w:t>R</w:t>
      </w:r>
      <w:r w:rsidRPr="00DF179E">
        <w:rPr>
          <w:i/>
          <w:vertAlign w:val="subscript"/>
        </w:rPr>
        <w:t>i</w:t>
      </w:r>
      <w:r w:rsidRPr="006815A8">
        <w:rPr>
          <w:rFonts w:eastAsia="等线"/>
        </w:rPr>
        <w:t xml:space="preserve"> can be calculated by </w:t>
      </w:r>
      <w:r w:rsidR="002B12DF" w:rsidRPr="006815A8">
        <w:rPr>
          <w:rFonts w:eastAsia="等线"/>
        </w:rPr>
        <w:t>formula (</w:t>
      </w:r>
      <w:r w:rsidRPr="006815A8">
        <w:rPr>
          <w:rFonts w:eastAsia="等线"/>
        </w:rPr>
        <w:t>21).</w:t>
      </w:r>
    </w:p>
    <w:p w14:paraId="66EAD618" w14:textId="10A3F87A" w:rsidR="00411229" w:rsidRPr="00DC0FAC" w:rsidRDefault="00411229" w:rsidP="00411229">
      <w:pPr>
        <w:pStyle w:val="2"/>
        <w:rPr>
          <w:color w:val="000000" w:themeColor="text1"/>
        </w:rPr>
      </w:pPr>
      <w:bookmarkStart w:id="45" w:name="_Hlk78882739"/>
      <w:bookmarkEnd w:id="44"/>
      <w:r w:rsidRPr="006815A8">
        <w:rPr>
          <w:szCs w:val="21"/>
        </w:rPr>
        <w:t>Net present value</w:t>
      </w:r>
    </w:p>
    <w:p w14:paraId="7E1341FA" w14:textId="27718E95" w:rsidR="00411229" w:rsidRDefault="00903EDE" w:rsidP="00903EDE">
      <w:pPr>
        <w:ind w:firstLineChars="100" w:firstLine="200"/>
        <w:jc w:val="both"/>
        <w:rPr>
          <w:rFonts w:eastAsia="等线"/>
        </w:rPr>
      </w:pPr>
      <w:bookmarkStart w:id="46" w:name="_Hlk78882763"/>
      <w:bookmarkEnd w:id="45"/>
      <w:r w:rsidRPr="00903EDE">
        <w:rPr>
          <w:rFonts w:eastAsia="等线"/>
        </w:rPr>
        <w:t>The net present value refers to the difference between the present value of the total income of a project and the present value of its total expenditure. It reflects the profitability of a project considering the time value of funds. A positive net present value of BESS indicates it worth building. On the contrary, the negative net present value indicates it not worth investing. When we evaluate different projects for investment, the one with the largest net present value is the best. The calculation formula is:</w:t>
      </w:r>
    </w:p>
    <w:p w14:paraId="4A77A699" w14:textId="68D86536" w:rsidR="005B1B78" w:rsidRPr="006815A8" w:rsidRDefault="005B1B78" w:rsidP="005B1B78">
      <w:pPr>
        <w:pStyle w:val="MTDisplayEquation"/>
      </w:pPr>
      <w:r>
        <w:tab/>
      </w:r>
      <w:r w:rsidR="00054FA7" w:rsidRPr="006815A8">
        <w:object w:dxaOrig="1380" w:dyaOrig="555" w14:anchorId="42163412">
          <v:shape id="_x0000_i1050" type="#_x0000_t75" style="width:68.65pt;height:27.35pt" o:ole="">
            <v:imagedata r:id="rId58" o:title=""/>
          </v:shape>
          <o:OLEObject Type="Embed" ProgID="Equation.DSMT4" ShapeID="_x0000_i1050" DrawAspect="Content" ObjectID="_1728905166" r:id="rId59"/>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Pr>
            <w:noProof/>
          </w:rPr>
          <w:instrText>24</w:instrText>
        </w:r>
      </w:fldSimple>
      <w:r>
        <w:instrText>)</w:instrText>
      </w:r>
      <w:r>
        <w:fldChar w:fldCharType="end"/>
      </w:r>
    </w:p>
    <w:p w14:paraId="49D70375" w14:textId="3689D649" w:rsidR="00903EDE" w:rsidRDefault="00903EDE" w:rsidP="00903EDE">
      <w:pPr>
        <w:pStyle w:val="MTDisplayEquation"/>
      </w:pPr>
      <w:r>
        <w:tab/>
      </w:r>
      <w:r w:rsidR="00054FA7" w:rsidRPr="006815A8">
        <w:object w:dxaOrig="3600" w:dyaOrig="720" w14:anchorId="251B17B8">
          <v:shape id="_x0000_i1051" type="#_x0000_t75" style="width:216.4pt;height:37.05pt" o:ole="">
            <v:imagedata r:id="rId60" o:title=""/>
          </v:shape>
          <o:OLEObject Type="Embed" ProgID="Equation.DSMT4" ShapeID="_x0000_i1051" DrawAspect="Content" ObjectID="_1728905167" r:id="rId61"/>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5B1B78">
          <w:rPr>
            <w:noProof/>
          </w:rPr>
          <w:instrText>25</w:instrText>
        </w:r>
      </w:fldSimple>
      <w:r>
        <w:instrText>)</w:instrText>
      </w:r>
      <w:r>
        <w:fldChar w:fldCharType="end"/>
      </w:r>
    </w:p>
    <w:p w14:paraId="6F529670" w14:textId="2818EF1A" w:rsidR="005B1B78" w:rsidRPr="005B1B78" w:rsidRDefault="005B1B78" w:rsidP="005B1B78">
      <w:pPr>
        <w:jc w:val="both"/>
        <w:rPr>
          <w:lang w:val="en"/>
        </w:rPr>
      </w:pPr>
      <w:r w:rsidRPr="005B1B78">
        <w:rPr>
          <w:lang w:val="en"/>
        </w:rPr>
        <w:t xml:space="preserve">where </w:t>
      </w:r>
      <w:r w:rsidRPr="005B1B78">
        <w:rPr>
          <w:i/>
          <w:iCs/>
          <w:lang w:val="en"/>
        </w:rPr>
        <w:t>C</w:t>
      </w:r>
      <w:r w:rsidRPr="005B1B78">
        <w:rPr>
          <w:vertAlign w:val="subscript"/>
          <w:lang w:val="en"/>
        </w:rPr>
        <w:t>I</w:t>
      </w:r>
      <w:r w:rsidRPr="005B1B78">
        <w:rPr>
          <w:lang w:val="en"/>
        </w:rPr>
        <w:t xml:space="preserve"> is the annual profit of thermal power plants with energy storage. </w:t>
      </w:r>
      <w:r w:rsidRPr="005B1B78">
        <w:rPr>
          <w:i/>
          <w:iCs/>
          <w:lang w:val="en"/>
        </w:rPr>
        <w:t>C</w:t>
      </w:r>
      <w:r w:rsidRPr="005B1B78">
        <w:rPr>
          <w:vertAlign w:val="subscript"/>
          <w:lang w:val="en"/>
        </w:rPr>
        <w:t>O</w:t>
      </w:r>
      <w:r w:rsidRPr="005B1B78">
        <w:rPr>
          <w:lang w:val="en"/>
        </w:rPr>
        <w:t xml:space="preserve"> is calculated according to formula (25). (</w:t>
      </w:r>
      <w:r w:rsidRPr="005B1B78">
        <w:rPr>
          <w:i/>
          <w:iCs/>
          <w:lang w:val="en"/>
        </w:rPr>
        <w:t>C</w:t>
      </w:r>
      <w:r w:rsidRPr="005B1B78">
        <w:rPr>
          <w:vertAlign w:val="subscript"/>
          <w:lang w:val="en"/>
        </w:rPr>
        <w:t>I</w:t>
      </w:r>
      <w:r w:rsidRPr="005B1B78">
        <w:rPr>
          <w:lang w:val="en"/>
        </w:rPr>
        <w:t>-</w:t>
      </w:r>
      <w:proofErr w:type="gramStart"/>
      <w:r w:rsidRPr="005B1B78">
        <w:rPr>
          <w:i/>
          <w:iCs/>
          <w:lang w:val="en"/>
        </w:rPr>
        <w:t>C</w:t>
      </w:r>
      <w:r w:rsidRPr="005B1B78">
        <w:rPr>
          <w:vertAlign w:val="subscript"/>
          <w:lang w:val="en"/>
        </w:rPr>
        <w:t>O</w:t>
      </w:r>
      <w:r w:rsidRPr="005B1B78">
        <w:rPr>
          <w:lang w:val="en"/>
        </w:rPr>
        <w:t>)</w:t>
      </w:r>
      <w:r w:rsidRPr="005B1B78">
        <w:rPr>
          <w:i/>
          <w:iCs/>
          <w:vertAlign w:val="subscript"/>
          <w:lang w:val="en"/>
        </w:rPr>
        <w:t>t</w:t>
      </w:r>
      <w:proofErr w:type="gramEnd"/>
      <w:r w:rsidRPr="005B1B78">
        <w:rPr>
          <w:lang w:val="en"/>
        </w:rPr>
        <w:t xml:space="preserve"> is the net cash flow at year </w:t>
      </w:r>
      <w:r w:rsidRPr="005B1B78">
        <w:rPr>
          <w:i/>
          <w:iCs/>
          <w:lang w:val="en"/>
        </w:rPr>
        <w:t>t</w:t>
      </w:r>
      <w:r w:rsidRPr="005B1B78">
        <w:rPr>
          <w:lang w:val="en"/>
        </w:rPr>
        <w:t>.</w:t>
      </w:r>
    </w:p>
    <w:bookmarkEnd w:id="46"/>
    <w:p w14:paraId="0ECCA6FD" w14:textId="3BAEFE95" w:rsidR="00411229" w:rsidRPr="00DC0FAC" w:rsidRDefault="00411229" w:rsidP="00411229">
      <w:pPr>
        <w:pStyle w:val="2"/>
        <w:rPr>
          <w:color w:val="000000" w:themeColor="text1"/>
        </w:rPr>
      </w:pPr>
      <w:r w:rsidRPr="006815A8">
        <w:rPr>
          <w:szCs w:val="21"/>
        </w:rPr>
        <w:t>Dynamic</w:t>
      </w:r>
      <w:r>
        <w:rPr>
          <w:szCs w:val="21"/>
        </w:rPr>
        <w:t xml:space="preserve"> investment</w:t>
      </w:r>
      <w:r w:rsidRPr="006815A8">
        <w:rPr>
          <w:szCs w:val="21"/>
        </w:rPr>
        <w:t xml:space="preserve"> payback period</w:t>
      </w:r>
    </w:p>
    <w:p w14:paraId="4B911110" w14:textId="3A23763E" w:rsidR="00411229" w:rsidRPr="006815A8" w:rsidRDefault="005B1B78" w:rsidP="005B1B78">
      <w:pPr>
        <w:ind w:firstLineChars="100" w:firstLine="200"/>
        <w:jc w:val="both"/>
        <w:rPr>
          <w:rFonts w:eastAsia="等线"/>
        </w:rPr>
      </w:pPr>
      <w:bookmarkStart w:id="47" w:name="_Hlk78882801"/>
      <w:r w:rsidRPr="005B1B78">
        <w:rPr>
          <w:rFonts w:eastAsia="等线"/>
        </w:rPr>
        <w:t>The investment payback period can be calculated according to the investment cash flow statement. The investment payback period of a project is the point at which the cumulative net investment cash flows rise from negative to zero, which is calculated:</w:t>
      </w:r>
    </w:p>
    <w:p w14:paraId="1748823C" w14:textId="24C53719" w:rsidR="00411229" w:rsidRPr="006815A8" w:rsidRDefault="00411229" w:rsidP="002700F7">
      <w:pPr>
        <w:tabs>
          <w:tab w:val="center" w:pos="2310"/>
          <w:tab w:val="right" w:pos="4620"/>
        </w:tabs>
        <w:snapToGrid w:val="0"/>
        <w:jc w:val="right"/>
        <w:textAlignment w:val="center"/>
      </w:pPr>
      <w:r w:rsidRPr="006815A8">
        <w:tab/>
      </w:r>
      <w:r w:rsidR="00054FA7" w:rsidRPr="006815A8">
        <w:object w:dxaOrig="1890" w:dyaOrig="555" w14:anchorId="764DE132">
          <v:shape id="_x0000_i1052" type="#_x0000_t75" style="width:94.3pt;height:27.35pt" o:ole="">
            <v:imagedata r:id="rId62" o:title=""/>
          </v:shape>
          <o:OLEObject Type="Embed" ProgID="Equation.DSMT4" ShapeID="_x0000_i1052" DrawAspect="Content" ObjectID="_1728905168" r:id="rId63"/>
        </w:object>
      </w:r>
      <w:r w:rsidRPr="006815A8">
        <w:tab/>
      </w:r>
      <w:r>
        <w:t>(25)</w:t>
      </w:r>
    </w:p>
    <w:bookmarkEnd w:id="47"/>
    <w:p w14:paraId="7AA429FE" w14:textId="11510209" w:rsidR="00E97402" w:rsidRDefault="00411229">
      <w:pPr>
        <w:pStyle w:val="1"/>
        <w:rPr>
          <w:color w:val="000000" w:themeColor="text1"/>
        </w:rPr>
      </w:pPr>
      <w:r>
        <w:rPr>
          <w:rFonts w:eastAsia="黑体" w:cs="Arial"/>
          <w:sz w:val="24"/>
          <w:szCs w:val="24"/>
        </w:rPr>
        <w:t>Case Study</w:t>
      </w:r>
    </w:p>
    <w:p w14:paraId="452F4A51" w14:textId="350C6D0F" w:rsidR="00411229" w:rsidRPr="00DC0FAC" w:rsidRDefault="00411229" w:rsidP="00411229">
      <w:pPr>
        <w:pStyle w:val="2"/>
        <w:rPr>
          <w:color w:val="000000" w:themeColor="text1"/>
        </w:rPr>
      </w:pPr>
      <w:r w:rsidRPr="00411229">
        <w:rPr>
          <w:szCs w:val="21"/>
        </w:rPr>
        <w:t xml:space="preserve">Parameter Setting </w:t>
      </w:r>
    </w:p>
    <w:p w14:paraId="7A90F581" w14:textId="731B0484" w:rsidR="00054FA7" w:rsidRPr="00054FA7" w:rsidRDefault="00054FA7" w:rsidP="00054FA7">
      <w:pPr>
        <w:ind w:firstLineChars="100" w:firstLine="200"/>
        <w:jc w:val="both"/>
        <w:rPr>
          <w:rFonts w:eastAsia="等线"/>
        </w:rPr>
      </w:pPr>
      <w:bookmarkStart w:id="48" w:name="_Hlk78895395"/>
      <w:r w:rsidRPr="00054FA7">
        <w:rPr>
          <w:rFonts w:eastAsia="等线"/>
        </w:rPr>
        <w:t>In this paper, we use a 300MW thermal power plant with a 100MW/100MWh BESS participating in frequency and peak regulation in the auxiliary service market as the test case. The case is based on the historical operation data of that power plant, and the capacity ratio and dispatching strategy of BESS participating in frequency and peak regulation are set according to references [13,18]. The connection mode of the BESS is shown in Fig. 2.</w:t>
      </w:r>
    </w:p>
    <w:p w14:paraId="38B14C2E" w14:textId="6E89206E" w:rsidR="00411229" w:rsidRPr="006815A8" w:rsidRDefault="00054FA7" w:rsidP="00054FA7">
      <w:pPr>
        <w:ind w:firstLineChars="100" w:firstLine="200"/>
        <w:jc w:val="both"/>
        <w:rPr>
          <w:rFonts w:eastAsia="等线"/>
        </w:rPr>
      </w:pPr>
      <w:r w:rsidRPr="00054FA7">
        <w:rPr>
          <w:rFonts w:eastAsia="等线"/>
        </w:rPr>
        <w:t>According to the LCC and benefit model constructed in this paper, the case studies are divided into two scenarios. In Scenario 1, we do not consider the indirect benefits of reduction in unit loss and the delay of power plant investment; while in scenario 2, we consider the above indirect benefits. In this paper, a lithium iron phosphate BESS is adopted as an example for economic benefit analysis. The parameters of BESS and conventional units refer to Table A1 in the appendix.</w:t>
      </w:r>
    </w:p>
    <w:bookmarkStart w:id="49" w:name="_Hlk78897195"/>
    <w:bookmarkEnd w:id="48"/>
    <w:p w14:paraId="04C44845" w14:textId="77777777" w:rsidR="00411229" w:rsidRPr="006815A8" w:rsidRDefault="00411229" w:rsidP="00411229">
      <w:pPr>
        <w:jc w:val="center"/>
        <w:rPr>
          <w:rFonts w:eastAsia="等线"/>
        </w:rPr>
      </w:pPr>
      <w:r>
        <w:object w:dxaOrig="4500" w:dyaOrig="3181" w14:anchorId="500225C3">
          <v:shape id="_x0000_i1053" type="#_x0000_t75" style="width:226.1pt;height:159.15pt" o:ole="">
            <v:imagedata r:id="rId64" o:title=""/>
          </v:shape>
          <o:OLEObject Type="Embed" ProgID="Visio.Drawing.15" ShapeID="_x0000_i1053" DrawAspect="Content" ObjectID="_1728905169" r:id="rId65"/>
        </w:object>
      </w:r>
      <w:bookmarkEnd w:id="49"/>
    </w:p>
    <w:p w14:paraId="79154472" w14:textId="1DF962DF" w:rsidR="00411229" w:rsidRPr="002700F7" w:rsidRDefault="00411229" w:rsidP="00592FB2">
      <w:pPr>
        <w:pStyle w:val="a4"/>
        <w:spacing w:afterLines="50" w:after="120"/>
        <w:ind w:firstLine="0"/>
      </w:pPr>
      <w:bookmarkStart w:id="50" w:name="_Hlk78897202"/>
      <w:r w:rsidRPr="002700F7">
        <w:t xml:space="preserve">Fig.2 The connection mode of </w:t>
      </w:r>
      <w:r w:rsidR="004C7A26">
        <w:t xml:space="preserve">the </w:t>
      </w:r>
      <w:r w:rsidR="00B54EDF">
        <w:t>BESS</w:t>
      </w:r>
      <w:r w:rsidRPr="002700F7">
        <w:t xml:space="preserve"> in power plant side</w:t>
      </w:r>
    </w:p>
    <w:p w14:paraId="3F47FA42" w14:textId="3623F51D" w:rsidR="00411229" w:rsidRPr="00DC0FAC" w:rsidRDefault="00411229" w:rsidP="00411229">
      <w:pPr>
        <w:pStyle w:val="2"/>
        <w:rPr>
          <w:color w:val="000000" w:themeColor="text1"/>
        </w:rPr>
      </w:pPr>
      <w:bookmarkStart w:id="51" w:name="_Hlk78895421"/>
      <w:bookmarkEnd w:id="50"/>
      <w:r w:rsidRPr="006815A8">
        <w:rPr>
          <w:rFonts w:eastAsia="黑体" w:cs="Arial"/>
        </w:rPr>
        <w:t xml:space="preserve">Calculation of </w:t>
      </w:r>
      <w:r>
        <w:rPr>
          <w:rFonts w:eastAsia="黑体" w:cs="Arial"/>
        </w:rPr>
        <w:t xml:space="preserve">the </w:t>
      </w:r>
      <w:r w:rsidRPr="006815A8">
        <w:rPr>
          <w:rFonts w:eastAsia="黑体" w:cs="Arial"/>
        </w:rPr>
        <w:t>cost and benefit indexes</w:t>
      </w:r>
      <w:bookmarkEnd w:id="51"/>
      <w:r w:rsidRPr="00411229">
        <w:rPr>
          <w:szCs w:val="21"/>
        </w:rPr>
        <w:t xml:space="preserve"> </w:t>
      </w:r>
    </w:p>
    <w:p w14:paraId="03EBC948" w14:textId="65046745" w:rsidR="00054FA7" w:rsidRPr="00054FA7" w:rsidRDefault="00054FA7" w:rsidP="00054FA7">
      <w:pPr>
        <w:ind w:firstLineChars="100" w:firstLine="200"/>
        <w:jc w:val="both"/>
      </w:pPr>
      <w:bookmarkStart w:id="52" w:name="_Hlk78895436"/>
      <w:r w:rsidRPr="00054FA7">
        <w:rPr>
          <w:lang w:val="en-GB"/>
        </w:rPr>
        <w:t>A</w:t>
      </w:r>
      <w:r w:rsidRPr="00054FA7">
        <w:t>s we change the ratio of the BESS capacity for frequency regulation to the capacity for peak regulation, the costs and benefits can be calculated in scenario 1 and scenario 2, respectively, and the changes of them are presented in Fig. 3.</w:t>
      </w:r>
    </w:p>
    <w:p w14:paraId="7F07D301" w14:textId="74FAA172" w:rsidR="00393E56" w:rsidRDefault="00054FA7" w:rsidP="00DE7680">
      <w:pPr>
        <w:ind w:firstLineChars="100" w:firstLine="200"/>
        <w:jc w:val="both"/>
      </w:pPr>
      <w:r w:rsidRPr="00054FA7">
        <w:t>It can be seen from Fig. 3 that the costs of BESS in the two scenarios are the same. As the capacity ratio of BESS for frequency regulation increases, its LCC increases in the beginning, then reaching a maximum of 489.72 million Yuan when the ratio reaches 80%. Whereafter, the LCC decreases gradually. The reason is that as the ratio of increases from 0 to 80%, charge and discharge capacity provided by BESS increases, increasing the operation cost and failure loss cost during frequency regulation, and besides its growth rate is higher than the descending rate of peak regulation cost. Therefore, LCC shows an upward trend as the ratio increases. But after that, the power output for peak regulation of BESS decreases with the increase of the capacity ratio of BESS for frequency regulation. As a result, the operation and maintenance cost and failure losses cost during peak regulation decreases, so LCC shows a downward trend. The changes of each kind of cost are shown in Fig. 4.</w:t>
      </w:r>
    </w:p>
    <w:bookmarkStart w:id="53" w:name="_Hlk78897233"/>
    <w:bookmarkEnd w:id="52"/>
    <w:p w14:paraId="79BD7311" w14:textId="78662677" w:rsidR="00411229" w:rsidRPr="006815A8" w:rsidRDefault="00592FB2" w:rsidP="00592FB2">
      <w:pPr>
        <w:jc w:val="center"/>
      </w:pPr>
      <w:r>
        <w:object w:dxaOrig="4380" w:dyaOrig="3105" w14:anchorId="73975D37">
          <v:shape id="_x0000_i1054" type="#_x0000_t75" style="width:210.55pt;height:147.35pt" o:ole="">
            <v:imagedata r:id="rId66" o:title=""/>
          </v:shape>
          <o:OLEObject Type="Embed" ProgID="Visio.Drawing.15" ShapeID="_x0000_i1054" DrawAspect="Content" ObjectID="_1728905170" r:id="rId67"/>
        </w:object>
      </w:r>
      <w:bookmarkEnd w:id="53"/>
    </w:p>
    <w:p w14:paraId="73F45267" w14:textId="77777777" w:rsidR="00411229" w:rsidRPr="002700F7" w:rsidRDefault="00411229" w:rsidP="00592FB2">
      <w:pPr>
        <w:pStyle w:val="a4"/>
        <w:spacing w:afterLines="50" w:after="120"/>
        <w:ind w:firstLine="0"/>
      </w:pPr>
      <w:bookmarkStart w:id="54" w:name="_Hlk78897255"/>
      <w:r w:rsidRPr="002700F7">
        <w:t>Fig.3 Changes in costs and benefits in scenarios 1 and 2</w:t>
      </w:r>
    </w:p>
    <w:bookmarkStart w:id="55" w:name="_Hlk78897271"/>
    <w:bookmarkEnd w:id="54"/>
    <w:p w14:paraId="61FB31E8" w14:textId="531FC2DE" w:rsidR="00411229" w:rsidRPr="006815A8" w:rsidRDefault="00592FB2" w:rsidP="00411229">
      <w:pPr>
        <w:jc w:val="center"/>
      </w:pPr>
      <w:r>
        <w:object w:dxaOrig="4411" w:dyaOrig="2971" w14:anchorId="5FA7584A">
          <v:shape id="_x0000_i1055" type="#_x0000_t75" style="width:207.15pt;height:140.2pt" o:ole="">
            <v:imagedata r:id="rId68" o:title=""/>
          </v:shape>
          <o:OLEObject Type="Embed" ProgID="Visio.Drawing.15" ShapeID="_x0000_i1055" DrawAspect="Content" ObjectID="_1728905171" r:id="rId69"/>
        </w:object>
      </w:r>
      <w:bookmarkEnd w:id="55"/>
    </w:p>
    <w:p w14:paraId="7CB68604" w14:textId="77777777" w:rsidR="00411229" w:rsidRPr="002700F7" w:rsidRDefault="00411229" w:rsidP="00592FB2">
      <w:pPr>
        <w:pStyle w:val="a4"/>
        <w:spacing w:afterLines="50" w:after="120"/>
        <w:ind w:firstLine="0"/>
      </w:pPr>
      <w:bookmarkStart w:id="56" w:name="_Hlk78897280"/>
      <w:r w:rsidRPr="002700F7">
        <w:t>Fig.4 Changes in four types of costs</w:t>
      </w:r>
    </w:p>
    <w:p w14:paraId="0121C19C" w14:textId="5B29444C" w:rsidR="00DE7680" w:rsidRPr="00DE7680" w:rsidRDefault="00DE7680" w:rsidP="00DE7680">
      <w:pPr>
        <w:ind w:firstLineChars="100" w:firstLine="200"/>
        <w:jc w:val="both"/>
      </w:pPr>
      <w:bookmarkStart w:id="57" w:name="_Hlk78895460"/>
      <w:bookmarkEnd w:id="56"/>
      <w:r w:rsidRPr="00DE7680">
        <w:t xml:space="preserve">It can be seen from Fig. </w:t>
      </w:r>
      <w:r>
        <w:t>3</w:t>
      </w:r>
      <w:r w:rsidRPr="00DE7680">
        <w:t xml:space="preserve"> that the total benefit of BESS in the two scenarios has the same trend. As the capacity proportion of BESS for frequency regulation increases, the total benefit increases at first and reaches the maximum value at 60%, where it reaches 476.32 million Yuan in scenario 1 and 608.54 million Yuan in scenario 2, and then falls gradually. Generally, the frequency regulation demand is relatively larger than the peak regulation demand in a power plant. When BESS only participates in auxiliary peak regulation at the beginning, the annual average charge and discharge capacity is 7.47</w:t>
      </w:r>
      <w:r w:rsidRPr="00DE7680">
        <w:rPr>
          <w:rFonts w:hint="eastAsia"/>
        </w:rPr>
        <w:t>×</w:t>
      </w:r>
      <w:r w:rsidRPr="00DE7680">
        <w:t>10</w:t>
      </w:r>
      <w:r w:rsidRPr="00DE7680">
        <w:rPr>
          <w:vertAlign w:val="superscript"/>
        </w:rPr>
        <w:t>3</w:t>
      </w:r>
      <w:r w:rsidRPr="00DE7680">
        <w:t>MWh. With the ratio increasing from 0% to 60%, the annual average charge and discharge capacity increases to 1.41</w:t>
      </w:r>
      <w:r w:rsidRPr="00DE7680">
        <w:rPr>
          <w:rFonts w:hint="eastAsia"/>
        </w:rPr>
        <w:t>×</w:t>
      </w:r>
      <w:r w:rsidRPr="00DE7680">
        <w:t>10</w:t>
      </w:r>
      <w:r w:rsidRPr="00DE7680">
        <w:rPr>
          <w:vertAlign w:val="superscript"/>
        </w:rPr>
        <w:t>4</w:t>
      </w:r>
      <w:r w:rsidRPr="00DE7680">
        <w:t xml:space="preserve"> MWh because of BESS participating in both frequency and peak regulation, which is 1.88 times of the original. Hence, the direct and indirect benefits of BESS participating in auxiliary frequency services increase significantly, resulting in a significant rise in total </w:t>
      </w:r>
      <w:r w:rsidRPr="00DE7680">
        <w:rPr>
          <w:rFonts w:hint="eastAsia"/>
        </w:rPr>
        <w:t>income</w:t>
      </w:r>
      <w:r w:rsidRPr="00DE7680">
        <w:t>s. When the ratio increases from 60% to 100%, the output power of BESS for peak regulation gradually decreases to zero. Currently, because of the income only coming from frequency regulation, the annual average charge and discharge power is only 50.05% of the optimal value, so the total income of BESS for frequency regulation and peak regulation decreases rapidly with the decrease in its output power.</w:t>
      </w:r>
    </w:p>
    <w:p w14:paraId="51D4031D" w14:textId="77777777" w:rsidR="00DE7680" w:rsidRPr="00DE7680" w:rsidRDefault="00DE7680" w:rsidP="00DE7680">
      <w:pPr>
        <w:ind w:firstLineChars="100" w:firstLine="200"/>
        <w:jc w:val="both"/>
      </w:pPr>
      <w:r w:rsidRPr="00DE7680">
        <w:t>To summarize, the cost of BESS is maximum when the ratio is 80% and the income of BESS is maximum when the ratio is 60%. In addition, the income of scenario 2 is higher than the corresponding cost when the ratio is ranging from 50% to 60%, which means profitable.</w:t>
      </w:r>
    </w:p>
    <w:p w14:paraId="163B4F35" w14:textId="6E5166CC" w:rsidR="00411229" w:rsidRPr="00DC0FAC" w:rsidRDefault="00411229" w:rsidP="00411229">
      <w:pPr>
        <w:pStyle w:val="2"/>
        <w:rPr>
          <w:color w:val="000000" w:themeColor="text1"/>
        </w:rPr>
      </w:pPr>
      <w:bookmarkStart w:id="58" w:name="_Hlk78895478"/>
      <w:bookmarkEnd w:id="57"/>
      <w:r w:rsidRPr="00411229">
        <w:rPr>
          <w:szCs w:val="21"/>
        </w:rPr>
        <w:t>Economic benefit evaluation and analysis</w:t>
      </w:r>
      <w:bookmarkEnd w:id="58"/>
      <w:r w:rsidRPr="00411229">
        <w:rPr>
          <w:szCs w:val="21"/>
        </w:rPr>
        <w:t xml:space="preserve"> </w:t>
      </w:r>
    </w:p>
    <w:p w14:paraId="281D5043" w14:textId="1D3EF5E8" w:rsidR="00DE7680" w:rsidRPr="00DE7680" w:rsidRDefault="00DE7680" w:rsidP="00DE7680">
      <w:pPr>
        <w:ind w:firstLineChars="100" w:firstLine="200"/>
        <w:jc w:val="both"/>
      </w:pPr>
      <w:bookmarkStart w:id="59" w:name="_Hlk78895487"/>
      <w:r w:rsidRPr="00DE7680">
        <w:t xml:space="preserve">Table A2 and Table A3 in the appendix list the calculation results of each economic evaluation index in each scenario. The changing trends of the three types of indexes are drawn in Figs. 5-7 for analyses. </w:t>
      </w:r>
    </w:p>
    <w:p w14:paraId="321085FA" w14:textId="136C80C7" w:rsidR="00411229" w:rsidRDefault="00DE7680" w:rsidP="00DE7680">
      <w:pPr>
        <w:ind w:firstLineChars="100" w:firstLine="200"/>
        <w:jc w:val="both"/>
      </w:pPr>
      <w:r w:rsidRPr="00DE7680">
        <w:t xml:space="preserve">It can be observed from Fig. 5 that </w:t>
      </w:r>
      <w:proofErr w:type="spellStart"/>
      <w:r w:rsidRPr="00DE7680">
        <w:rPr>
          <w:i/>
          <w:iCs/>
        </w:rPr>
        <w:t>R</w:t>
      </w:r>
      <w:r w:rsidRPr="00DE7680">
        <w:rPr>
          <w:vertAlign w:val="subscript"/>
        </w:rPr>
        <w:t>inv</w:t>
      </w:r>
      <w:proofErr w:type="spellEnd"/>
      <w:r w:rsidRPr="00DE7680">
        <w:t xml:space="preserve"> firstly increases and then decreases with the change of the capacity ratio of BESS for frequency regulation. When the ratio is 60%, </w:t>
      </w:r>
      <w:proofErr w:type="spellStart"/>
      <w:r w:rsidRPr="00DE7680">
        <w:rPr>
          <w:i/>
          <w:iCs/>
        </w:rPr>
        <w:t>R</w:t>
      </w:r>
      <w:r w:rsidRPr="00DE7680">
        <w:rPr>
          <w:vertAlign w:val="subscript"/>
        </w:rPr>
        <w:t>inv</w:t>
      </w:r>
      <w:proofErr w:type="spellEnd"/>
      <w:r w:rsidRPr="00DE7680">
        <w:t xml:space="preserve"> is the largest, and the value of </w:t>
      </w:r>
      <w:proofErr w:type="spellStart"/>
      <w:r w:rsidRPr="00DE7680">
        <w:rPr>
          <w:i/>
          <w:iCs/>
        </w:rPr>
        <w:t>R</w:t>
      </w:r>
      <w:r w:rsidRPr="00DE7680">
        <w:rPr>
          <w:vertAlign w:val="subscript"/>
        </w:rPr>
        <w:t>inv</w:t>
      </w:r>
      <w:proofErr w:type="spellEnd"/>
      <w:r w:rsidRPr="00DE7680">
        <w:t xml:space="preserve"> in scenario 2 is greater than that in scenario 1, so there are more economic benefits in scenario 2. When the ratio increases from 0 to 60%, the income growth is significantly greater than the cost growth. From Eq. (23), the higher </w:t>
      </w:r>
      <w:proofErr w:type="spellStart"/>
      <w:r w:rsidRPr="00DE7680">
        <w:rPr>
          <w:i/>
          <w:iCs/>
        </w:rPr>
        <w:t>R</w:t>
      </w:r>
      <w:r w:rsidRPr="00DE7680">
        <w:rPr>
          <w:vertAlign w:val="subscript"/>
        </w:rPr>
        <w:t>inv</w:t>
      </w:r>
      <w:proofErr w:type="spellEnd"/>
      <w:r w:rsidRPr="00DE7680">
        <w:t xml:space="preserve"> means better profitability. Conversely, when the ratio exceeds 60%, the growth of cost is higher than that of income, so </w:t>
      </w:r>
      <w:proofErr w:type="spellStart"/>
      <w:r w:rsidRPr="00DE7680">
        <w:rPr>
          <w:i/>
          <w:iCs/>
        </w:rPr>
        <w:t>R</w:t>
      </w:r>
      <w:r w:rsidRPr="00DE7680">
        <w:rPr>
          <w:vertAlign w:val="subscript"/>
        </w:rPr>
        <w:t>inv</w:t>
      </w:r>
      <w:proofErr w:type="spellEnd"/>
      <w:r w:rsidRPr="00DE7680">
        <w:t xml:space="preserve"> and profitability both decreases. Since the </w:t>
      </w:r>
      <w:r w:rsidRPr="00DE7680">
        <w:lastRenderedPageBreak/>
        <w:t xml:space="preserve">income in scenario 2 is higher than that in scenario 1, </w:t>
      </w:r>
      <w:proofErr w:type="spellStart"/>
      <w:r w:rsidRPr="00DE7680">
        <w:rPr>
          <w:i/>
          <w:iCs/>
        </w:rPr>
        <w:t>R</w:t>
      </w:r>
      <w:r w:rsidRPr="00DE7680">
        <w:rPr>
          <w:vertAlign w:val="subscript"/>
        </w:rPr>
        <w:t>inv</w:t>
      </w:r>
      <w:proofErr w:type="spellEnd"/>
      <w:r w:rsidRPr="00DE7680">
        <w:t xml:space="preserve"> in scenario 2 is higher than that in scenario 1.</w:t>
      </w:r>
    </w:p>
    <w:bookmarkStart w:id="60" w:name="_Hlk78897319"/>
    <w:bookmarkEnd w:id="59"/>
    <w:p w14:paraId="3EF0A51B" w14:textId="188283C9" w:rsidR="00411229" w:rsidRPr="006815A8" w:rsidRDefault="00592FB2" w:rsidP="00411229">
      <w:pPr>
        <w:jc w:val="center"/>
      </w:pPr>
      <w:r>
        <w:object w:dxaOrig="3525" w:dyaOrig="2595" w14:anchorId="17FE1DD2">
          <v:shape id="_x0000_i1056" type="#_x0000_t75" style="width:166.75pt;height:123.35pt" o:ole="">
            <v:imagedata r:id="rId70" o:title=""/>
          </v:shape>
          <o:OLEObject Type="Embed" ProgID="Visio.Drawing.15" ShapeID="_x0000_i1056" DrawAspect="Content" ObjectID="_1728905172" r:id="rId71"/>
        </w:object>
      </w:r>
      <w:bookmarkEnd w:id="60"/>
    </w:p>
    <w:p w14:paraId="30FADC1E" w14:textId="195071DA" w:rsidR="00411229" w:rsidRPr="002700F7" w:rsidRDefault="00411229" w:rsidP="00592FB2">
      <w:pPr>
        <w:pStyle w:val="a4"/>
        <w:spacing w:afterLines="50" w:after="120"/>
        <w:ind w:firstLine="0"/>
      </w:pPr>
      <w:bookmarkStart w:id="61" w:name="_Hlk78897334"/>
      <w:r w:rsidRPr="002700F7">
        <w:t xml:space="preserve">Fig.5 Changes of </w:t>
      </w:r>
      <w:proofErr w:type="spellStart"/>
      <w:r w:rsidR="002700F7" w:rsidRPr="006815A8">
        <w:rPr>
          <w:i/>
        </w:rPr>
        <w:t>R</w:t>
      </w:r>
      <w:r w:rsidR="002700F7" w:rsidRPr="006815A8">
        <w:rPr>
          <w:vertAlign w:val="subscript"/>
        </w:rPr>
        <w:t>inv</w:t>
      </w:r>
      <w:proofErr w:type="spellEnd"/>
      <w:r w:rsidRPr="002700F7">
        <w:t xml:space="preserve"> in scenarios 1 and 2</w:t>
      </w:r>
    </w:p>
    <w:bookmarkStart w:id="62" w:name="_Hlk78897348"/>
    <w:bookmarkEnd w:id="61"/>
    <w:p w14:paraId="512DD53A" w14:textId="2ED59319" w:rsidR="00411229" w:rsidRPr="006815A8" w:rsidRDefault="00592FB2" w:rsidP="00411229">
      <w:pPr>
        <w:jc w:val="center"/>
      </w:pPr>
      <w:r>
        <w:object w:dxaOrig="3810" w:dyaOrig="2595" w14:anchorId="0ACAC720">
          <v:shape id="_x0000_i1057" type="#_x0000_t75" style="width:179.35pt;height:123.35pt" o:ole="">
            <v:imagedata r:id="rId72" o:title=""/>
          </v:shape>
          <o:OLEObject Type="Embed" ProgID="Visio.Drawing.15" ShapeID="_x0000_i1057" DrawAspect="Content" ObjectID="_1728905173" r:id="rId73"/>
        </w:object>
      </w:r>
      <w:bookmarkEnd w:id="62"/>
    </w:p>
    <w:p w14:paraId="6659FBA4" w14:textId="69298389" w:rsidR="00411229" w:rsidRPr="002700F7" w:rsidRDefault="00411229" w:rsidP="00592FB2">
      <w:pPr>
        <w:pStyle w:val="a4"/>
        <w:spacing w:afterLines="50" w:after="120"/>
        <w:ind w:firstLine="0"/>
      </w:pPr>
      <w:bookmarkStart w:id="63" w:name="_Hlk78897365"/>
      <w:r w:rsidRPr="002700F7">
        <w:t xml:space="preserve">Fig.6 Changes of </w:t>
      </w:r>
      <w:r w:rsidR="002700F7" w:rsidRPr="006815A8">
        <w:rPr>
          <w:i/>
        </w:rPr>
        <w:t>V</w:t>
      </w:r>
      <w:r w:rsidRPr="002700F7">
        <w:t xml:space="preserve"> in scenarios 1 and 2</w:t>
      </w:r>
    </w:p>
    <w:p w14:paraId="2517C029" w14:textId="4265051B" w:rsidR="00411229" w:rsidRPr="006815A8" w:rsidRDefault="00DE7680" w:rsidP="00DE7680">
      <w:pPr>
        <w:ind w:firstLineChars="100" w:firstLine="200"/>
        <w:jc w:val="both"/>
      </w:pPr>
      <w:bookmarkStart w:id="64" w:name="_Hlk78895511"/>
      <w:bookmarkEnd w:id="63"/>
      <w:r w:rsidRPr="00DE7680">
        <w:t xml:space="preserve">It can be seen from Fig. 6 that </w:t>
      </w:r>
      <w:r w:rsidRPr="00DE7680">
        <w:rPr>
          <w:i/>
          <w:iCs/>
        </w:rPr>
        <w:t>V</w:t>
      </w:r>
      <w:r w:rsidRPr="00DE7680">
        <w:t xml:space="preserve"> firstly increases and then decreases with the change of the capacity ratio of BESS for frequency regulation. When the ratio is 60%, </w:t>
      </w:r>
      <w:r w:rsidRPr="00DE7680">
        <w:rPr>
          <w:i/>
          <w:iCs/>
        </w:rPr>
        <w:t>V</w:t>
      </w:r>
      <w:r w:rsidRPr="00DE7680">
        <w:t xml:space="preserve"> is maximum v, and its value in scenario 2 is larger than that in scenario 1. When the ratio ranging from 50% to 60%, </w:t>
      </w:r>
      <w:r w:rsidRPr="00DE7680">
        <w:rPr>
          <w:i/>
          <w:iCs/>
        </w:rPr>
        <w:t>V</w:t>
      </w:r>
      <w:r w:rsidRPr="00DE7680">
        <w:t xml:space="preserve"> is positive, which indicates that BESS is worth investing. When the ratio increases from 0 to 60%, the income gradually increases, and its growth rate is higher than the growth rate of cost, so </w:t>
      </w:r>
      <w:r w:rsidRPr="00DE7680">
        <w:rPr>
          <w:i/>
          <w:iCs/>
        </w:rPr>
        <w:t>V</w:t>
      </w:r>
      <w:r w:rsidRPr="00DE7680">
        <w:t xml:space="preserve"> increases. However, in scenario 1, because each income is lower than the corresponding cost, </w:t>
      </w:r>
      <w:r w:rsidRPr="00DE7680">
        <w:rPr>
          <w:i/>
          <w:iCs/>
        </w:rPr>
        <w:t>V</w:t>
      </w:r>
      <w:r w:rsidRPr="00DE7680">
        <w:t xml:space="preserve"> is always negative. By contrast, in scenario 2, the income is higher than the cost in when the ratio is 50%-60%, making </w:t>
      </w:r>
      <w:r w:rsidRPr="00DE7680">
        <w:rPr>
          <w:i/>
          <w:iCs/>
        </w:rPr>
        <w:t>V</w:t>
      </w:r>
      <w:r w:rsidRPr="00DE7680">
        <w:t xml:space="preserve"> positive, which means profitable. When the ratio exceeds 60%, the increase in cost is higher than that in income, so </w:t>
      </w:r>
      <w:r w:rsidRPr="00DE7680">
        <w:rPr>
          <w:i/>
          <w:iCs/>
        </w:rPr>
        <w:t>V</w:t>
      </w:r>
      <w:r w:rsidRPr="00DE7680">
        <w:t xml:space="preserve"> and profitability both decreases.</w:t>
      </w:r>
    </w:p>
    <w:bookmarkEnd w:id="64"/>
    <w:p w14:paraId="1B33A8DB" w14:textId="2652B696" w:rsidR="00411229" w:rsidRPr="006815A8" w:rsidRDefault="00B90A44" w:rsidP="00411229">
      <w:pPr>
        <w:jc w:val="center"/>
      </w:pPr>
      <w:r>
        <w:object w:dxaOrig="6140" w:dyaOrig="5321" w14:anchorId="14671859">
          <v:shape id="_x0000_i1058" type="#_x0000_t75" style="width:171.8pt;height:149.05pt" o:ole="">
            <v:imagedata r:id="rId74" o:title=""/>
          </v:shape>
          <o:OLEObject Type="Embed" ProgID="Visio.Drawing.15" ShapeID="_x0000_i1058" DrawAspect="Content" ObjectID="_1728905174" r:id="rId75"/>
        </w:object>
      </w:r>
    </w:p>
    <w:p w14:paraId="27E1A9BC" w14:textId="1E1E5FDD" w:rsidR="00411229" w:rsidRPr="002700F7" w:rsidRDefault="00411229" w:rsidP="00592FB2">
      <w:pPr>
        <w:pStyle w:val="a4"/>
        <w:spacing w:afterLines="50" w:after="120"/>
        <w:ind w:firstLine="0"/>
      </w:pPr>
      <w:bookmarkStart w:id="65" w:name="_Hlk78897403"/>
      <w:r w:rsidRPr="002700F7">
        <w:t xml:space="preserve">Fig.7 Changes of </w:t>
      </w:r>
      <w:proofErr w:type="spellStart"/>
      <w:r w:rsidR="002700F7" w:rsidRPr="006815A8">
        <w:rPr>
          <w:i/>
        </w:rPr>
        <w:t>T</w:t>
      </w:r>
      <w:r w:rsidR="002700F7" w:rsidRPr="006815A8">
        <w:rPr>
          <w:vertAlign w:val="subscript"/>
        </w:rPr>
        <w:t>p</w:t>
      </w:r>
      <w:proofErr w:type="spellEnd"/>
      <w:r w:rsidRPr="002700F7">
        <w:t xml:space="preserve"> in scenarios 1 and 2</w:t>
      </w:r>
    </w:p>
    <w:p w14:paraId="645B9B02" w14:textId="175F1B65" w:rsidR="00DE7680" w:rsidRPr="00DE7680" w:rsidRDefault="00DE7680" w:rsidP="00DE7680">
      <w:pPr>
        <w:ind w:firstLineChars="100" w:firstLine="200"/>
        <w:jc w:val="both"/>
      </w:pPr>
      <w:bookmarkStart w:id="66" w:name="_Hlk78895533"/>
      <w:bookmarkEnd w:id="65"/>
      <w:r w:rsidRPr="00DE7680">
        <w:t xml:space="preserve">It can be seen from Fig. 7 that </w:t>
      </w:r>
      <w:bookmarkStart w:id="67" w:name="OLE_LINK2"/>
      <w:proofErr w:type="spellStart"/>
      <w:r w:rsidRPr="00DE7680">
        <w:rPr>
          <w:i/>
          <w:iCs/>
        </w:rPr>
        <w:t>T</w:t>
      </w:r>
      <w:r w:rsidRPr="00DE7680">
        <w:rPr>
          <w:vertAlign w:val="subscript"/>
        </w:rPr>
        <w:t>p</w:t>
      </w:r>
      <w:bookmarkEnd w:id="67"/>
      <w:proofErr w:type="spellEnd"/>
      <w:r w:rsidRPr="00DE7680">
        <w:t xml:space="preserve"> first decreases and then increases with the change of the capacity ratio of BESS for frequency regulation. When the ratio is 60%, </w:t>
      </w:r>
      <w:proofErr w:type="spellStart"/>
      <w:r w:rsidRPr="00DE7680">
        <w:rPr>
          <w:i/>
          <w:iCs/>
        </w:rPr>
        <w:t>T</w:t>
      </w:r>
      <w:r w:rsidRPr="00DE7680">
        <w:rPr>
          <w:vertAlign w:val="subscript"/>
        </w:rPr>
        <w:t>p</w:t>
      </w:r>
      <w:proofErr w:type="spellEnd"/>
      <w:r w:rsidRPr="00DE7680">
        <w:t xml:space="preserve"> is the smallest, and </w:t>
      </w:r>
      <w:proofErr w:type="spellStart"/>
      <w:r w:rsidRPr="00DE7680">
        <w:rPr>
          <w:i/>
          <w:iCs/>
        </w:rPr>
        <w:t>T</w:t>
      </w:r>
      <w:r w:rsidRPr="00DE7680">
        <w:rPr>
          <w:vertAlign w:val="subscript"/>
        </w:rPr>
        <w:t>p</w:t>
      </w:r>
      <w:proofErr w:type="spellEnd"/>
      <w:r w:rsidRPr="00DE7680">
        <w:t xml:space="preserve"> in scenario 2 is smaller than that in scenario 1, which means the profitability in scenario 2 is better. When the ratio </w:t>
      </w:r>
      <w:r w:rsidRPr="00DE7680">
        <w:t xml:space="preserve">increases from 0 to 60%, the income growth is greater than the cost growth, so the investment payback period on BESS is shortened. Lower </w:t>
      </w:r>
      <w:proofErr w:type="spellStart"/>
      <w:r w:rsidRPr="00DE7680">
        <w:rPr>
          <w:i/>
          <w:iCs/>
        </w:rPr>
        <w:t>T</w:t>
      </w:r>
      <w:r w:rsidRPr="00DE7680">
        <w:rPr>
          <w:vertAlign w:val="subscript"/>
        </w:rPr>
        <w:t>p</w:t>
      </w:r>
      <w:proofErr w:type="spellEnd"/>
      <w:r w:rsidRPr="00DE7680">
        <w:t xml:space="preserve"> indicates shorter investment payback period. Conversely, when the ratio exceeds 60%, the cost growth is greater than the income growth resulting in higher </w:t>
      </w:r>
      <w:proofErr w:type="spellStart"/>
      <w:r w:rsidRPr="00DE7680">
        <w:rPr>
          <w:i/>
          <w:iCs/>
        </w:rPr>
        <w:t>T</w:t>
      </w:r>
      <w:r w:rsidRPr="00DE7680">
        <w:rPr>
          <w:vertAlign w:val="subscript"/>
        </w:rPr>
        <w:t>p</w:t>
      </w:r>
      <w:proofErr w:type="spellEnd"/>
      <w:r w:rsidRPr="00DE7680">
        <w:t xml:space="preserve"> and longer investment payback period. In Scenario 2, when the ratio reaches 50% or 60%, its </w:t>
      </w:r>
      <w:proofErr w:type="spellStart"/>
      <w:r w:rsidRPr="00DE7680">
        <w:rPr>
          <w:i/>
          <w:iCs/>
        </w:rPr>
        <w:t>T</w:t>
      </w:r>
      <w:r w:rsidRPr="00DE7680">
        <w:rPr>
          <w:vertAlign w:val="subscript"/>
        </w:rPr>
        <w:t>p</w:t>
      </w:r>
      <w:proofErr w:type="spellEnd"/>
      <w:r w:rsidRPr="00DE7680">
        <w:t xml:space="preserve"> is close to the industry benchmark, which is 12 years, so the project is profitable within the life cycle of BESS.</w:t>
      </w:r>
    </w:p>
    <w:p w14:paraId="0D1B5A11" w14:textId="36AAB49A" w:rsidR="00411229" w:rsidRPr="006815A8" w:rsidRDefault="00DE7680" w:rsidP="00DE7680">
      <w:pPr>
        <w:ind w:firstLineChars="100" w:firstLine="200"/>
        <w:jc w:val="both"/>
      </w:pPr>
      <w:r w:rsidRPr="00DE7680">
        <w:t>Above all, when the of BESS is 60%, the three types of indicators reach optimal. Compared with the industry benchmark of each indicator, most BESS projects are unprofitable. However, if we optimize the operation strategy of BESS according to the market mechanism, it can make profits, even approaching the benchmark. With the advancement of energy storage technology, the profitability of the project will gradually increase.</w:t>
      </w:r>
    </w:p>
    <w:p w14:paraId="64219A4D" w14:textId="522CABDC" w:rsidR="00411229" w:rsidRPr="00DC0FAC" w:rsidRDefault="00411229" w:rsidP="00411229">
      <w:pPr>
        <w:pStyle w:val="2"/>
        <w:rPr>
          <w:color w:val="000000" w:themeColor="text1"/>
        </w:rPr>
      </w:pPr>
      <w:bookmarkStart w:id="68" w:name="_Hlk78895914"/>
      <w:bookmarkEnd w:id="66"/>
      <w:r w:rsidRPr="00411229">
        <w:rPr>
          <w:szCs w:val="21"/>
        </w:rPr>
        <w:t>Analysis of the impact of energy storage capacity on economic benefits</w:t>
      </w:r>
      <w:bookmarkEnd w:id="68"/>
      <w:r w:rsidRPr="00411229">
        <w:rPr>
          <w:szCs w:val="21"/>
        </w:rPr>
        <w:t xml:space="preserve"> </w:t>
      </w:r>
    </w:p>
    <w:p w14:paraId="60C93393" w14:textId="6FA79F78" w:rsidR="002700F7" w:rsidRPr="00AD1D34" w:rsidRDefault="00DE7680" w:rsidP="00DE7680">
      <w:pPr>
        <w:ind w:firstLineChars="100" w:firstLine="200"/>
        <w:jc w:val="both"/>
      </w:pPr>
      <w:bookmarkStart w:id="69" w:name="_Hlk78895931"/>
      <w:r w:rsidRPr="00DE7680">
        <w:t>To analyze the impact of BESS capacity on its economic benefits, this section sets the capacity to 90%, 150%, and 200% of the original capacity, setting the capacity ratio for frequency regulation as 60%, and calculates the economic indicators. The results are shown in Table 1.</w:t>
      </w:r>
    </w:p>
    <w:tbl>
      <w:tblPr>
        <w:tblW w:w="4530" w:type="pct"/>
        <w:jc w:val="center"/>
        <w:tblBorders>
          <w:top w:val="single" w:sz="6" w:space="0" w:color="auto"/>
          <w:bottom w:val="single" w:sz="6" w:space="0" w:color="auto"/>
          <w:insideH w:val="single" w:sz="4" w:space="0" w:color="auto"/>
        </w:tblBorders>
        <w:tblCellMar>
          <w:left w:w="0" w:type="dxa"/>
          <w:right w:w="0" w:type="dxa"/>
        </w:tblCellMar>
        <w:tblLook w:val="04A0" w:firstRow="1" w:lastRow="0" w:firstColumn="1" w:lastColumn="0" w:noHBand="0" w:noVBand="1"/>
      </w:tblPr>
      <w:tblGrid>
        <w:gridCol w:w="1143"/>
        <w:gridCol w:w="761"/>
        <w:gridCol w:w="569"/>
        <w:gridCol w:w="1143"/>
        <w:gridCol w:w="950"/>
      </w:tblGrid>
      <w:tr w:rsidR="00411229" w:rsidRPr="006815A8" w14:paraId="05789306" w14:textId="77777777" w:rsidTr="00411229">
        <w:trPr>
          <w:trHeight w:val="3"/>
          <w:jc w:val="center"/>
        </w:trPr>
        <w:tc>
          <w:tcPr>
            <w:tcW w:w="5000" w:type="pct"/>
            <w:gridSpan w:val="5"/>
            <w:tcBorders>
              <w:top w:val="nil"/>
              <w:left w:val="nil"/>
              <w:bottom w:val="single" w:sz="6" w:space="0" w:color="auto"/>
              <w:right w:val="nil"/>
            </w:tcBorders>
            <w:shd w:val="clear" w:color="auto" w:fill="auto"/>
            <w:vAlign w:val="center"/>
            <w:hideMark/>
          </w:tcPr>
          <w:p w14:paraId="1BB9CD3D" w14:textId="37A263EE" w:rsidR="002700F7" w:rsidRPr="00AD1D34" w:rsidRDefault="00411229" w:rsidP="002700F7">
            <w:pPr>
              <w:pStyle w:val="TableTitle"/>
            </w:pPr>
            <w:proofErr w:type="spellStart"/>
            <w:r w:rsidRPr="00AD1D34">
              <w:t>Tab</w:t>
            </w:r>
            <w:r w:rsidR="00331EF8" w:rsidRPr="00AD1D34">
              <w:t>LE</w:t>
            </w:r>
            <w:r w:rsidRPr="00AD1D34">
              <w:t>.</w:t>
            </w:r>
            <w:r w:rsidR="002700F7" w:rsidRPr="00AD1D34">
              <w:t>I</w:t>
            </w:r>
            <w:proofErr w:type="spellEnd"/>
          </w:p>
          <w:p w14:paraId="72641B4F" w14:textId="1E396A90" w:rsidR="00411229" w:rsidRPr="006815A8" w:rsidRDefault="00411229" w:rsidP="002700F7">
            <w:pPr>
              <w:pStyle w:val="TableTitle"/>
              <w:rPr>
                <w:rFonts w:eastAsia="黑体"/>
                <w:b/>
                <w:sz w:val="18"/>
                <w:szCs w:val="18"/>
              </w:rPr>
            </w:pPr>
            <w:r w:rsidRPr="00AD1D34">
              <w:t>Impact of different capacity on BESS cost and indicators</w:t>
            </w:r>
          </w:p>
        </w:tc>
      </w:tr>
      <w:tr w:rsidR="00411229" w:rsidRPr="002700F7" w14:paraId="77F1C051" w14:textId="77777777" w:rsidTr="002700F7">
        <w:trPr>
          <w:trHeight w:val="3"/>
          <w:jc w:val="center"/>
        </w:trPr>
        <w:tc>
          <w:tcPr>
            <w:tcW w:w="1252" w:type="pct"/>
            <w:vMerge w:val="restart"/>
            <w:tcBorders>
              <w:top w:val="double" w:sz="4" w:space="0" w:color="auto"/>
              <w:left w:val="nil"/>
              <w:bottom w:val="single" w:sz="4" w:space="0" w:color="auto"/>
              <w:right w:val="nil"/>
            </w:tcBorders>
            <w:shd w:val="clear" w:color="auto" w:fill="auto"/>
            <w:vAlign w:val="center"/>
            <w:hideMark/>
          </w:tcPr>
          <w:p w14:paraId="7DAD0140" w14:textId="6501C788" w:rsidR="00411229" w:rsidRPr="002700F7" w:rsidRDefault="009B632F" w:rsidP="003613E8">
            <w:pPr>
              <w:spacing w:line="240" w:lineRule="exact"/>
              <w:jc w:val="center"/>
              <w:rPr>
                <w:noProof/>
                <w:sz w:val="16"/>
                <w:szCs w:val="16"/>
              </w:rPr>
            </w:pPr>
            <w:r>
              <w:rPr>
                <w:noProof/>
                <w:sz w:val="16"/>
                <w:szCs w:val="16"/>
              </w:rPr>
              <w:t xml:space="preserve">The </w:t>
            </w:r>
            <w:r w:rsidR="00411229" w:rsidRPr="002700F7">
              <w:rPr>
                <w:noProof/>
                <w:sz w:val="16"/>
                <w:szCs w:val="16"/>
              </w:rPr>
              <w:t>Capacity of BESS /MW•h</w:t>
            </w:r>
          </w:p>
        </w:tc>
        <w:tc>
          <w:tcPr>
            <w:tcW w:w="833" w:type="pct"/>
            <w:vMerge w:val="restart"/>
            <w:tcBorders>
              <w:top w:val="double" w:sz="4" w:space="0" w:color="auto"/>
              <w:left w:val="nil"/>
              <w:bottom w:val="single" w:sz="4" w:space="0" w:color="auto"/>
              <w:right w:val="nil"/>
            </w:tcBorders>
            <w:shd w:val="clear" w:color="auto" w:fill="auto"/>
            <w:vAlign w:val="center"/>
            <w:hideMark/>
          </w:tcPr>
          <w:p w14:paraId="7115FDAA" w14:textId="1041A140" w:rsidR="00411229" w:rsidRPr="002700F7" w:rsidRDefault="00411229" w:rsidP="003613E8">
            <w:pPr>
              <w:spacing w:line="240" w:lineRule="exact"/>
              <w:jc w:val="center"/>
              <w:rPr>
                <w:sz w:val="16"/>
                <w:szCs w:val="16"/>
              </w:rPr>
            </w:pPr>
            <w:r w:rsidRPr="002700F7">
              <w:rPr>
                <w:sz w:val="16"/>
                <w:szCs w:val="16"/>
              </w:rPr>
              <w:t xml:space="preserve">Total Cost </w:t>
            </w:r>
            <w:proofErr w:type="spellStart"/>
            <w:r w:rsidRPr="002700F7">
              <w:rPr>
                <w:i/>
                <w:sz w:val="16"/>
                <w:szCs w:val="16"/>
              </w:rPr>
              <w:t>C</w:t>
            </w:r>
            <w:r w:rsidRPr="002700F7">
              <w:rPr>
                <w:sz w:val="16"/>
                <w:szCs w:val="16"/>
                <w:vertAlign w:val="subscript"/>
              </w:rPr>
              <w:t>lcc</w:t>
            </w:r>
            <w:proofErr w:type="spellEnd"/>
            <w:r w:rsidRPr="002700F7">
              <w:rPr>
                <w:sz w:val="16"/>
                <w:szCs w:val="16"/>
              </w:rPr>
              <w:t xml:space="preserve">/billion </w:t>
            </w:r>
            <w:r w:rsidR="00C952A7">
              <w:rPr>
                <w:sz w:val="16"/>
                <w:szCs w:val="16"/>
              </w:rPr>
              <w:t>Yuan</w:t>
            </w:r>
          </w:p>
        </w:tc>
        <w:tc>
          <w:tcPr>
            <w:tcW w:w="2915" w:type="pct"/>
            <w:gridSpan w:val="3"/>
            <w:tcBorders>
              <w:top w:val="double" w:sz="4" w:space="0" w:color="auto"/>
              <w:left w:val="nil"/>
              <w:bottom w:val="single" w:sz="4" w:space="0" w:color="auto"/>
              <w:right w:val="nil"/>
            </w:tcBorders>
            <w:shd w:val="clear" w:color="auto" w:fill="auto"/>
            <w:vAlign w:val="center"/>
            <w:hideMark/>
          </w:tcPr>
          <w:p w14:paraId="73B1680D" w14:textId="77777777" w:rsidR="00411229" w:rsidRPr="002700F7" w:rsidRDefault="00411229" w:rsidP="003613E8">
            <w:pPr>
              <w:spacing w:line="240" w:lineRule="exact"/>
              <w:jc w:val="center"/>
              <w:rPr>
                <w:sz w:val="16"/>
                <w:szCs w:val="16"/>
              </w:rPr>
            </w:pPr>
            <w:r w:rsidRPr="002700F7">
              <w:rPr>
                <w:sz w:val="16"/>
                <w:szCs w:val="16"/>
              </w:rPr>
              <w:t>Economic Evaluation Indexes</w:t>
            </w:r>
          </w:p>
        </w:tc>
      </w:tr>
      <w:tr w:rsidR="00411229" w:rsidRPr="002700F7" w14:paraId="304CFECA" w14:textId="77777777" w:rsidTr="00411229">
        <w:trPr>
          <w:trHeight w:val="3"/>
          <w:jc w:val="center"/>
        </w:trPr>
        <w:tc>
          <w:tcPr>
            <w:tcW w:w="0" w:type="auto"/>
            <w:vMerge/>
            <w:tcBorders>
              <w:top w:val="single" w:sz="6" w:space="0" w:color="auto"/>
              <w:left w:val="nil"/>
              <w:bottom w:val="single" w:sz="4" w:space="0" w:color="auto"/>
              <w:right w:val="nil"/>
            </w:tcBorders>
            <w:shd w:val="clear" w:color="auto" w:fill="auto"/>
            <w:vAlign w:val="center"/>
            <w:hideMark/>
          </w:tcPr>
          <w:p w14:paraId="106BDE89" w14:textId="77777777" w:rsidR="00411229" w:rsidRPr="002700F7" w:rsidRDefault="00411229" w:rsidP="003613E8">
            <w:pPr>
              <w:rPr>
                <w:noProof/>
                <w:sz w:val="16"/>
                <w:szCs w:val="16"/>
              </w:rPr>
            </w:pPr>
          </w:p>
        </w:tc>
        <w:tc>
          <w:tcPr>
            <w:tcW w:w="0" w:type="auto"/>
            <w:vMerge/>
            <w:tcBorders>
              <w:top w:val="single" w:sz="6" w:space="0" w:color="auto"/>
              <w:left w:val="nil"/>
              <w:bottom w:val="single" w:sz="4" w:space="0" w:color="auto"/>
              <w:right w:val="nil"/>
            </w:tcBorders>
            <w:shd w:val="clear" w:color="auto" w:fill="auto"/>
            <w:vAlign w:val="center"/>
            <w:hideMark/>
          </w:tcPr>
          <w:p w14:paraId="1544F208" w14:textId="77777777" w:rsidR="00411229" w:rsidRPr="002700F7" w:rsidRDefault="00411229" w:rsidP="003613E8">
            <w:pPr>
              <w:rPr>
                <w:sz w:val="16"/>
                <w:szCs w:val="16"/>
              </w:rPr>
            </w:pPr>
          </w:p>
        </w:tc>
        <w:tc>
          <w:tcPr>
            <w:tcW w:w="623" w:type="pct"/>
            <w:tcBorders>
              <w:top w:val="single" w:sz="4" w:space="0" w:color="auto"/>
              <w:left w:val="nil"/>
              <w:bottom w:val="single" w:sz="4" w:space="0" w:color="auto"/>
              <w:right w:val="nil"/>
            </w:tcBorders>
            <w:shd w:val="clear" w:color="auto" w:fill="auto"/>
            <w:vAlign w:val="center"/>
            <w:hideMark/>
          </w:tcPr>
          <w:p w14:paraId="1105E298" w14:textId="77777777" w:rsidR="00411229" w:rsidRPr="002700F7" w:rsidRDefault="00411229" w:rsidP="003613E8">
            <w:pPr>
              <w:spacing w:line="240" w:lineRule="exact"/>
              <w:jc w:val="center"/>
              <w:rPr>
                <w:sz w:val="16"/>
                <w:szCs w:val="16"/>
              </w:rPr>
            </w:pPr>
            <w:proofErr w:type="spellStart"/>
            <w:r w:rsidRPr="002700F7">
              <w:rPr>
                <w:i/>
                <w:sz w:val="16"/>
                <w:szCs w:val="16"/>
              </w:rPr>
              <w:t>T</w:t>
            </w:r>
            <w:r w:rsidRPr="002700F7">
              <w:rPr>
                <w:sz w:val="16"/>
                <w:szCs w:val="16"/>
                <w:vertAlign w:val="subscript"/>
              </w:rPr>
              <w:t>p</w:t>
            </w:r>
            <w:proofErr w:type="spellEnd"/>
            <w:r w:rsidRPr="002700F7">
              <w:rPr>
                <w:sz w:val="16"/>
                <w:szCs w:val="16"/>
              </w:rPr>
              <w:t>/</w:t>
            </w:r>
            <w:proofErr w:type="spellStart"/>
            <w:r w:rsidRPr="002700F7">
              <w:rPr>
                <w:sz w:val="16"/>
                <w:szCs w:val="16"/>
              </w:rPr>
              <w:t>yeat</w:t>
            </w:r>
            <w:proofErr w:type="spellEnd"/>
          </w:p>
        </w:tc>
        <w:tc>
          <w:tcPr>
            <w:tcW w:w="1252" w:type="pct"/>
            <w:tcBorders>
              <w:top w:val="single" w:sz="4" w:space="0" w:color="auto"/>
              <w:left w:val="nil"/>
              <w:bottom w:val="single" w:sz="4" w:space="0" w:color="auto"/>
              <w:right w:val="nil"/>
            </w:tcBorders>
            <w:shd w:val="clear" w:color="auto" w:fill="auto"/>
            <w:vAlign w:val="center"/>
            <w:hideMark/>
          </w:tcPr>
          <w:p w14:paraId="29D291D9" w14:textId="77777777" w:rsidR="00411229" w:rsidRPr="002700F7" w:rsidRDefault="00411229" w:rsidP="003613E8">
            <w:pPr>
              <w:spacing w:line="240" w:lineRule="exact"/>
              <w:jc w:val="center"/>
              <w:rPr>
                <w:sz w:val="16"/>
                <w:szCs w:val="16"/>
              </w:rPr>
            </w:pPr>
            <w:proofErr w:type="spellStart"/>
            <w:r w:rsidRPr="002700F7">
              <w:rPr>
                <w:i/>
                <w:sz w:val="16"/>
                <w:szCs w:val="16"/>
              </w:rPr>
              <w:t>R</w:t>
            </w:r>
            <w:r w:rsidRPr="002700F7">
              <w:rPr>
                <w:sz w:val="16"/>
                <w:szCs w:val="16"/>
                <w:vertAlign w:val="subscript"/>
              </w:rPr>
              <w:t>inv</w:t>
            </w:r>
            <w:proofErr w:type="spellEnd"/>
            <w:r w:rsidRPr="002700F7">
              <w:rPr>
                <w:i/>
                <w:sz w:val="16"/>
                <w:szCs w:val="16"/>
              </w:rPr>
              <w:t>/</w:t>
            </w:r>
            <w:r w:rsidRPr="002700F7">
              <w:rPr>
                <w:sz w:val="16"/>
                <w:szCs w:val="16"/>
              </w:rPr>
              <w:t>%</w:t>
            </w:r>
          </w:p>
        </w:tc>
        <w:tc>
          <w:tcPr>
            <w:tcW w:w="1040" w:type="pct"/>
            <w:tcBorders>
              <w:top w:val="single" w:sz="4" w:space="0" w:color="auto"/>
              <w:left w:val="nil"/>
              <w:bottom w:val="single" w:sz="4" w:space="0" w:color="auto"/>
              <w:right w:val="nil"/>
            </w:tcBorders>
            <w:shd w:val="clear" w:color="auto" w:fill="auto"/>
            <w:vAlign w:val="center"/>
            <w:hideMark/>
          </w:tcPr>
          <w:p w14:paraId="0E320741" w14:textId="114CC54E" w:rsidR="00411229" w:rsidRPr="002700F7" w:rsidRDefault="00411229" w:rsidP="003613E8">
            <w:pPr>
              <w:spacing w:line="240" w:lineRule="exact"/>
              <w:jc w:val="center"/>
              <w:rPr>
                <w:iCs/>
                <w:sz w:val="16"/>
                <w:szCs w:val="16"/>
              </w:rPr>
            </w:pPr>
            <w:r w:rsidRPr="002700F7">
              <w:rPr>
                <w:i/>
                <w:sz w:val="16"/>
                <w:szCs w:val="16"/>
              </w:rPr>
              <w:t>V/</w:t>
            </w:r>
            <w:r w:rsidRPr="002700F7">
              <w:rPr>
                <w:iCs/>
                <w:sz w:val="16"/>
                <w:szCs w:val="16"/>
              </w:rPr>
              <w:t>10</w:t>
            </w:r>
            <w:r w:rsidR="00BF445F" w:rsidRPr="00BF445F">
              <w:rPr>
                <w:iCs/>
                <w:sz w:val="16"/>
                <w:szCs w:val="16"/>
                <w:vertAlign w:val="superscript"/>
              </w:rPr>
              <w:t>4</w:t>
            </w:r>
            <w:r w:rsidRPr="002700F7">
              <w:rPr>
                <w:iCs/>
                <w:sz w:val="16"/>
                <w:szCs w:val="16"/>
              </w:rPr>
              <w:t xml:space="preserve"> </w:t>
            </w:r>
            <w:r w:rsidR="00C952A7">
              <w:rPr>
                <w:iCs/>
                <w:sz w:val="16"/>
                <w:szCs w:val="16"/>
              </w:rPr>
              <w:t>Yuan</w:t>
            </w:r>
          </w:p>
        </w:tc>
      </w:tr>
      <w:tr w:rsidR="00411229" w:rsidRPr="002700F7" w14:paraId="0B085C0E" w14:textId="77777777" w:rsidTr="00411229">
        <w:trPr>
          <w:trHeight w:val="3"/>
          <w:jc w:val="center"/>
        </w:trPr>
        <w:tc>
          <w:tcPr>
            <w:tcW w:w="1252" w:type="pct"/>
            <w:tcBorders>
              <w:top w:val="single" w:sz="4" w:space="0" w:color="auto"/>
              <w:left w:val="nil"/>
              <w:bottom w:val="nil"/>
              <w:right w:val="nil"/>
            </w:tcBorders>
            <w:shd w:val="clear" w:color="auto" w:fill="auto"/>
            <w:vAlign w:val="center"/>
            <w:hideMark/>
          </w:tcPr>
          <w:p w14:paraId="14D74B60" w14:textId="77777777" w:rsidR="00411229" w:rsidRPr="002700F7" w:rsidRDefault="00411229" w:rsidP="003613E8">
            <w:pPr>
              <w:spacing w:line="240" w:lineRule="exact"/>
              <w:jc w:val="center"/>
              <w:rPr>
                <w:noProof/>
                <w:sz w:val="16"/>
                <w:szCs w:val="16"/>
              </w:rPr>
            </w:pPr>
            <w:r w:rsidRPr="002700F7">
              <w:rPr>
                <w:noProof/>
                <w:sz w:val="16"/>
                <w:szCs w:val="16"/>
              </w:rPr>
              <w:t>90</w:t>
            </w:r>
          </w:p>
        </w:tc>
        <w:tc>
          <w:tcPr>
            <w:tcW w:w="833" w:type="pct"/>
            <w:tcBorders>
              <w:top w:val="single" w:sz="4" w:space="0" w:color="auto"/>
              <w:left w:val="nil"/>
              <w:bottom w:val="nil"/>
              <w:right w:val="nil"/>
            </w:tcBorders>
            <w:shd w:val="clear" w:color="auto" w:fill="auto"/>
            <w:vAlign w:val="center"/>
            <w:hideMark/>
          </w:tcPr>
          <w:p w14:paraId="22735A00" w14:textId="77777777" w:rsidR="00411229" w:rsidRPr="002700F7" w:rsidRDefault="00411229" w:rsidP="003613E8">
            <w:pPr>
              <w:spacing w:line="240" w:lineRule="exact"/>
              <w:jc w:val="center"/>
              <w:rPr>
                <w:sz w:val="16"/>
                <w:szCs w:val="16"/>
              </w:rPr>
            </w:pPr>
            <w:r w:rsidRPr="002700F7">
              <w:rPr>
                <w:sz w:val="16"/>
                <w:szCs w:val="16"/>
              </w:rPr>
              <w:t>4.6590</w:t>
            </w:r>
          </w:p>
        </w:tc>
        <w:tc>
          <w:tcPr>
            <w:tcW w:w="623" w:type="pct"/>
            <w:tcBorders>
              <w:top w:val="single" w:sz="4" w:space="0" w:color="auto"/>
              <w:left w:val="nil"/>
              <w:bottom w:val="nil"/>
              <w:right w:val="nil"/>
            </w:tcBorders>
            <w:shd w:val="clear" w:color="auto" w:fill="auto"/>
            <w:vAlign w:val="center"/>
            <w:hideMark/>
          </w:tcPr>
          <w:p w14:paraId="3E506759" w14:textId="77777777" w:rsidR="00411229" w:rsidRPr="002700F7" w:rsidRDefault="00411229" w:rsidP="003613E8">
            <w:pPr>
              <w:spacing w:line="240" w:lineRule="exact"/>
              <w:jc w:val="center"/>
              <w:rPr>
                <w:sz w:val="16"/>
                <w:szCs w:val="16"/>
              </w:rPr>
            </w:pPr>
            <w:r w:rsidRPr="002700F7">
              <w:rPr>
                <w:sz w:val="16"/>
                <w:szCs w:val="16"/>
              </w:rPr>
              <w:t>17.8</w:t>
            </w:r>
          </w:p>
        </w:tc>
        <w:tc>
          <w:tcPr>
            <w:tcW w:w="1252" w:type="pct"/>
            <w:tcBorders>
              <w:top w:val="single" w:sz="4" w:space="0" w:color="auto"/>
              <w:left w:val="nil"/>
              <w:bottom w:val="nil"/>
              <w:right w:val="nil"/>
            </w:tcBorders>
            <w:shd w:val="clear" w:color="auto" w:fill="auto"/>
            <w:vAlign w:val="center"/>
            <w:hideMark/>
          </w:tcPr>
          <w:p w14:paraId="2D99A7C3" w14:textId="77777777" w:rsidR="00411229" w:rsidRPr="002700F7" w:rsidRDefault="00411229" w:rsidP="003613E8">
            <w:pPr>
              <w:spacing w:line="240" w:lineRule="exact"/>
              <w:jc w:val="center"/>
              <w:rPr>
                <w:sz w:val="16"/>
                <w:szCs w:val="16"/>
              </w:rPr>
            </w:pPr>
            <w:r w:rsidRPr="002700F7">
              <w:rPr>
                <w:sz w:val="16"/>
                <w:szCs w:val="16"/>
              </w:rPr>
              <w:t>5.7678</w:t>
            </w:r>
          </w:p>
        </w:tc>
        <w:tc>
          <w:tcPr>
            <w:tcW w:w="1040" w:type="pct"/>
            <w:tcBorders>
              <w:top w:val="single" w:sz="4" w:space="0" w:color="auto"/>
              <w:left w:val="nil"/>
              <w:bottom w:val="nil"/>
              <w:right w:val="nil"/>
            </w:tcBorders>
            <w:shd w:val="clear" w:color="auto" w:fill="auto"/>
            <w:vAlign w:val="center"/>
            <w:hideMark/>
          </w:tcPr>
          <w:p w14:paraId="7AC5A2ED" w14:textId="77777777" w:rsidR="00411229" w:rsidRPr="002700F7" w:rsidRDefault="00411229" w:rsidP="003613E8">
            <w:pPr>
              <w:spacing w:line="240" w:lineRule="exact"/>
              <w:jc w:val="center"/>
              <w:rPr>
                <w:sz w:val="16"/>
                <w:szCs w:val="16"/>
              </w:rPr>
            </w:pPr>
            <w:r w:rsidRPr="002700F7">
              <w:rPr>
                <w:sz w:val="16"/>
                <w:szCs w:val="16"/>
              </w:rPr>
              <w:t>1034.3</w:t>
            </w:r>
          </w:p>
        </w:tc>
      </w:tr>
      <w:tr w:rsidR="00411229" w:rsidRPr="002700F7" w14:paraId="42414BC8" w14:textId="77777777" w:rsidTr="00411229">
        <w:trPr>
          <w:trHeight w:val="3"/>
          <w:jc w:val="center"/>
        </w:trPr>
        <w:tc>
          <w:tcPr>
            <w:tcW w:w="1252" w:type="pct"/>
            <w:tcBorders>
              <w:top w:val="nil"/>
              <w:left w:val="nil"/>
              <w:bottom w:val="nil"/>
              <w:right w:val="nil"/>
            </w:tcBorders>
            <w:shd w:val="clear" w:color="auto" w:fill="auto"/>
            <w:vAlign w:val="center"/>
            <w:hideMark/>
          </w:tcPr>
          <w:p w14:paraId="5AC04599" w14:textId="77777777" w:rsidR="00411229" w:rsidRPr="002700F7" w:rsidRDefault="00411229" w:rsidP="003613E8">
            <w:pPr>
              <w:spacing w:line="240" w:lineRule="exact"/>
              <w:jc w:val="center"/>
              <w:rPr>
                <w:noProof/>
                <w:sz w:val="16"/>
                <w:szCs w:val="16"/>
              </w:rPr>
            </w:pPr>
            <w:r w:rsidRPr="002700F7">
              <w:rPr>
                <w:noProof/>
                <w:sz w:val="16"/>
                <w:szCs w:val="16"/>
              </w:rPr>
              <w:t>100</w:t>
            </w:r>
          </w:p>
        </w:tc>
        <w:tc>
          <w:tcPr>
            <w:tcW w:w="833" w:type="pct"/>
            <w:tcBorders>
              <w:top w:val="nil"/>
              <w:left w:val="nil"/>
              <w:bottom w:val="nil"/>
              <w:right w:val="nil"/>
            </w:tcBorders>
            <w:shd w:val="clear" w:color="auto" w:fill="auto"/>
            <w:vAlign w:val="center"/>
            <w:hideMark/>
          </w:tcPr>
          <w:p w14:paraId="1D3AE77C" w14:textId="77777777" w:rsidR="00411229" w:rsidRPr="002700F7" w:rsidRDefault="00411229" w:rsidP="003613E8">
            <w:pPr>
              <w:spacing w:line="240" w:lineRule="exact"/>
              <w:jc w:val="center"/>
              <w:rPr>
                <w:sz w:val="16"/>
                <w:szCs w:val="16"/>
              </w:rPr>
            </w:pPr>
            <w:r w:rsidRPr="002700F7">
              <w:rPr>
                <w:sz w:val="16"/>
                <w:szCs w:val="16"/>
              </w:rPr>
              <w:t>4.8501</w:t>
            </w:r>
          </w:p>
        </w:tc>
        <w:tc>
          <w:tcPr>
            <w:tcW w:w="623" w:type="pct"/>
            <w:tcBorders>
              <w:top w:val="nil"/>
              <w:left w:val="nil"/>
              <w:bottom w:val="nil"/>
              <w:right w:val="nil"/>
            </w:tcBorders>
            <w:shd w:val="clear" w:color="auto" w:fill="auto"/>
            <w:vAlign w:val="center"/>
            <w:hideMark/>
          </w:tcPr>
          <w:p w14:paraId="77CF3EE9" w14:textId="77777777" w:rsidR="00411229" w:rsidRPr="002700F7" w:rsidRDefault="00411229" w:rsidP="003613E8">
            <w:pPr>
              <w:spacing w:line="240" w:lineRule="exact"/>
              <w:jc w:val="center"/>
              <w:rPr>
                <w:sz w:val="16"/>
                <w:szCs w:val="16"/>
              </w:rPr>
            </w:pPr>
            <w:r w:rsidRPr="002700F7">
              <w:rPr>
                <w:sz w:val="16"/>
                <w:szCs w:val="16"/>
              </w:rPr>
              <w:t>12.9</w:t>
            </w:r>
          </w:p>
        </w:tc>
        <w:tc>
          <w:tcPr>
            <w:tcW w:w="1252" w:type="pct"/>
            <w:tcBorders>
              <w:top w:val="nil"/>
              <w:left w:val="nil"/>
              <w:bottom w:val="nil"/>
              <w:right w:val="nil"/>
            </w:tcBorders>
            <w:shd w:val="clear" w:color="auto" w:fill="auto"/>
            <w:vAlign w:val="center"/>
            <w:hideMark/>
          </w:tcPr>
          <w:p w14:paraId="64AD59B1" w14:textId="77777777" w:rsidR="00411229" w:rsidRPr="002700F7" w:rsidRDefault="00411229" w:rsidP="003613E8">
            <w:pPr>
              <w:spacing w:line="240" w:lineRule="exact"/>
              <w:jc w:val="center"/>
              <w:rPr>
                <w:sz w:val="16"/>
                <w:szCs w:val="16"/>
              </w:rPr>
            </w:pPr>
            <w:r w:rsidRPr="002700F7">
              <w:rPr>
                <w:sz w:val="16"/>
                <w:szCs w:val="16"/>
              </w:rPr>
              <w:t>6.3061</w:t>
            </w:r>
          </w:p>
        </w:tc>
        <w:tc>
          <w:tcPr>
            <w:tcW w:w="1040" w:type="pct"/>
            <w:tcBorders>
              <w:top w:val="nil"/>
              <w:left w:val="nil"/>
              <w:bottom w:val="nil"/>
              <w:right w:val="nil"/>
            </w:tcBorders>
            <w:shd w:val="clear" w:color="auto" w:fill="auto"/>
            <w:vAlign w:val="center"/>
            <w:hideMark/>
          </w:tcPr>
          <w:p w14:paraId="6956CE9D" w14:textId="77777777" w:rsidR="00411229" w:rsidRPr="002700F7" w:rsidRDefault="00411229" w:rsidP="003613E8">
            <w:pPr>
              <w:spacing w:line="240" w:lineRule="exact"/>
              <w:jc w:val="center"/>
              <w:rPr>
                <w:sz w:val="16"/>
                <w:szCs w:val="16"/>
              </w:rPr>
            </w:pPr>
            <w:r w:rsidRPr="002700F7">
              <w:rPr>
                <w:sz w:val="16"/>
                <w:szCs w:val="16"/>
              </w:rPr>
              <w:t>4063.5</w:t>
            </w:r>
          </w:p>
        </w:tc>
      </w:tr>
      <w:tr w:rsidR="00411229" w:rsidRPr="002700F7" w14:paraId="48ECB675" w14:textId="77777777" w:rsidTr="00411229">
        <w:trPr>
          <w:trHeight w:val="3"/>
          <w:jc w:val="center"/>
        </w:trPr>
        <w:tc>
          <w:tcPr>
            <w:tcW w:w="1252" w:type="pct"/>
            <w:tcBorders>
              <w:top w:val="nil"/>
              <w:left w:val="nil"/>
              <w:bottom w:val="nil"/>
              <w:right w:val="nil"/>
            </w:tcBorders>
            <w:shd w:val="clear" w:color="auto" w:fill="auto"/>
            <w:vAlign w:val="center"/>
            <w:hideMark/>
          </w:tcPr>
          <w:p w14:paraId="5E04FCF7" w14:textId="77777777" w:rsidR="00411229" w:rsidRPr="002700F7" w:rsidRDefault="00411229" w:rsidP="003613E8">
            <w:pPr>
              <w:spacing w:line="240" w:lineRule="exact"/>
              <w:jc w:val="center"/>
              <w:rPr>
                <w:noProof/>
                <w:sz w:val="16"/>
                <w:szCs w:val="16"/>
              </w:rPr>
            </w:pPr>
            <w:r w:rsidRPr="002700F7">
              <w:rPr>
                <w:sz w:val="16"/>
                <w:szCs w:val="16"/>
              </w:rPr>
              <w:t>150</w:t>
            </w:r>
          </w:p>
        </w:tc>
        <w:tc>
          <w:tcPr>
            <w:tcW w:w="833" w:type="pct"/>
            <w:tcBorders>
              <w:top w:val="nil"/>
              <w:left w:val="nil"/>
              <w:bottom w:val="nil"/>
              <w:right w:val="nil"/>
            </w:tcBorders>
            <w:shd w:val="clear" w:color="auto" w:fill="auto"/>
            <w:vAlign w:val="center"/>
            <w:hideMark/>
          </w:tcPr>
          <w:p w14:paraId="00696A40" w14:textId="77777777" w:rsidR="00411229" w:rsidRPr="002700F7" w:rsidRDefault="00411229" w:rsidP="003613E8">
            <w:pPr>
              <w:spacing w:line="240" w:lineRule="exact"/>
              <w:jc w:val="center"/>
              <w:rPr>
                <w:sz w:val="16"/>
                <w:szCs w:val="16"/>
              </w:rPr>
            </w:pPr>
            <w:r w:rsidRPr="002700F7">
              <w:rPr>
                <w:sz w:val="16"/>
                <w:szCs w:val="16"/>
              </w:rPr>
              <w:t>6.8651</w:t>
            </w:r>
          </w:p>
        </w:tc>
        <w:tc>
          <w:tcPr>
            <w:tcW w:w="623" w:type="pct"/>
            <w:tcBorders>
              <w:top w:val="nil"/>
              <w:left w:val="nil"/>
              <w:bottom w:val="nil"/>
              <w:right w:val="nil"/>
            </w:tcBorders>
            <w:shd w:val="clear" w:color="auto" w:fill="auto"/>
            <w:vAlign w:val="center"/>
            <w:hideMark/>
          </w:tcPr>
          <w:p w14:paraId="671DB68B" w14:textId="77777777" w:rsidR="00411229" w:rsidRPr="002700F7" w:rsidRDefault="00411229" w:rsidP="003613E8">
            <w:pPr>
              <w:spacing w:line="240" w:lineRule="exact"/>
              <w:jc w:val="center"/>
              <w:rPr>
                <w:sz w:val="16"/>
                <w:szCs w:val="16"/>
              </w:rPr>
            </w:pPr>
            <w:r w:rsidRPr="002700F7">
              <w:rPr>
                <w:sz w:val="16"/>
                <w:szCs w:val="16"/>
              </w:rPr>
              <w:t>&gt;20</w:t>
            </w:r>
          </w:p>
        </w:tc>
        <w:tc>
          <w:tcPr>
            <w:tcW w:w="1252" w:type="pct"/>
            <w:tcBorders>
              <w:top w:val="nil"/>
              <w:left w:val="nil"/>
              <w:bottom w:val="nil"/>
              <w:right w:val="nil"/>
            </w:tcBorders>
            <w:shd w:val="clear" w:color="auto" w:fill="auto"/>
            <w:vAlign w:val="center"/>
            <w:hideMark/>
          </w:tcPr>
          <w:p w14:paraId="79F0F385" w14:textId="77777777" w:rsidR="00411229" w:rsidRPr="002700F7" w:rsidRDefault="00411229" w:rsidP="003613E8">
            <w:pPr>
              <w:spacing w:line="240" w:lineRule="exact"/>
              <w:jc w:val="center"/>
              <w:rPr>
                <w:sz w:val="16"/>
                <w:szCs w:val="16"/>
              </w:rPr>
            </w:pPr>
            <w:r w:rsidRPr="002700F7">
              <w:rPr>
                <w:sz w:val="16"/>
                <w:szCs w:val="16"/>
              </w:rPr>
              <w:t>4.8256</w:t>
            </w:r>
          </w:p>
        </w:tc>
        <w:tc>
          <w:tcPr>
            <w:tcW w:w="1040" w:type="pct"/>
            <w:tcBorders>
              <w:top w:val="nil"/>
              <w:left w:val="nil"/>
              <w:bottom w:val="nil"/>
              <w:right w:val="nil"/>
            </w:tcBorders>
            <w:shd w:val="clear" w:color="auto" w:fill="auto"/>
            <w:vAlign w:val="center"/>
            <w:hideMark/>
          </w:tcPr>
          <w:p w14:paraId="2BBB3BAA" w14:textId="77777777" w:rsidR="00411229" w:rsidRPr="002700F7" w:rsidRDefault="00411229" w:rsidP="003613E8">
            <w:pPr>
              <w:spacing w:line="240" w:lineRule="exact"/>
              <w:jc w:val="center"/>
              <w:rPr>
                <w:sz w:val="16"/>
                <w:szCs w:val="16"/>
              </w:rPr>
            </w:pPr>
            <w:r w:rsidRPr="002700F7">
              <w:rPr>
                <w:sz w:val="16"/>
                <w:szCs w:val="16"/>
              </w:rPr>
              <w:t>-5982.8</w:t>
            </w:r>
          </w:p>
        </w:tc>
      </w:tr>
      <w:tr w:rsidR="00411229" w:rsidRPr="002700F7" w14:paraId="4B69C02A" w14:textId="77777777" w:rsidTr="002700F7">
        <w:trPr>
          <w:trHeight w:val="3"/>
          <w:jc w:val="center"/>
        </w:trPr>
        <w:tc>
          <w:tcPr>
            <w:tcW w:w="1252" w:type="pct"/>
            <w:tcBorders>
              <w:top w:val="nil"/>
              <w:left w:val="nil"/>
              <w:bottom w:val="double" w:sz="4" w:space="0" w:color="auto"/>
              <w:right w:val="nil"/>
            </w:tcBorders>
            <w:shd w:val="clear" w:color="auto" w:fill="auto"/>
            <w:vAlign w:val="center"/>
            <w:hideMark/>
          </w:tcPr>
          <w:p w14:paraId="3C208E35" w14:textId="77777777" w:rsidR="00411229" w:rsidRPr="002700F7" w:rsidRDefault="00411229" w:rsidP="003613E8">
            <w:pPr>
              <w:spacing w:line="240" w:lineRule="exact"/>
              <w:jc w:val="center"/>
              <w:rPr>
                <w:noProof/>
                <w:sz w:val="16"/>
                <w:szCs w:val="16"/>
              </w:rPr>
            </w:pPr>
            <w:r w:rsidRPr="002700F7">
              <w:rPr>
                <w:noProof/>
                <w:sz w:val="16"/>
                <w:szCs w:val="16"/>
              </w:rPr>
              <w:t>200</w:t>
            </w:r>
          </w:p>
        </w:tc>
        <w:tc>
          <w:tcPr>
            <w:tcW w:w="833" w:type="pct"/>
            <w:tcBorders>
              <w:top w:val="nil"/>
              <w:left w:val="nil"/>
              <w:bottom w:val="double" w:sz="4" w:space="0" w:color="auto"/>
              <w:right w:val="nil"/>
            </w:tcBorders>
            <w:shd w:val="clear" w:color="auto" w:fill="auto"/>
            <w:vAlign w:val="center"/>
            <w:hideMark/>
          </w:tcPr>
          <w:p w14:paraId="47FC49B7" w14:textId="77777777" w:rsidR="00411229" w:rsidRPr="002700F7" w:rsidRDefault="00411229" w:rsidP="003613E8">
            <w:pPr>
              <w:spacing w:line="240" w:lineRule="exact"/>
              <w:jc w:val="center"/>
              <w:rPr>
                <w:sz w:val="16"/>
                <w:szCs w:val="16"/>
              </w:rPr>
            </w:pPr>
            <w:r w:rsidRPr="002700F7">
              <w:rPr>
                <w:sz w:val="16"/>
                <w:szCs w:val="16"/>
              </w:rPr>
              <w:t>11.490</w:t>
            </w:r>
          </w:p>
        </w:tc>
        <w:tc>
          <w:tcPr>
            <w:tcW w:w="623" w:type="pct"/>
            <w:tcBorders>
              <w:top w:val="nil"/>
              <w:left w:val="nil"/>
              <w:bottom w:val="double" w:sz="4" w:space="0" w:color="auto"/>
              <w:right w:val="nil"/>
            </w:tcBorders>
            <w:shd w:val="clear" w:color="auto" w:fill="auto"/>
            <w:vAlign w:val="center"/>
            <w:hideMark/>
          </w:tcPr>
          <w:p w14:paraId="34A4CFBE" w14:textId="77777777" w:rsidR="00411229" w:rsidRPr="002700F7" w:rsidRDefault="00411229" w:rsidP="003613E8">
            <w:pPr>
              <w:spacing w:line="240" w:lineRule="exact"/>
              <w:jc w:val="center"/>
              <w:rPr>
                <w:sz w:val="16"/>
                <w:szCs w:val="16"/>
              </w:rPr>
            </w:pPr>
            <w:r w:rsidRPr="002700F7">
              <w:rPr>
                <w:sz w:val="16"/>
                <w:szCs w:val="16"/>
              </w:rPr>
              <w:t>&gt;20</w:t>
            </w:r>
          </w:p>
        </w:tc>
        <w:tc>
          <w:tcPr>
            <w:tcW w:w="1252" w:type="pct"/>
            <w:tcBorders>
              <w:top w:val="nil"/>
              <w:left w:val="nil"/>
              <w:bottom w:val="double" w:sz="4" w:space="0" w:color="auto"/>
              <w:right w:val="nil"/>
            </w:tcBorders>
            <w:shd w:val="clear" w:color="auto" w:fill="auto"/>
            <w:vAlign w:val="center"/>
            <w:hideMark/>
          </w:tcPr>
          <w:p w14:paraId="31C272D5" w14:textId="77777777" w:rsidR="00411229" w:rsidRPr="002700F7" w:rsidRDefault="00411229" w:rsidP="003613E8">
            <w:pPr>
              <w:spacing w:line="240" w:lineRule="exact"/>
              <w:jc w:val="center"/>
              <w:rPr>
                <w:sz w:val="16"/>
                <w:szCs w:val="16"/>
              </w:rPr>
            </w:pPr>
            <w:r w:rsidRPr="002700F7">
              <w:rPr>
                <w:sz w:val="16"/>
                <w:szCs w:val="16"/>
              </w:rPr>
              <w:t>2.8833</w:t>
            </w:r>
          </w:p>
        </w:tc>
        <w:tc>
          <w:tcPr>
            <w:tcW w:w="1040" w:type="pct"/>
            <w:tcBorders>
              <w:top w:val="nil"/>
              <w:left w:val="nil"/>
              <w:bottom w:val="double" w:sz="4" w:space="0" w:color="auto"/>
              <w:right w:val="nil"/>
            </w:tcBorders>
            <w:shd w:val="clear" w:color="auto" w:fill="auto"/>
            <w:vAlign w:val="center"/>
            <w:hideMark/>
          </w:tcPr>
          <w:p w14:paraId="0BBC21CF" w14:textId="77777777" w:rsidR="00411229" w:rsidRPr="002700F7" w:rsidRDefault="00411229" w:rsidP="003613E8">
            <w:pPr>
              <w:spacing w:line="240" w:lineRule="exact"/>
              <w:jc w:val="center"/>
              <w:rPr>
                <w:sz w:val="16"/>
                <w:szCs w:val="16"/>
              </w:rPr>
            </w:pPr>
            <w:r w:rsidRPr="002700F7">
              <w:rPr>
                <w:sz w:val="16"/>
                <w:szCs w:val="16"/>
              </w:rPr>
              <w:t>-35754</w:t>
            </w:r>
          </w:p>
        </w:tc>
      </w:tr>
    </w:tbl>
    <w:p w14:paraId="11201110" w14:textId="69B5E2CB" w:rsidR="00411229" w:rsidRPr="00411229" w:rsidRDefault="00DE7680" w:rsidP="00DE7680">
      <w:pPr>
        <w:ind w:firstLineChars="100" w:firstLine="200"/>
        <w:jc w:val="both"/>
      </w:pPr>
      <w:r w:rsidRPr="00DE7680">
        <w:t xml:space="preserve">It is observed from Table I that when the capacity of BESS increases to 150% and 200% of the original, the total cost rises faster than its income, and </w:t>
      </w:r>
      <w:r w:rsidRPr="00DE7680">
        <w:rPr>
          <w:i/>
          <w:iCs/>
        </w:rPr>
        <w:t>T</w:t>
      </w:r>
      <w:r w:rsidRPr="00DE7680">
        <w:rPr>
          <w:vertAlign w:val="subscript"/>
        </w:rPr>
        <w:t>P</w:t>
      </w:r>
      <w:r w:rsidRPr="00DE7680">
        <w:t xml:space="preserve"> is greater than the whole life cycle of BESS. Moreover, </w:t>
      </w:r>
      <w:proofErr w:type="spellStart"/>
      <w:r w:rsidRPr="00DE7680">
        <w:rPr>
          <w:i/>
          <w:iCs/>
        </w:rPr>
        <w:t>R</w:t>
      </w:r>
      <w:r w:rsidRPr="00DE7680">
        <w:rPr>
          <w:vertAlign w:val="subscript"/>
        </w:rPr>
        <w:t>inv</w:t>
      </w:r>
      <w:proofErr w:type="spellEnd"/>
      <w:r w:rsidRPr="00DE7680">
        <w:t xml:space="preserve"> decreases, and </w:t>
      </w:r>
      <w:r w:rsidRPr="00DE7680">
        <w:rPr>
          <w:i/>
          <w:iCs/>
        </w:rPr>
        <w:t>V</w:t>
      </w:r>
      <w:r w:rsidRPr="00DE7680">
        <w:t xml:space="preserve"> appears negative. The above three indicators all indicate that the project is unprofitable. Also, the BESS capacity has a huge impact on its cost, and the sharp increase in cost leads to the rapid deterioration of each indicator. When the capacity reduces to 90%, the reduction of income is greater than its cost, resulting in the worse results of various economic indicators. In summary, when the capacity increases to 150% and 200%, or reduced to 90%, the three indicators all deteriorate. On the one hand, it proved that the BESS capacity set in this paper is reasonable. On the other hand, to make profits by deploying BESS, its capacity needs to be set properly in accordance with the specific power plants.</w:t>
      </w:r>
    </w:p>
    <w:bookmarkEnd w:id="69"/>
    <w:p w14:paraId="1C3EB2CE" w14:textId="247E78C5" w:rsidR="00411229" w:rsidRPr="00DC0FAC" w:rsidRDefault="00411229" w:rsidP="00411229">
      <w:pPr>
        <w:pStyle w:val="1"/>
        <w:rPr>
          <w:color w:val="000000" w:themeColor="text1"/>
        </w:rPr>
      </w:pPr>
      <w:r>
        <w:rPr>
          <w:color w:val="000000" w:themeColor="text1"/>
        </w:rPr>
        <w:t>CONCLUSION</w:t>
      </w:r>
    </w:p>
    <w:p w14:paraId="7E7498FE" w14:textId="4E9E10CA" w:rsidR="001810D9" w:rsidRPr="003F5877" w:rsidRDefault="00DE7680" w:rsidP="003F5877">
      <w:pPr>
        <w:ind w:firstLineChars="100" w:firstLine="200"/>
        <w:jc w:val="both"/>
        <w:rPr>
          <w:lang w:val="en-GB"/>
        </w:rPr>
      </w:pPr>
      <w:bookmarkStart w:id="70" w:name="_Hlk78895969"/>
      <w:r w:rsidRPr="00DE7680">
        <w:rPr>
          <w:lang w:val="en-GB"/>
        </w:rPr>
        <w:t xml:space="preserve">This paper proposes a modelling and evaluation method to quantify the indirect benefits of BESS on the thermal power plant side for frequency and peak regulation considering the reduction in unit losses and the delay in investment. We use a thermal power plant configured with BESS as the actual example to verify the rationality of the model and evaluation method. The results of the case studies show that: </w:t>
      </w:r>
    </w:p>
    <w:p w14:paraId="1C07E6FC" w14:textId="28EF6DAD" w:rsidR="002B7662" w:rsidRPr="003F5877" w:rsidRDefault="003F5877" w:rsidP="003F5877">
      <w:pPr>
        <w:pStyle w:val="afb"/>
        <w:numPr>
          <w:ilvl w:val="0"/>
          <w:numId w:val="6"/>
        </w:numPr>
        <w:ind w:left="284" w:firstLineChars="0" w:hanging="227"/>
        <w:jc w:val="both"/>
        <w:rPr>
          <w:lang w:val="en-GB"/>
        </w:rPr>
      </w:pPr>
      <w:r w:rsidRPr="003F5877">
        <w:rPr>
          <w:lang w:val="en-GB"/>
        </w:rPr>
        <w:lastRenderedPageBreak/>
        <w:t>From the perspective of cost and benefit, when the capacity ratio of BESS for frequency regulation is 80%, the cost is the largest, and when the ratio is down to 60%, the benefit is the largest. Meanwhile, when we consider the reduction in unit losses and the delay in investment, the benefit of BESS is higher than the cost when the ratio is 50%-60%, which means the deployment of BESS has profitability.</w:t>
      </w:r>
    </w:p>
    <w:p w14:paraId="044F5294" w14:textId="3E6790F4" w:rsidR="003F5877" w:rsidRPr="003F5877" w:rsidRDefault="003F5877" w:rsidP="003F5877">
      <w:pPr>
        <w:pStyle w:val="afb"/>
        <w:numPr>
          <w:ilvl w:val="0"/>
          <w:numId w:val="6"/>
        </w:numPr>
        <w:ind w:left="284" w:firstLineChars="0" w:hanging="227"/>
        <w:jc w:val="both"/>
        <w:rPr>
          <w:lang w:val="en-GB"/>
        </w:rPr>
      </w:pPr>
      <w:r>
        <w:t>F</w:t>
      </w:r>
      <w:r w:rsidRPr="003F5877">
        <w:rPr>
          <w:lang w:val="en-GB"/>
        </w:rPr>
        <w:t xml:space="preserve">rom the analysis of indexes such as </w:t>
      </w:r>
      <w:proofErr w:type="spellStart"/>
      <w:r w:rsidRPr="003F5877">
        <w:rPr>
          <w:i/>
          <w:iCs/>
          <w:lang w:val="en-GB"/>
        </w:rPr>
        <w:t>T</w:t>
      </w:r>
      <w:r w:rsidRPr="003F5877">
        <w:rPr>
          <w:lang w:val="en-GB"/>
        </w:rPr>
        <w:t>p</w:t>
      </w:r>
      <w:proofErr w:type="spellEnd"/>
      <w:r w:rsidRPr="003F5877">
        <w:rPr>
          <w:lang w:val="en-GB"/>
        </w:rPr>
        <w:t xml:space="preserve">, </w:t>
      </w:r>
      <w:proofErr w:type="spellStart"/>
      <w:r w:rsidRPr="003F5877">
        <w:rPr>
          <w:i/>
          <w:iCs/>
          <w:lang w:val="en-GB"/>
        </w:rPr>
        <w:t>R</w:t>
      </w:r>
      <w:r w:rsidRPr="003F5877">
        <w:rPr>
          <w:lang w:val="en-GB"/>
        </w:rPr>
        <w:t>inv</w:t>
      </w:r>
      <w:proofErr w:type="spellEnd"/>
      <w:r w:rsidRPr="003F5877">
        <w:rPr>
          <w:lang w:val="en-GB"/>
        </w:rPr>
        <w:t xml:space="preserve"> and </w:t>
      </w:r>
      <w:r w:rsidRPr="003F5877">
        <w:rPr>
          <w:i/>
          <w:iCs/>
          <w:lang w:val="en-GB"/>
        </w:rPr>
        <w:t>V</w:t>
      </w:r>
      <w:r w:rsidRPr="003F5877">
        <w:rPr>
          <w:lang w:val="en-GB"/>
        </w:rPr>
        <w:t>, when the capacity ratio of BESS for frequency regulation is 60%, the three types of indicators and economic benefits are optimal.</w:t>
      </w:r>
    </w:p>
    <w:p w14:paraId="5DA04724" w14:textId="5C5879EA" w:rsidR="005D72BB" w:rsidRPr="003F5877" w:rsidRDefault="003F5877" w:rsidP="003F5877">
      <w:pPr>
        <w:pStyle w:val="afb"/>
        <w:numPr>
          <w:ilvl w:val="0"/>
          <w:numId w:val="6"/>
        </w:numPr>
        <w:ind w:left="284" w:firstLineChars="0" w:hanging="227"/>
        <w:jc w:val="both"/>
        <w:rPr>
          <w:lang w:val="en-GB"/>
        </w:rPr>
      </w:pPr>
      <w:r w:rsidRPr="003F5877">
        <w:rPr>
          <w:lang w:val="en-GB"/>
        </w:rPr>
        <w:t>Under the given capacity of thermal power units and frequency regulation demand, the capacity configuration of BESS has the optimal value.</w:t>
      </w:r>
    </w:p>
    <w:bookmarkEnd w:id="70"/>
    <w:p w14:paraId="68D60E1C" w14:textId="77777777" w:rsidR="00E97402" w:rsidRPr="00DC0FAC" w:rsidRDefault="00E97402">
      <w:pPr>
        <w:pStyle w:val="ReferenceHead"/>
        <w:rPr>
          <w:color w:val="000000" w:themeColor="text1"/>
        </w:rPr>
      </w:pPr>
      <w:r w:rsidRPr="003D251C">
        <w:rPr>
          <w:color w:val="000000" w:themeColor="text1"/>
        </w:rPr>
        <w:t>References</w:t>
      </w:r>
    </w:p>
    <w:p w14:paraId="7BB4700C" w14:textId="212F4C54" w:rsidR="00C34C9B" w:rsidRDefault="00C34C9B" w:rsidP="002B7662">
      <w:pPr>
        <w:pStyle w:val="References"/>
        <w:numPr>
          <w:ilvl w:val="0"/>
          <w:numId w:val="4"/>
        </w:numPr>
        <w:ind w:left="397" w:hanging="397"/>
        <w:rPr>
          <w:color w:val="000000" w:themeColor="text1"/>
        </w:rPr>
      </w:pPr>
      <w:bookmarkStart w:id="71" w:name="_Hlk78896949"/>
      <w:r w:rsidRPr="00A45B82">
        <w:rPr>
          <w:color w:val="000000" w:themeColor="text1"/>
        </w:rPr>
        <w:t>J. Suh, D. Yoon, Y. Cho</w:t>
      </w:r>
      <w:r w:rsidR="00266FF5">
        <w:rPr>
          <w:color w:val="000000" w:themeColor="text1"/>
        </w:rPr>
        <w:t>,</w:t>
      </w:r>
      <w:r w:rsidRPr="00A45B82">
        <w:rPr>
          <w:color w:val="000000" w:themeColor="text1"/>
        </w:rPr>
        <w:t xml:space="preserve"> and G. Jang, "Flexible Frequency Operation Strategy of Power System </w:t>
      </w:r>
      <w:proofErr w:type="gramStart"/>
      <w:r w:rsidRPr="00A45B82">
        <w:rPr>
          <w:color w:val="000000" w:themeColor="text1"/>
        </w:rPr>
        <w:t>With</w:t>
      </w:r>
      <w:proofErr w:type="gramEnd"/>
      <w:r w:rsidRPr="00A45B82">
        <w:rPr>
          <w:color w:val="000000" w:themeColor="text1"/>
        </w:rPr>
        <w:t xml:space="preserve"> High Renewable Penetration,"</w:t>
      </w:r>
      <w:r w:rsidR="00841BD1">
        <w:rPr>
          <w:color w:val="000000" w:themeColor="text1"/>
        </w:rPr>
        <w:t xml:space="preserve"> </w:t>
      </w:r>
      <w:r w:rsidRPr="00841BD1">
        <w:rPr>
          <w:i/>
          <w:iCs/>
          <w:color w:val="000000" w:themeColor="text1"/>
        </w:rPr>
        <w:t>IEEE Transactions on Sustainable Energy</w:t>
      </w:r>
      <w:r w:rsidRPr="00A45B82">
        <w:rPr>
          <w:color w:val="000000" w:themeColor="text1"/>
        </w:rPr>
        <w:t>, vol. 8, no. 1, pp. 192-199, Jan. 2017</w:t>
      </w:r>
      <w:r w:rsidR="00841BD1">
        <w:rPr>
          <w:color w:val="000000" w:themeColor="text1"/>
        </w:rPr>
        <w:t>.</w:t>
      </w:r>
      <w:r w:rsidRPr="00A45B82">
        <w:rPr>
          <w:color w:val="000000" w:themeColor="text1"/>
        </w:rPr>
        <w:t xml:space="preserve"> </w:t>
      </w:r>
    </w:p>
    <w:p w14:paraId="1696875F" w14:textId="7EFB2BBC" w:rsidR="00A45B82" w:rsidRDefault="00812AFF" w:rsidP="002B7662">
      <w:pPr>
        <w:pStyle w:val="References"/>
        <w:numPr>
          <w:ilvl w:val="0"/>
          <w:numId w:val="4"/>
        </w:numPr>
        <w:ind w:left="397" w:hanging="397"/>
        <w:rPr>
          <w:color w:val="000000" w:themeColor="text1"/>
        </w:rPr>
      </w:pPr>
      <w:r w:rsidRPr="00812AFF">
        <w:rPr>
          <w:color w:val="000000" w:themeColor="text1"/>
        </w:rPr>
        <w:t xml:space="preserve">Y. </w:t>
      </w:r>
      <w:proofErr w:type="spellStart"/>
      <w:r w:rsidRPr="00812AFF">
        <w:rPr>
          <w:color w:val="000000" w:themeColor="text1"/>
        </w:rPr>
        <w:t>Yoo</w:t>
      </w:r>
      <w:proofErr w:type="spellEnd"/>
      <w:r w:rsidRPr="00812AFF">
        <w:rPr>
          <w:color w:val="000000" w:themeColor="text1"/>
        </w:rPr>
        <w:t xml:space="preserve">, S. Jung and G. Jang, </w:t>
      </w:r>
      <w:r w:rsidR="008826A3">
        <w:rPr>
          <w:color w:val="000000" w:themeColor="text1"/>
          <w:lang w:eastAsia="zh-CN"/>
        </w:rPr>
        <w:t>“</w:t>
      </w:r>
      <w:r w:rsidRPr="00812AFF">
        <w:rPr>
          <w:color w:val="000000" w:themeColor="text1"/>
        </w:rPr>
        <w:t>Dynamic Inertia Response Support by Energy Storage System with Renewable Energy Integration Substation,</w:t>
      </w:r>
      <w:r w:rsidR="008826A3">
        <w:rPr>
          <w:color w:val="000000" w:themeColor="text1"/>
        </w:rPr>
        <w:t>”</w:t>
      </w:r>
      <w:r w:rsidRPr="00812AFF">
        <w:rPr>
          <w:color w:val="000000" w:themeColor="text1"/>
        </w:rPr>
        <w:t xml:space="preserve"> </w:t>
      </w:r>
      <w:r w:rsidRPr="00812AFF">
        <w:rPr>
          <w:i/>
          <w:iCs/>
          <w:color w:val="000000" w:themeColor="text1"/>
        </w:rPr>
        <w:t>Journal of Modern Power Systems and Clean Energy</w:t>
      </w:r>
      <w:r w:rsidRPr="00812AFF">
        <w:rPr>
          <w:color w:val="000000" w:themeColor="text1"/>
        </w:rPr>
        <w:t>, vol. 8, no. 2, pp. 260-266, March 2020</w:t>
      </w:r>
      <w:r>
        <w:rPr>
          <w:color w:val="000000" w:themeColor="text1"/>
        </w:rPr>
        <w:t>.</w:t>
      </w:r>
    </w:p>
    <w:p w14:paraId="3CA6E4F0" w14:textId="50414B2C" w:rsidR="00CC0CA7" w:rsidRDefault="00DB7992" w:rsidP="002B7662">
      <w:pPr>
        <w:pStyle w:val="References"/>
        <w:numPr>
          <w:ilvl w:val="0"/>
          <w:numId w:val="4"/>
        </w:numPr>
        <w:ind w:left="397" w:hanging="397"/>
        <w:rPr>
          <w:color w:val="000000" w:themeColor="text1"/>
        </w:rPr>
      </w:pPr>
      <w:r w:rsidRPr="00DB7992">
        <w:rPr>
          <w:color w:val="000000" w:themeColor="text1"/>
        </w:rPr>
        <w:t>Y</w:t>
      </w:r>
      <w:r w:rsidR="00B8144A">
        <w:rPr>
          <w:rFonts w:hint="eastAsia"/>
          <w:color w:val="000000" w:themeColor="text1"/>
          <w:lang w:eastAsia="zh-CN"/>
        </w:rPr>
        <w:t>.</w:t>
      </w:r>
      <w:r w:rsidR="00B8144A">
        <w:rPr>
          <w:color w:val="000000" w:themeColor="text1"/>
          <w:lang w:eastAsia="zh-CN"/>
        </w:rPr>
        <w:t xml:space="preserve"> J.</w:t>
      </w:r>
      <w:r w:rsidRPr="00DB7992">
        <w:rPr>
          <w:color w:val="000000" w:themeColor="text1"/>
        </w:rPr>
        <w:t xml:space="preserve"> Gu, J</w:t>
      </w:r>
      <w:r w:rsidR="00B8144A">
        <w:rPr>
          <w:color w:val="000000" w:themeColor="text1"/>
        </w:rPr>
        <w:t>.</w:t>
      </w:r>
      <w:r w:rsidRPr="00DB7992">
        <w:rPr>
          <w:color w:val="000000" w:themeColor="text1"/>
        </w:rPr>
        <w:t xml:space="preserve"> Xu, D</w:t>
      </w:r>
      <w:r w:rsidR="00B8144A">
        <w:rPr>
          <w:color w:val="000000" w:themeColor="text1"/>
        </w:rPr>
        <w:t>. C</w:t>
      </w:r>
      <w:r w:rsidRPr="00DB7992">
        <w:rPr>
          <w:color w:val="000000" w:themeColor="text1"/>
        </w:rPr>
        <w:t xml:space="preserve"> Chen, Z</w:t>
      </w:r>
      <w:r w:rsidR="00B8144A">
        <w:rPr>
          <w:color w:val="000000" w:themeColor="text1"/>
        </w:rPr>
        <w:t>.</w:t>
      </w:r>
      <w:r w:rsidRPr="00DB7992">
        <w:rPr>
          <w:color w:val="000000" w:themeColor="text1"/>
        </w:rPr>
        <w:t xml:space="preserve"> Wang</w:t>
      </w:r>
      <w:r w:rsidR="00266FF5">
        <w:rPr>
          <w:color w:val="000000" w:themeColor="text1"/>
        </w:rPr>
        <w:t>, and</w:t>
      </w:r>
      <w:r w:rsidRPr="00DB7992">
        <w:rPr>
          <w:color w:val="000000" w:themeColor="text1"/>
        </w:rPr>
        <w:t xml:space="preserve"> Q</w:t>
      </w:r>
      <w:r w:rsidR="00266FF5">
        <w:rPr>
          <w:color w:val="000000" w:themeColor="text1"/>
        </w:rPr>
        <w:t>. Q.</w:t>
      </w:r>
      <w:r w:rsidRPr="00DB7992">
        <w:rPr>
          <w:color w:val="000000" w:themeColor="text1"/>
        </w:rPr>
        <w:t xml:space="preserve"> Li,</w:t>
      </w:r>
      <w:r w:rsidR="00266FF5">
        <w:rPr>
          <w:color w:val="000000" w:themeColor="text1"/>
        </w:rPr>
        <w:t xml:space="preserve"> “</w:t>
      </w:r>
      <w:r w:rsidRPr="00DB7992">
        <w:rPr>
          <w:color w:val="000000" w:themeColor="text1"/>
        </w:rPr>
        <w:t>Overall review of peak shaving for coal-fired power units in China,</w:t>
      </w:r>
      <w:r w:rsidR="008826A3">
        <w:rPr>
          <w:color w:val="000000" w:themeColor="text1"/>
        </w:rPr>
        <w:t xml:space="preserve">” </w:t>
      </w:r>
      <w:r w:rsidRPr="008826A3">
        <w:rPr>
          <w:i/>
          <w:iCs/>
          <w:color w:val="000000" w:themeColor="text1"/>
        </w:rPr>
        <w:t>Renewable and Sustainable Energy Reviews</w:t>
      </w:r>
      <w:r w:rsidRPr="00DB7992">
        <w:rPr>
          <w:color w:val="000000" w:themeColor="text1"/>
        </w:rPr>
        <w:t>,</w:t>
      </w:r>
      <w:r w:rsidR="008826A3">
        <w:rPr>
          <w:color w:val="000000" w:themeColor="text1"/>
        </w:rPr>
        <w:t xml:space="preserve"> vol.</w:t>
      </w:r>
      <w:r w:rsidRPr="00DB7992">
        <w:rPr>
          <w:color w:val="000000" w:themeColor="text1"/>
        </w:rPr>
        <w:t xml:space="preserve"> 54,</w:t>
      </w:r>
      <w:r w:rsidR="00AD13B5">
        <w:rPr>
          <w:color w:val="000000" w:themeColor="text1"/>
        </w:rPr>
        <w:t xml:space="preserve"> pp.</w:t>
      </w:r>
      <w:r w:rsidRPr="00DB7992">
        <w:t xml:space="preserve"> </w:t>
      </w:r>
      <w:r w:rsidRPr="00DB7992">
        <w:rPr>
          <w:color w:val="000000" w:themeColor="text1"/>
        </w:rPr>
        <w:t>723-731,</w:t>
      </w:r>
      <w:r w:rsidR="00AD13B5">
        <w:rPr>
          <w:color w:val="000000" w:themeColor="text1"/>
        </w:rPr>
        <w:t xml:space="preserve"> Nov, 2015.</w:t>
      </w:r>
    </w:p>
    <w:p w14:paraId="73EDAC06" w14:textId="2BA5EB68" w:rsidR="00EE0A1B" w:rsidRDefault="00A651A4" w:rsidP="002B7662">
      <w:pPr>
        <w:pStyle w:val="References"/>
        <w:numPr>
          <w:ilvl w:val="0"/>
          <w:numId w:val="4"/>
        </w:numPr>
        <w:ind w:left="397" w:hanging="397"/>
        <w:rPr>
          <w:color w:val="000000" w:themeColor="text1"/>
        </w:rPr>
      </w:pPr>
      <w:r w:rsidRPr="00A651A4">
        <w:rPr>
          <w:color w:val="000000" w:themeColor="text1"/>
        </w:rPr>
        <w:t>R</w:t>
      </w:r>
      <w:r>
        <w:rPr>
          <w:color w:val="000000" w:themeColor="text1"/>
        </w:rPr>
        <w:t>.</w:t>
      </w:r>
      <w:r w:rsidRPr="00A651A4">
        <w:rPr>
          <w:color w:val="000000" w:themeColor="text1"/>
        </w:rPr>
        <w:t xml:space="preserve"> </w:t>
      </w:r>
      <w:proofErr w:type="spellStart"/>
      <w:r w:rsidRPr="00A651A4">
        <w:rPr>
          <w:color w:val="000000" w:themeColor="text1"/>
        </w:rPr>
        <w:t>Barzin</w:t>
      </w:r>
      <w:proofErr w:type="spellEnd"/>
      <w:r w:rsidRPr="00A651A4">
        <w:rPr>
          <w:color w:val="000000" w:themeColor="text1"/>
        </w:rPr>
        <w:t>, J.</w:t>
      </w:r>
      <w:r>
        <w:rPr>
          <w:color w:val="000000" w:themeColor="text1"/>
        </w:rPr>
        <w:t xml:space="preserve"> </w:t>
      </w:r>
      <w:r w:rsidRPr="00A651A4">
        <w:rPr>
          <w:color w:val="000000" w:themeColor="text1"/>
        </w:rPr>
        <w:t>J. Chen, B</w:t>
      </w:r>
      <w:r>
        <w:rPr>
          <w:color w:val="000000" w:themeColor="text1"/>
        </w:rPr>
        <w:t>.</w:t>
      </w:r>
      <w:r w:rsidRPr="00A651A4">
        <w:rPr>
          <w:color w:val="000000" w:themeColor="text1"/>
        </w:rPr>
        <w:t xml:space="preserve"> R. Young, M</w:t>
      </w:r>
      <w:r w:rsidR="00B84E99">
        <w:rPr>
          <w:color w:val="000000" w:themeColor="text1"/>
        </w:rPr>
        <w:t>.</w:t>
      </w:r>
      <w:r w:rsidRPr="00A651A4">
        <w:rPr>
          <w:color w:val="000000" w:themeColor="text1"/>
        </w:rPr>
        <w:t xml:space="preserve"> M. Farid,</w:t>
      </w:r>
      <w:r w:rsidR="00B84E99">
        <w:rPr>
          <w:color w:val="000000" w:themeColor="text1"/>
        </w:rPr>
        <w:t xml:space="preserve"> “</w:t>
      </w:r>
      <w:bookmarkStart w:id="72" w:name="OLE_LINK52"/>
      <w:r w:rsidRPr="00A651A4">
        <w:rPr>
          <w:color w:val="000000" w:themeColor="text1"/>
        </w:rPr>
        <w:t>Peak load shifting with energy storage and price-based control system,</w:t>
      </w:r>
      <w:bookmarkEnd w:id="72"/>
      <w:r w:rsidR="00B84E99">
        <w:rPr>
          <w:color w:val="000000" w:themeColor="text1"/>
        </w:rPr>
        <w:t xml:space="preserve">” </w:t>
      </w:r>
      <w:r w:rsidRPr="00B84E99">
        <w:rPr>
          <w:i/>
          <w:iCs/>
          <w:color w:val="000000" w:themeColor="text1"/>
        </w:rPr>
        <w:t>Energy</w:t>
      </w:r>
      <w:r w:rsidRPr="00A651A4">
        <w:rPr>
          <w:color w:val="000000" w:themeColor="text1"/>
        </w:rPr>
        <w:t>,</w:t>
      </w:r>
      <w:r w:rsidR="00B84E99">
        <w:rPr>
          <w:color w:val="000000" w:themeColor="text1"/>
        </w:rPr>
        <w:t xml:space="preserve"> vol</w:t>
      </w:r>
      <w:r w:rsidRPr="00A651A4">
        <w:rPr>
          <w:color w:val="000000" w:themeColor="text1"/>
        </w:rPr>
        <w:t xml:space="preserve"> 92, </w:t>
      </w:r>
      <w:r w:rsidR="00B84E99">
        <w:rPr>
          <w:color w:val="000000" w:themeColor="text1"/>
        </w:rPr>
        <w:t>no.</w:t>
      </w:r>
      <w:r w:rsidRPr="00A651A4">
        <w:rPr>
          <w:color w:val="000000" w:themeColor="text1"/>
        </w:rPr>
        <w:t xml:space="preserve"> 3,</w:t>
      </w:r>
      <w:r w:rsidR="007B63BE">
        <w:rPr>
          <w:color w:val="000000" w:themeColor="text1"/>
        </w:rPr>
        <w:t xml:space="preserve"> pp.</w:t>
      </w:r>
      <w:r w:rsidRPr="00A651A4">
        <w:rPr>
          <w:color w:val="000000" w:themeColor="text1"/>
        </w:rPr>
        <w:t xml:space="preserve"> 505-514,</w:t>
      </w:r>
      <w:r w:rsidR="007B63BE" w:rsidRPr="007B63BE">
        <w:rPr>
          <w:color w:val="000000" w:themeColor="text1"/>
        </w:rPr>
        <w:t xml:space="preserve"> </w:t>
      </w:r>
      <w:r w:rsidR="00707B87">
        <w:rPr>
          <w:color w:val="000000" w:themeColor="text1"/>
        </w:rPr>
        <w:t xml:space="preserve">Dec, </w:t>
      </w:r>
      <w:r w:rsidR="007B63BE" w:rsidRPr="00A651A4">
        <w:rPr>
          <w:color w:val="000000" w:themeColor="text1"/>
        </w:rPr>
        <w:t>2015</w:t>
      </w:r>
      <w:r w:rsidR="007B63BE">
        <w:rPr>
          <w:color w:val="000000" w:themeColor="text1"/>
        </w:rPr>
        <w:t>.</w:t>
      </w:r>
    </w:p>
    <w:p w14:paraId="1687D34D" w14:textId="198D4951" w:rsidR="007142B7" w:rsidRDefault="004B6C68" w:rsidP="002B7662">
      <w:pPr>
        <w:pStyle w:val="References"/>
        <w:numPr>
          <w:ilvl w:val="0"/>
          <w:numId w:val="4"/>
        </w:numPr>
        <w:ind w:left="397" w:hanging="397"/>
        <w:rPr>
          <w:color w:val="000000" w:themeColor="text1"/>
        </w:rPr>
      </w:pPr>
      <w:bookmarkStart w:id="73" w:name="OLE_LINK44"/>
      <w:r w:rsidRPr="00633452">
        <w:rPr>
          <w:color w:val="000000" w:themeColor="text1"/>
        </w:rPr>
        <w:t>D.</w:t>
      </w:r>
      <w:r>
        <w:rPr>
          <w:color w:val="000000" w:themeColor="text1"/>
        </w:rPr>
        <w:t xml:space="preserve"> </w:t>
      </w:r>
      <w:r w:rsidRPr="00633452">
        <w:rPr>
          <w:color w:val="000000" w:themeColor="text1"/>
        </w:rPr>
        <w:t>M.</w:t>
      </w:r>
      <w:r>
        <w:rPr>
          <w:color w:val="000000" w:themeColor="text1"/>
        </w:rPr>
        <w:t xml:space="preserve"> </w:t>
      </w:r>
      <w:r w:rsidR="00633452" w:rsidRPr="00633452">
        <w:rPr>
          <w:color w:val="000000" w:themeColor="text1"/>
        </w:rPr>
        <w:t xml:space="preserve">OJEDA-ESTEYBAR, </w:t>
      </w:r>
      <w:r w:rsidRPr="00633452">
        <w:rPr>
          <w:color w:val="000000" w:themeColor="text1"/>
        </w:rPr>
        <w:t>R.</w:t>
      </w:r>
      <w:r>
        <w:rPr>
          <w:color w:val="000000" w:themeColor="text1"/>
        </w:rPr>
        <w:t xml:space="preserve"> </w:t>
      </w:r>
      <w:r w:rsidRPr="00633452">
        <w:rPr>
          <w:color w:val="000000" w:themeColor="text1"/>
        </w:rPr>
        <w:t>G.</w:t>
      </w:r>
      <w:r>
        <w:rPr>
          <w:color w:val="000000" w:themeColor="text1"/>
        </w:rPr>
        <w:t xml:space="preserve"> </w:t>
      </w:r>
      <w:r w:rsidR="00633452" w:rsidRPr="00633452">
        <w:rPr>
          <w:color w:val="000000" w:themeColor="text1"/>
        </w:rPr>
        <w:t>RUBIO-BARROS, A</w:t>
      </w:r>
      <w:r w:rsidR="00107058">
        <w:rPr>
          <w:color w:val="000000" w:themeColor="text1"/>
        </w:rPr>
        <w:t>.</w:t>
      </w:r>
      <w:r w:rsidR="00107058" w:rsidRPr="00107058">
        <w:rPr>
          <w:color w:val="000000" w:themeColor="text1"/>
        </w:rPr>
        <w:t xml:space="preserve"> </w:t>
      </w:r>
      <w:r w:rsidR="00107058" w:rsidRPr="00633452">
        <w:rPr>
          <w:color w:val="000000" w:themeColor="text1"/>
        </w:rPr>
        <w:t>VARGAS</w:t>
      </w:r>
      <w:r w:rsidR="00107058">
        <w:rPr>
          <w:color w:val="000000" w:themeColor="text1"/>
        </w:rPr>
        <w:t>,</w:t>
      </w:r>
      <w:r w:rsidR="00633452" w:rsidRPr="00633452">
        <w:rPr>
          <w:color w:val="000000" w:themeColor="text1"/>
        </w:rPr>
        <w:t xml:space="preserve"> </w:t>
      </w:r>
      <w:r>
        <w:rPr>
          <w:color w:val="000000" w:themeColor="text1"/>
        </w:rPr>
        <w:t>“</w:t>
      </w:r>
      <w:bookmarkStart w:id="74" w:name="OLE_LINK53"/>
      <w:r w:rsidR="00633452" w:rsidRPr="00633452">
        <w:rPr>
          <w:color w:val="000000" w:themeColor="text1"/>
        </w:rPr>
        <w:t xml:space="preserve">Integrated operational planning </w:t>
      </w:r>
      <w:bookmarkEnd w:id="74"/>
      <w:r w:rsidR="00633452" w:rsidRPr="00633452">
        <w:rPr>
          <w:color w:val="000000" w:themeColor="text1"/>
        </w:rPr>
        <w:t>of hydrothermal power and natural gas systems with large scale storages</w:t>
      </w:r>
      <w:r>
        <w:rPr>
          <w:color w:val="000000" w:themeColor="text1"/>
        </w:rPr>
        <w:t>,”</w:t>
      </w:r>
      <w:r w:rsidR="00633452" w:rsidRPr="00633452">
        <w:rPr>
          <w:color w:val="000000" w:themeColor="text1"/>
        </w:rPr>
        <w:t xml:space="preserve"> </w:t>
      </w:r>
      <w:r w:rsidR="001C1CD2" w:rsidRPr="00812AFF">
        <w:rPr>
          <w:i/>
          <w:iCs/>
          <w:color w:val="000000" w:themeColor="text1"/>
        </w:rPr>
        <w:t>Journal of Modern Power Systems and Clean Energy</w:t>
      </w:r>
      <w:r w:rsidR="001C1CD2">
        <w:rPr>
          <w:color w:val="000000" w:themeColor="text1"/>
        </w:rPr>
        <w:t xml:space="preserve">, vol. </w:t>
      </w:r>
      <w:r w:rsidR="00633452" w:rsidRPr="00633452">
        <w:rPr>
          <w:color w:val="000000" w:themeColor="text1"/>
        </w:rPr>
        <w:t>5,</w:t>
      </w:r>
      <w:r>
        <w:rPr>
          <w:color w:val="000000" w:themeColor="text1"/>
        </w:rPr>
        <w:t xml:space="preserve"> no. 3, pp.</w:t>
      </w:r>
      <w:r w:rsidR="00633452" w:rsidRPr="00633452">
        <w:rPr>
          <w:color w:val="000000" w:themeColor="text1"/>
        </w:rPr>
        <w:t xml:space="preserve"> 299–313</w:t>
      </w:r>
      <w:r>
        <w:rPr>
          <w:color w:val="000000" w:themeColor="text1"/>
        </w:rPr>
        <w:t xml:space="preserve">, </w:t>
      </w:r>
      <w:r w:rsidR="007220CC">
        <w:rPr>
          <w:color w:val="000000" w:themeColor="text1"/>
        </w:rPr>
        <w:t xml:space="preserve">May, </w:t>
      </w:r>
      <w:r w:rsidR="00633452" w:rsidRPr="00633452">
        <w:rPr>
          <w:color w:val="000000" w:themeColor="text1"/>
        </w:rPr>
        <w:t>2017.</w:t>
      </w:r>
    </w:p>
    <w:bookmarkEnd w:id="73"/>
    <w:p w14:paraId="7F841CA4" w14:textId="5DEA7EF0" w:rsidR="007142B7" w:rsidRDefault="00430D54" w:rsidP="002B7662">
      <w:pPr>
        <w:pStyle w:val="References"/>
        <w:numPr>
          <w:ilvl w:val="0"/>
          <w:numId w:val="4"/>
        </w:numPr>
        <w:ind w:left="397" w:hanging="397"/>
        <w:rPr>
          <w:color w:val="000000" w:themeColor="text1"/>
        </w:rPr>
      </w:pPr>
      <w:r w:rsidRPr="00430D54">
        <w:rPr>
          <w:color w:val="000000" w:themeColor="text1"/>
        </w:rPr>
        <w:t>C</w:t>
      </w:r>
      <w:r>
        <w:rPr>
          <w:color w:val="000000" w:themeColor="text1"/>
        </w:rPr>
        <w:t xml:space="preserve">. T. </w:t>
      </w:r>
      <w:r w:rsidRPr="00430D54">
        <w:rPr>
          <w:color w:val="000000" w:themeColor="text1"/>
        </w:rPr>
        <w:t xml:space="preserve">Cheng, </w:t>
      </w:r>
      <w:r>
        <w:rPr>
          <w:color w:val="000000" w:themeColor="text1"/>
        </w:rPr>
        <w:t>C. G.</w:t>
      </w:r>
      <w:r w:rsidRPr="00430D54">
        <w:rPr>
          <w:color w:val="000000" w:themeColor="text1"/>
        </w:rPr>
        <w:t xml:space="preserve"> </w:t>
      </w:r>
      <w:proofErr w:type="spellStart"/>
      <w:r w:rsidRPr="00430D54">
        <w:rPr>
          <w:color w:val="000000" w:themeColor="text1"/>
        </w:rPr>
        <w:t>Su</w:t>
      </w:r>
      <w:proofErr w:type="spellEnd"/>
      <w:r w:rsidRPr="00430D54">
        <w:rPr>
          <w:color w:val="000000" w:themeColor="text1"/>
        </w:rPr>
        <w:t>, P</w:t>
      </w:r>
      <w:r>
        <w:rPr>
          <w:color w:val="000000" w:themeColor="text1"/>
        </w:rPr>
        <w:t>. L.</w:t>
      </w:r>
      <w:r w:rsidRPr="00430D54">
        <w:rPr>
          <w:color w:val="000000" w:themeColor="text1"/>
        </w:rPr>
        <w:t xml:space="preserve"> Wang, </w:t>
      </w:r>
      <w:r>
        <w:rPr>
          <w:color w:val="000000" w:themeColor="text1"/>
        </w:rPr>
        <w:t>and J. J</w:t>
      </w:r>
      <w:r w:rsidR="00A04AA9">
        <w:rPr>
          <w:color w:val="000000" w:themeColor="text1"/>
        </w:rPr>
        <w:t>.</w:t>
      </w:r>
      <w:r w:rsidRPr="00430D54">
        <w:rPr>
          <w:color w:val="000000" w:themeColor="text1"/>
        </w:rPr>
        <w:t xml:space="preserve"> Shen </w:t>
      </w:r>
      <w:r w:rsidR="00A04AA9">
        <w:rPr>
          <w:color w:val="000000" w:themeColor="text1"/>
        </w:rPr>
        <w:t>et. al. “</w:t>
      </w:r>
      <w:proofErr w:type="gramStart"/>
      <w:r w:rsidRPr="00430D54">
        <w:rPr>
          <w:color w:val="000000" w:themeColor="text1"/>
        </w:rPr>
        <w:t>A</w:t>
      </w:r>
      <w:r w:rsidR="007220CC">
        <w:rPr>
          <w:color w:val="000000" w:themeColor="text1"/>
        </w:rPr>
        <w:t>n</w:t>
      </w:r>
      <w:proofErr w:type="gramEnd"/>
      <w:r w:rsidRPr="00430D54">
        <w:rPr>
          <w:color w:val="000000" w:themeColor="text1"/>
        </w:rPr>
        <w:t xml:space="preserve"> MILP-based model for short-term peak shaving operation of pumped-storage hydropower plants serving multiple power grids</w:t>
      </w:r>
      <w:r w:rsidR="00A04AA9">
        <w:rPr>
          <w:color w:val="000000" w:themeColor="text1"/>
        </w:rPr>
        <w:t>”</w:t>
      </w:r>
      <w:r w:rsidRPr="00430D54">
        <w:rPr>
          <w:color w:val="000000" w:themeColor="text1"/>
        </w:rPr>
        <w:t>,</w:t>
      </w:r>
      <w:r w:rsidR="00A04AA9">
        <w:rPr>
          <w:color w:val="000000" w:themeColor="text1"/>
        </w:rPr>
        <w:t xml:space="preserve"> </w:t>
      </w:r>
      <w:r w:rsidRPr="00A04AA9">
        <w:rPr>
          <w:i/>
          <w:iCs/>
          <w:color w:val="000000" w:themeColor="text1"/>
        </w:rPr>
        <w:t>Energy</w:t>
      </w:r>
      <w:r w:rsidRPr="00430D54">
        <w:rPr>
          <w:color w:val="000000" w:themeColor="text1"/>
        </w:rPr>
        <w:t>,</w:t>
      </w:r>
      <w:r w:rsidR="00A04AA9">
        <w:rPr>
          <w:color w:val="000000" w:themeColor="text1"/>
        </w:rPr>
        <w:t xml:space="preserve"> vol.</w:t>
      </w:r>
      <w:r w:rsidR="0004068A">
        <w:rPr>
          <w:color w:val="000000" w:themeColor="text1"/>
        </w:rPr>
        <w:t xml:space="preserve"> </w:t>
      </w:r>
      <w:r w:rsidRPr="00430D54">
        <w:rPr>
          <w:color w:val="000000" w:themeColor="text1"/>
        </w:rPr>
        <w:t>163,</w:t>
      </w:r>
      <w:r w:rsidR="0004068A">
        <w:rPr>
          <w:color w:val="000000" w:themeColor="text1"/>
        </w:rPr>
        <w:t xml:space="preserve"> pp. </w:t>
      </w:r>
      <w:r w:rsidRPr="00430D54">
        <w:rPr>
          <w:color w:val="000000" w:themeColor="text1"/>
        </w:rPr>
        <w:t xml:space="preserve"> 722-733,</w:t>
      </w:r>
      <w:r w:rsidR="0004068A" w:rsidRPr="0004068A">
        <w:rPr>
          <w:color w:val="000000" w:themeColor="text1"/>
        </w:rPr>
        <w:t xml:space="preserve"> </w:t>
      </w:r>
      <w:r w:rsidR="007220CC">
        <w:rPr>
          <w:color w:val="000000" w:themeColor="text1"/>
        </w:rPr>
        <w:t xml:space="preserve">Aug, </w:t>
      </w:r>
      <w:r w:rsidR="0004068A" w:rsidRPr="00430D54">
        <w:rPr>
          <w:color w:val="000000" w:themeColor="text1"/>
        </w:rPr>
        <w:t>2018</w:t>
      </w:r>
      <w:r w:rsidR="0004068A">
        <w:rPr>
          <w:color w:val="000000" w:themeColor="text1"/>
        </w:rPr>
        <w:t>.</w:t>
      </w:r>
    </w:p>
    <w:p w14:paraId="7033A682" w14:textId="5155C29A" w:rsidR="000A57EA" w:rsidRDefault="00922813" w:rsidP="002B7662">
      <w:pPr>
        <w:pStyle w:val="References"/>
        <w:numPr>
          <w:ilvl w:val="0"/>
          <w:numId w:val="4"/>
        </w:numPr>
        <w:ind w:left="397" w:hanging="397"/>
        <w:rPr>
          <w:color w:val="000000" w:themeColor="text1"/>
        </w:rPr>
      </w:pPr>
      <w:bookmarkStart w:id="75" w:name="_Hlk77932165"/>
      <w:r>
        <w:rPr>
          <w:color w:val="000000" w:themeColor="text1"/>
        </w:rPr>
        <w:t>M-R. Jon</w:t>
      </w:r>
      <w:r w:rsidR="000A57EA">
        <w:rPr>
          <w:color w:val="000000" w:themeColor="text1"/>
        </w:rPr>
        <w:t>,</w:t>
      </w:r>
      <w:r w:rsidR="000A57EA" w:rsidRPr="00633452">
        <w:rPr>
          <w:color w:val="000000" w:themeColor="text1"/>
        </w:rPr>
        <w:t xml:space="preserve"> </w:t>
      </w:r>
      <w:r>
        <w:rPr>
          <w:color w:val="000000" w:themeColor="text1"/>
        </w:rPr>
        <w:t xml:space="preserve">Z. </w:t>
      </w:r>
      <w:proofErr w:type="spellStart"/>
      <w:r>
        <w:rPr>
          <w:color w:val="000000" w:themeColor="text1"/>
        </w:rPr>
        <w:t>Ekaitz</w:t>
      </w:r>
      <w:proofErr w:type="spellEnd"/>
      <w:r>
        <w:rPr>
          <w:color w:val="000000" w:themeColor="text1"/>
        </w:rPr>
        <w:t xml:space="preserve">, </w:t>
      </w:r>
      <w:r w:rsidR="00067F31">
        <w:rPr>
          <w:color w:val="000000" w:themeColor="text1"/>
        </w:rPr>
        <w:t xml:space="preserve">D. </w:t>
      </w:r>
      <w:proofErr w:type="spellStart"/>
      <w:r w:rsidR="00067F31">
        <w:rPr>
          <w:color w:val="000000" w:themeColor="text1"/>
        </w:rPr>
        <w:t>Argandona</w:t>
      </w:r>
      <w:proofErr w:type="spellEnd"/>
      <w:r w:rsidR="00067F31">
        <w:rPr>
          <w:color w:val="000000" w:themeColor="text1"/>
        </w:rPr>
        <w:t xml:space="preserve">, and F-G. Unai, et al. </w:t>
      </w:r>
      <w:r w:rsidR="000A57EA">
        <w:rPr>
          <w:color w:val="000000" w:themeColor="text1"/>
        </w:rPr>
        <w:t>“</w:t>
      </w:r>
      <w:bookmarkStart w:id="76" w:name="OLE_LINK54"/>
      <w:proofErr w:type="gramStart"/>
      <w:r w:rsidR="000A57EA" w:rsidRPr="000A57EA">
        <w:rPr>
          <w:color w:val="000000" w:themeColor="text1"/>
        </w:rPr>
        <w:t>Multi-objective</w:t>
      </w:r>
      <w:proofErr w:type="gramEnd"/>
      <w:r w:rsidR="000A57EA" w:rsidRPr="000A57EA">
        <w:rPr>
          <w:color w:val="000000" w:themeColor="text1"/>
        </w:rPr>
        <w:t xml:space="preserve"> </w:t>
      </w:r>
      <w:r w:rsidR="00171A18">
        <w:rPr>
          <w:color w:val="000000" w:themeColor="text1"/>
        </w:rPr>
        <w:t>o</w:t>
      </w:r>
      <w:r w:rsidR="000A57EA" w:rsidRPr="000A57EA">
        <w:rPr>
          <w:color w:val="000000" w:themeColor="text1"/>
        </w:rPr>
        <w:t xml:space="preserve">ptimization of </w:t>
      </w:r>
      <w:r w:rsidR="00171A18">
        <w:rPr>
          <w:color w:val="000000" w:themeColor="text1"/>
        </w:rPr>
        <w:t>p</w:t>
      </w:r>
      <w:r w:rsidR="000A57EA" w:rsidRPr="000A57EA">
        <w:rPr>
          <w:color w:val="000000" w:themeColor="text1"/>
        </w:rPr>
        <w:t xml:space="preserve">roduction </w:t>
      </w:r>
      <w:r w:rsidR="00171A18">
        <w:rPr>
          <w:color w:val="000000" w:themeColor="text1"/>
        </w:rPr>
        <w:t>s</w:t>
      </w:r>
      <w:r w:rsidR="000A57EA" w:rsidRPr="000A57EA">
        <w:rPr>
          <w:color w:val="000000" w:themeColor="text1"/>
        </w:rPr>
        <w:t xml:space="preserve">cheduling </w:t>
      </w:r>
      <w:r w:rsidR="00171A18">
        <w:rPr>
          <w:color w:val="000000" w:themeColor="text1"/>
        </w:rPr>
        <w:t>u</w:t>
      </w:r>
      <w:r w:rsidR="000A57EA" w:rsidRPr="000A57EA">
        <w:rPr>
          <w:color w:val="000000" w:themeColor="text1"/>
        </w:rPr>
        <w:t xml:space="preserve">sing </w:t>
      </w:r>
      <w:r w:rsidR="00171A18">
        <w:rPr>
          <w:color w:val="000000" w:themeColor="text1"/>
        </w:rPr>
        <w:t>p</w:t>
      </w:r>
      <w:r w:rsidR="000A57EA" w:rsidRPr="000A57EA">
        <w:rPr>
          <w:color w:val="000000" w:themeColor="text1"/>
        </w:rPr>
        <w:t xml:space="preserve">article </w:t>
      </w:r>
      <w:r w:rsidR="00171A18">
        <w:rPr>
          <w:color w:val="000000" w:themeColor="text1"/>
        </w:rPr>
        <w:t>s</w:t>
      </w:r>
      <w:r w:rsidR="000A57EA" w:rsidRPr="000A57EA">
        <w:rPr>
          <w:color w:val="000000" w:themeColor="text1"/>
        </w:rPr>
        <w:t xml:space="preserve">warm </w:t>
      </w:r>
      <w:r w:rsidR="00171A18">
        <w:rPr>
          <w:color w:val="000000" w:themeColor="text1"/>
        </w:rPr>
        <w:t>o</w:t>
      </w:r>
      <w:r w:rsidR="000A57EA" w:rsidRPr="000A57EA">
        <w:rPr>
          <w:color w:val="000000" w:themeColor="text1"/>
        </w:rPr>
        <w:t xml:space="preserve">ptimization </w:t>
      </w:r>
      <w:r w:rsidR="00171A18">
        <w:rPr>
          <w:color w:val="000000" w:themeColor="text1"/>
        </w:rPr>
        <w:t>a</w:t>
      </w:r>
      <w:r w:rsidR="000A57EA" w:rsidRPr="000A57EA">
        <w:rPr>
          <w:color w:val="000000" w:themeColor="text1"/>
        </w:rPr>
        <w:t xml:space="preserve">lgorithm for </w:t>
      </w:r>
      <w:r w:rsidR="00171A18">
        <w:rPr>
          <w:color w:val="000000" w:themeColor="text1"/>
        </w:rPr>
        <w:t>h</w:t>
      </w:r>
      <w:r w:rsidR="000A57EA" w:rsidRPr="000A57EA">
        <w:rPr>
          <w:color w:val="000000" w:themeColor="text1"/>
        </w:rPr>
        <w:t xml:space="preserve">ybrid </w:t>
      </w:r>
      <w:r w:rsidR="00171A18">
        <w:rPr>
          <w:color w:val="000000" w:themeColor="text1"/>
        </w:rPr>
        <w:t>r</w:t>
      </w:r>
      <w:r w:rsidR="000A57EA" w:rsidRPr="000A57EA">
        <w:rPr>
          <w:color w:val="000000" w:themeColor="text1"/>
        </w:rPr>
        <w:t xml:space="preserve">enewable </w:t>
      </w:r>
      <w:r w:rsidR="00171A18">
        <w:rPr>
          <w:color w:val="000000" w:themeColor="text1"/>
        </w:rPr>
        <w:t>p</w:t>
      </w:r>
      <w:r w:rsidR="000A57EA" w:rsidRPr="000A57EA">
        <w:rPr>
          <w:color w:val="000000" w:themeColor="text1"/>
        </w:rPr>
        <w:t xml:space="preserve">ower </w:t>
      </w:r>
      <w:r w:rsidR="00171A18">
        <w:rPr>
          <w:color w:val="000000" w:themeColor="text1"/>
        </w:rPr>
        <w:t>p</w:t>
      </w:r>
      <w:r w:rsidR="000A57EA" w:rsidRPr="000A57EA">
        <w:rPr>
          <w:color w:val="000000" w:themeColor="text1"/>
        </w:rPr>
        <w:t xml:space="preserve">lants with </w:t>
      </w:r>
      <w:r w:rsidR="00171A18">
        <w:rPr>
          <w:color w:val="000000" w:themeColor="text1"/>
        </w:rPr>
        <w:t>b</w:t>
      </w:r>
      <w:r w:rsidR="000A57EA" w:rsidRPr="000A57EA">
        <w:rPr>
          <w:color w:val="000000" w:themeColor="text1"/>
        </w:rPr>
        <w:t xml:space="preserve">attery </w:t>
      </w:r>
      <w:r w:rsidR="00171A18">
        <w:rPr>
          <w:color w:val="000000" w:themeColor="text1"/>
        </w:rPr>
        <w:t>e</w:t>
      </w:r>
      <w:r w:rsidR="000A57EA" w:rsidRPr="000A57EA">
        <w:rPr>
          <w:color w:val="000000" w:themeColor="text1"/>
        </w:rPr>
        <w:t xml:space="preserve">nergy </w:t>
      </w:r>
      <w:r w:rsidR="00171A18">
        <w:rPr>
          <w:color w:val="000000" w:themeColor="text1"/>
        </w:rPr>
        <w:t>s</w:t>
      </w:r>
      <w:r w:rsidR="000A57EA" w:rsidRPr="000A57EA">
        <w:rPr>
          <w:color w:val="000000" w:themeColor="text1"/>
        </w:rPr>
        <w:t xml:space="preserve">torage </w:t>
      </w:r>
      <w:r w:rsidR="00171A18">
        <w:rPr>
          <w:color w:val="000000" w:themeColor="text1"/>
        </w:rPr>
        <w:t>s</w:t>
      </w:r>
      <w:r w:rsidR="000A57EA" w:rsidRPr="000A57EA">
        <w:rPr>
          <w:color w:val="000000" w:themeColor="text1"/>
        </w:rPr>
        <w:t>ystem</w:t>
      </w:r>
      <w:bookmarkEnd w:id="76"/>
      <w:r w:rsidR="000A57EA">
        <w:rPr>
          <w:color w:val="000000" w:themeColor="text1"/>
        </w:rPr>
        <w:t>,”</w:t>
      </w:r>
      <w:r w:rsidR="000A57EA" w:rsidRPr="00633452">
        <w:rPr>
          <w:color w:val="000000" w:themeColor="text1"/>
        </w:rPr>
        <w:t xml:space="preserve"> </w:t>
      </w:r>
      <w:r w:rsidR="000A57EA" w:rsidRPr="00402657">
        <w:rPr>
          <w:i/>
          <w:iCs/>
          <w:color w:val="000000" w:themeColor="text1"/>
        </w:rPr>
        <w:t>Journal of Modern Power Systems and Clean Energy</w:t>
      </w:r>
      <w:r w:rsidR="000A57EA">
        <w:rPr>
          <w:color w:val="000000" w:themeColor="text1"/>
        </w:rPr>
        <w:t xml:space="preserve">, vol. </w:t>
      </w:r>
      <w:r w:rsidR="00067F31">
        <w:rPr>
          <w:color w:val="000000" w:themeColor="text1"/>
        </w:rPr>
        <w:t>9</w:t>
      </w:r>
      <w:r w:rsidR="000A57EA" w:rsidRPr="00633452">
        <w:rPr>
          <w:color w:val="000000" w:themeColor="text1"/>
        </w:rPr>
        <w:t>,</w:t>
      </w:r>
      <w:r w:rsidR="000A57EA">
        <w:rPr>
          <w:color w:val="000000" w:themeColor="text1"/>
        </w:rPr>
        <w:t xml:space="preserve"> no. </w:t>
      </w:r>
      <w:r w:rsidR="00067F31">
        <w:rPr>
          <w:color w:val="000000" w:themeColor="text1"/>
        </w:rPr>
        <w:t>2</w:t>
      </w:r>
      <w:r w:rsidR="000A57EA">
        <w:rPr>
          <w:color w:val="000000" w:themeColor="text1"/>
        </w:rPr>
        <w:t>, pp.</w:t>
      </w:r>
      <w:r w:rsidR="000A57EA" w:rsidRPr="00633452">
        <w:rPr>
          <w:color w:val="000000" w:themeColor="text1"/>
        </w:rPr>
        <w:t xml:space="preserve"> </w:t>
      </w:r>
      <w:r w:rsidR="00067F31">
        <w:rPr>
          <w:color w:val="000000" w:themeColor="text1"/>
        </w:rPr>
        <w:t>285</w:t>
      </w:r>
      <w:r w:rsidR="000A57EA" w:rsidRPr="00633452">
        <w:rPr>
          <w:color w:val="000000" w:themeColor="text1"/>
        </w:rPr>
        <w:t>–</w:t>
      </w:r>
      <w:r w:rsidR="00067F31">
        <w:rPr>
          <w:color w:val="000000" w:themeColor="text1"/>
        </w:rPr>
        <w:t>294</w:t>
      </w:r>
      <w:r w:rsidR="000A57EA">
        <w:rPr>
          <w:color w:val="000000" w:themeColor="text1"/>
        </w:rPr>
        <w:t xml:space="preserve">, </w:t>
      </w:r>
      <w:r w:rsidR="009B2CD6">
        <w:rPr>
          <w:color w:val="000000" w:themeColor="text1"/>
        </w:rPr>
        <w:t xml:space="preserve">Sep, </w:t>
      </w:r>
      <w:r w:rsidR="000A57EA" w:rsidRPr="00633452">
        <w:rPr>
          <w:color w:val="000000" w:themeColor="text1"/>
        </w:rPr>
        <w:t>20</w:t>
      </w:r>
      <w:r w:rsidR="00067F31">
        <w:rPr>
          <w:color w:val="000000" w:themeColor="text1"/>
        </w:rPr>
        <w:t>21</w:t>
      </w:r>
      <w:r w:rsidR="000A57EA" w:rsidRPr="00633452">
        <w:rPr>
          <w:color w:val="000000" w:themeColor="text1"/>
        </w:rPr>
        <w:t>.</w:t>
      </w:r>
    </w:p>
    <w:bookmarkEnd w:id="75"/>
    <w:p w14:paraId="5685BD99" w14:textId="25317AD5" w:rsidR="004A00F2" w:rsidRPr="004A00F2" w:rsidRDefault="00563FC8" w:rsidP="002B7662">
      <w:pPr>
        <w:pStyle w:val="afb"/>
        <w:numPr>
          <w:ilvl w:val="0"/>
          <w:numId w:val="4"/>
        </w:numPr>
        <w:ind w:left="397" w:firstLineChars="0" w:hanging="397"/>
        <w:jc w:val="both"/>
        <w:rPr>
          <w:color w:val="000000" w:themeColor="text1"/>
          <w:sz w:val="16"/>
          <w:szCs w:val="16"/>
        </w:rPr>
      </w:pPr>
      <w:r w:rsidRPr="004A00F2">
        <w:rPr>
          <w:color w:val="000000" w:themeColor="text1"/>
          <w:sz w:val="16"/>
          <w:szCs w:val="16"/>
        </w:rPr>
        <w:t xml:space="preserve">P. Thais, </w:t>
      </w:r>
      <w:r w:rsidR="004A00F2" w:rsidRPr="004A00F2">
        <w:rPr>
          <w:color w:val="000000" w:themeColor="text1"/>
          <w:sz w:val="16"/>
          <w:szCs w:val="16"/>
        </w:rPr>
        <w:t xml:space="preserve">B. G. L. Teixeira, </w:t>
      </w:r>
      <w:r w:rsidR="004A00F2" w:rsidRPr="004A00F2">
        <w:rPr>
          <w:rFonts w:hint="eastAsia"/>
          <w:color w:val="000000" w:themeColor="text1"/>
          <w:sz w:val="16"/>
          <w:szCs w:val="16"/>
        </w:rPr>
        <w:t>“</w:t>
      </w:r>
      <w:bookmarkStart w:id="77" w:name="OLE_LINK57"/>
      <w:r w:rsidR="00402657" w:rsidRPr="00402657">
        <w:rPr>
          <w:color w:val="000000" w:themeColor="text1"/>
          <w:sz w:val="16"/>
          <w:szCs w:val="16"/>
        </w:rPr>
        <w:t xml:space="preserve">Operation </w:t>
      </w:r>
      <w:r w:rsidR="00402657">
        <w:rPr>
          <w:color w:val="000000" w:themeColor="text1"/>
          <w:sz w:val="16"/>
          <w:szCs w:val="16"/>
        </w:rPr>
        <w:t>s</w:t>
      </w:r>
      <w:r w:rsidR="00402657" w:rsidRPr="00402657">
        <w:rPr>
          <w:color w:val="000000" w:themeColor="text1"/>
          <w:sz w:val="16"/>
          <w:szCs w:val="16"/>
        </w:rPr>
        <w:t xml:space="preserve">trategies for </w:t>
      </w:r>
      <w:r w:rsidR="00402657">
        <w:rPr>
          <w:color w:val="000000" w:themeColor="text1"/>
          <w:sz w:val="16"/>
          <w:szCs w:val="16"/>
        </w:rPr>
        <w:t>c</w:t>
      </w:r>
      <w:r w:rsidR="00402657" w:rsidRPr="00402657">
        <w:rPr>
          <w:color w:val="000000" w:themeColor="text1"/>
          <w:sz w:val="16"/>
          <w:szCs w:val="16"/>
        </w:rPr>
        <w:t xml:space="preserve">oordinating </w:t>
      </w:r>
      <w:r w:rsidR="00E22B61">
        <w:rPr>
          <w:color w:val="000000" w:themeColor="text1"/>
          <w:sz w:val="16"/>
          <w:szCs w:val="16"/>
        </w:rPr>
        <w:t>b</w:t>
      </w:r>
      <w:r w:rsidR="00402657" w:rsidRPr="00402657">
        <w:rPr>
          <w:color w:val="000000" w:themeColor="text1"/>
          <w:sz w:val="16"/>
          <w:szCs w:val="16"/>
        </w:rPr>
        <w:t xml:space="preserve">attery </w:t>
      </w:r>
      <w:r w:rsidR="00402657">
        <w:rPr>
          <w:color w:val="000000" w:themeColor="text1"/>
          <w:sz w:val="16"/>
          <w:szCs w:val="16"/>
        </w:rPr>
        <w:t>e</w:t>
      </w:r>
      <w:r w:rsidR="00402657" w:rsidRPr="00402657">
        <w:rPr>
          <w:color w:val="000000" w:themeColor="text1"/>
          <w:sz w:val="16"/>
          <w:szCs w:val="16"/>
        </w:rPr>
        <w:t xml:space="preserve">nergy </w:t>
      </w:r>
      <w:r w:rsidR="00402657">
        <w:rPr>
          <w:color w:val="000000" w:themeColor="text1"/>
          <w:sz w:val="16"/>
          <w:szCs w:val="16"/>
        </w:rPr>
        <w:t>s</w:t>
      </w:r>
      <w:r w:rsidR="00402657" w:rsidRPr="00402657">
        <w:rPr>
          <w:color w:val="000000" w:themeColor="text1"/>
          <w:sz w:val="16"/>
          <w:szCs w:val="16"/>
        </w:rPr>
        <w:t xml:space="preserve">torage with </w:t>
      </w:r>
      <w:r w:rsidR="00E22B61">
        <w:rPr>
          <w:color w:val="000000" w:themeColor="text1"/>
          <w:sz w:val="16"/>
          <w:szCs w:val="16"/>
        </w:rPr>
        <w:t>w</w:t>
      </w:r>
      <w:r w:rsidR="00402657" w:rsidRPr="00402657">
        <w:rPr>
          <w:color w:val="000000" w:themeColor="text1"/>
          <w:sz w:val="16"/>
          <w:szCs w:val="16"/>
        </w:rPr>
        <w:t xml:space="preserve">ind </w:t>
      </w:r>
      <w:r w:rsidR="00E22B61">
        <w:rPr>
          <w:color w:val="000000" w:themeColor="text1"/>
          <w:sz w:val="16"/>
          <w:szCs w:val="16"/>
        </w:rPr>
        <w:t>p</w:t>
      </w:r>
      <w:r w:rsidR="00402657" w:rsidRPr="00402657">
        <w:rPr>
          <w:color w:val="000000" w:themeColor="text1"/>
          <w:sz w:val="16"/>
          <w:szCs w:val="16"/>
        </w:rPr>
        <w:t xml:space="preserve">ower </w:t>
      </w:r>
      <w:r w:rsidR="00E22B61">
        <w:rPr>
          <w:color w:val="000000" w:themeColor="text1"/>
          <w:sz w:val="16"/>
          <w:szCs w:val="16"/>
        </w:rPr>
        <w:t>g</w:t>
      </w:r>
      <w:r w:rsidR="00402657" w:rsidRPr="00402657">
        <w:rPr>
          <w:color w:val="000000" w:themeColor="text1"/>
          <w:sz w:val="16"/>
          <w:szCs w:val="16"/>
        </w:rPr>
        <w:t xml:space="preserve">eneration and </w:t>
      </w:r>
      <w:r w:rsidR="00E22B61">
        <w:rPr>
          <w:color w:val="000000" w:themeColor="text1"/>
          <w:sz w:val="16"/>
          <w:szCs w:val="16"/>
        </w:rPr>
        <w:t>t</w:t>
      </w:r>
      <w:r w:rsidR="00402657" w:rsidRPr="00402657">
        <w:rPr>
          <w:color w:val="000000" w:themeColor="text1"/>
          <w:sz w:val="16"/>
          <w:szCs w:val="16"/>
        </w:rPr>
        <w:t xml:space="preserve">heir </w:t>
      </w:r>
      <w:r w:rsidR="00E22B61">
        <w:rPr>
          <w:color w:val="000000" w:themeColor="text1"/>
          <w:sz w:val="16"/>
          <w:szCs w:val="16"/>
        </w:rPr>
        <w:t>e</w:t>
      </w:r>
      <w:r w:rsidR="00402657" w:rsidRPr="00402657">
        <w:rPr>
          <w:color w:val="000000" w:themeColor="text1"/>
          <w:sz w:val="16"/>
          <w:szCs w:val="16"/>
        </w:rPr>
        <w:t xml:space="preserve">ffects on </w:t>
      </w:r>
      <w:r w:rsidR="00E22B61">
        <w:rPr>
          <w:color w:val="000000" w:themeColor="text1"/>
          <w:sz w:val="16"/>
          <w:szCs w:val="16"/>
        </w:rPr>
        <w:t>s</w:t>
      </w:r>
      <w:r w:rsidR="00402657" w:rsidRPr="00402657">
        <w:rPr>
          <w:color w:val="000000" w:themeColor="text1"/>
          <w:sz w:val="16"/>
          <w:szCs w:val="16"/>
        </w:rPr>
        <w:t xml:space="preserve">ystem </w:t>
      </w:r>
      <w:r w:rsidR="00E22B61">
        <w:rPr>
          <w:color w:val="000000" w:themeColor="text1"/>
          <w:sz w:val="16"/>
          <w:szCs w:val="16"/>
        </w:rPr>
        <w:t>r</w:t>
      </w:r>
      <w:r w:rsidR="00402657" w:rsidRPr="00402657">
        <w:rPr>
          <w:color w:val="000000" w:themeColor="text1"/>
          <w:sz w:val="16"/>
          <w:szCs w:val="16"/>
        </w:rPr>
        <w:t>eliability</w:t>
      </w:r>
      <w:bookmarkEnd w:id="77"/>
      <w:r w:rsidR="004A00F2" w:rsidRPr="004A00F2">
        <w:rPr>
          <w:color w:val="000000" w:themeColor="text1"/>
          <w:sz w:val="16"/>
          <w:szCs w:val="16"/>
        </w:rPr>
        <w:t xml:space="preserve">,” </w:t>
      </w:r>
      <w:r w:rsidR="004A00F2" w:rsidRPr="00402657">
        <w:rPr>
          <w:i/>
          <w:iCs/>
          <w:color w:val="000000" w:themeColor="text1"/>
          <w:sz w:val="16"/>
          <w:szCs w:val="16"/>
        </w:rPr>
        <w:t>Journal of Modern Power Systems and Clean Energy</w:t>
      </w:r>
      <w:r w:rsidR="004A00F2" w:rsidRPr="004A00F2">
        <w:rPr>
          <w:color w:val="000000" w:themeColor="text1"/>
          <w:sz w:val="16"/>
          <w:szCs w:val="16"/>
        </w:rPr>
        <w:t xml:space="preserve">, vol. 9, no. </w:t>
      </w:r>
      <w:r w:rsidR="00402657">
        <w:rPr>
          <w:color w:val="000000" w:themeColor="text1"/>
          <w:sz w:val="16"/>
          <w:szCs w:val="16"/>
        </w:rPr>
        <w:t>1</w:t>
      </w:r>
      <w:r w:rsidR="004A00F2" w:rsidRPr="004A00F2">
        <w:rPr>
          <w:color w:val="000000" w:themeColor="text1"/>
          <w:sz w:val="16"/>
          <w:szCs w:val="16"/>
        </w:rPr>
        <w:t xml:space="preserve">, pp. </w:t>
      </w:r>
      <w:r w:rsidR="00402657">
        <w:rPr>
          <w:color w:val="000000" w:themeColor="text1"/>
          <w:sz w:val="16"/>
          <w:szCs w:val="16"/>
        </w:rPr>
        <w:t>190</w:t>
      </w:r>
      <w:r w:rsidR="004A00F2" w:rsidRPr="004A00F2">
        <w:rPr>
          <w:color w:val="000000" w:themeColor="text1"/>
          <w:sz w:val="16"/>
          <w:szCs w:val="16"/>
        </w:rPr>
        <w:t>–</w:t>
      </w:r>
      <w:r w:rsidR="00402657">
        <w:rPr>
          <w:color w:val="000000" w:themeColor="text1"/>
          <w:sz w:val="16"/>
          <w:szCs w:val="16"/>
        </w:rPr>
        <w:t>1</w:t>
      </w:r>
      <w:r w:rsidR="004A00F2" w:rsidRPr="004A00F2">
        <w:rPr>
          <w:color w:val="000000" w:themeColor="text1"/>
          <w:sz w:val="16"/>
          <w:szCs w:val="16"/>
        </w:rPr>
        <w:t>9</w:t>
      </w:r>
      <w:r w:rsidR="00402657">
        <w:rPr>
          <w:color w:val="000000" w:themeColor="text1"/>
          <w:sz w:val="16"/>
          <w:szCs w:val="16"/>
        </w:rPr>
        <w:t>8</w:t>
      </w:r>
      <w:r w:rsidR="004A00F2" w:rsidRPr="004A00F2">
        <w:rPr>
          <w:color w:val="000000" w:themeColor="text1"/>
          <w:sz w:val="16"/>
          <w:szCs w:val="16"/>
        </w:rPr>
        <w:t xml:space="preserve">, </w:t>
      </w:r>
      <w:r w:rsidR="009B2CD6">
        <w:rPr>
          <w:color w:val="000000" w:themeColor="text1"/>
          <w:sz w:val="16"/>
          <w:szCs w:val="16"/>
        </w:rPr>
        <w:t xml:space="preserve">July, </w:t>
      </w:r>
      <w:r w:rsidR="004A00F2" w:rsidRPr="004A00F2">
        <w:rPr>
          <w:color w:val="000000" w:themeColor="text1"/>
          <w:sz w:val="16"/>
          <w:szCs w:val="16"/>
        </w:rPr>
        <w:t>2021.</w:t>
      </w:r>
    </w:p>
    <w:p w14:paraId="70BFE212" w14:textId="36FAED34" w:rsidR="0038640D" w:rsidRDefault="0038640D" w:rsidP="002B7662">
      <w:pPr>
        <w:pStyle w:val="References"/>
        <w:numPr>
          <w:ilvl w:val="0"/>
          <w:numId w:val="4"/>
        </w:numPr>
        <w:ind w:left="397" w:hanging="397"/>
        <w:rPr>
          <w:color w:val="000000" w:themeColor="text1"/>
        </w:rPr>
      </w:pPr>
      <w:r w:rsidRPr="0038640D">
        <w:rPr>
          <w:color w:val="000000" w:themeColor="text1"/>
        </w:rPr>
        <w:t>B</w:t>
      </w:r>
      <w:r w:rsidR="00DB0F6C">
        <w:rPr>
          <w:color w:val="000000" w:themeColor="text1"/>
        </w:rPr>
        <w:t>.</w:t>
      </w:r>
      <w:r w:rsidRPr="0038640D">
        <w:rPr>
          <w:color w:val="000000" w:themeColor="text1"/>
        </w:rPr>
        <w:t xml:space="preserve"> </w:t>
      </w:r>
      <w:proofErr w:type="spellStart"/>
      <w:r w:rsidRPr="0038640D">
        <w:rPr>
          <w:color w:val="000000" w:themeColor="text1"/>
        </w:rPr>
        <w:t>Zakeri</w:t>
      </w:r>
      <w:proofErr w:type="spellEnd"/>
      <w:r w:rsidRPr="0038640D">
        <w:rPr>
          <w:color w:val="000000" w:themeColor="text1"/>
        </w:rPr>
        <w:t xml:space="preserve">, </w:t>
      </w:r>
      <w:r w:rsidR="00DB0F6C">
        <w:rPr>
          <w:color w:val="000000" w:themeColor="text1"/>
        </w:rPr>
        <w:t>S.</w:t>
      </w:r>
      <w:r w:rsidRPr="0038640D">
        <w:rPr>
          <w:color w:val="000000" w:themeColor="text1"/>
        </w:rPr>
        <w:t xml:space="preserve"> </w:t>
      </w:r>
      <w:proofErr w:type="spellStart"/>
      <w:r w:rsidRPr="0038640D">
        <w:rPr>
          <w:color w:val="000000" w:themeColor="text1"/>
        </w:rPr>
        <w:t>Syri</w:t>
      </w:r>
      <w:proofErr w:type="spellEnd"/>
      <w:r w:rsidRPr="0038640D">
        <w:rPr>
          <w:color w:val="000000" w:themeColor="text1"/>
        </w:rPr>
        <w:t>,</w:t>
      </w:r>
      <w:r w:rsidR="00DB0F6C">
        <w:rPr>
          <w:color w:val="000000" w:themeColor="text1"/>
        </w:rPr>
        <w:t xml:space="preserve"> “</w:t>
      </w:r>
      <w:r w:rsidRPr="0038640D">
        <w:rPr>
          <w:color w:val="000000" w:themeColor="text1"/>
        </w:rPr>
        <w:t>Electrical energy storage systems: A comparative life cycle cost analysis,</w:t>
      </w:r>
      <w:r w:rsidR="00DB0F6C">
        <w:rPr>
          <w:color w:val="000000" w:themeColor="text1"/>
        </w:rPr>
        <w:t xml:space="preserve">” </w:t>
      </w:r>
      <w:r w:rsidRPr="00DB0F6C">
        <w:rPr>
          <w:i/>
          <w:iCs/>
          <w:color w:val="000000" w:themeColor="text1"/>
        </w:rPr>
        <w:t>Renewable and Sustainable Energy Reviews</w:t>
      </w:r>
      <w:r w:rsidRPr="00DB0F6C">
        <w:rPr>
          <w:color w:val="000000" w:themeColor="text1"/>
        </w:rPr>
        <w:t>, vol. 42,</w:t>
      </w:r>
      <w:r w:rsidRPr="00DB0F6C">
        <w:rPr>
          <w:rFonts w:hint="eastAsia"/>
          <w:color w:val="000000" w:themeColor="text1"/>
          <w:lang w:eastAsia="zh-CN"/>
        </w:rPr>
        <w:t xml:space="preserve"> </w:t>
      </w:r>
      <w:r w:rsidRPr="00DB0F6C">
        <w:rPr>
          <w:color w:val="000000" w:themeColor="text1"/>
        </w:rPr>
        <w:t xml:space="preserve">pp. 569-596, </w:t>
      </w:r>
      <w:r w:rsidR="00091297">
        <w:rPr>
          <w:color w:val="000000" w:themeColor="text1"/>
        </w:rPr>
        <w:t xml:space="preserve">Feb, </w:t>
      </w:r>
      <w:r w:rsidRPr="00DB0F6C">
        <w:rPr>
          <w:color w:val="000000" w:themeColor="text1"/>
        </w:rPr>
        <w:t>2015.</w:t>
      </w:r>
    </w:p>
    <w:p w14:paraId="455DA5F6" w14:textId="372215F8" w:rsidR="0038640D" w:rsidRDefault="008B74CD" w:rsidP="002B7662">
      <w:pPr>
        <w:pStyle w:val="References"/>
        <w:numPr>
          <w:ilvl w:val="0"/>
          <w:numId w:val="4"/>
        </w:numPr>
        <w:ind w:left="397" w:hanging="397"/>
        <w:rPr>
          <w:color w:val="000000" w:themeColor="text1"/>
        </w:rPr>
      </w:pPr>
      <w:r w:rsidRPr="008B74CD">
        <w:rPr>
          <w:color w:val="000000" w:themeColor="text1"/>
        </w:rPr>
        <w:t>X. Li</w:t>
      </w:r>
      <w:r>
        <w:rPr>
          <w:color w:val="000000" w:themeColor="text1"/>
        </w:rPr>
        <w:t xml:space="preserve">, </w:t>
      </w:r>
      <w:r w:rsidRPr="008B74CD">
        <w:rPr>
          <w:color w:val="000000" w:themeColor="text1"/>
        </w:rPr>
        <w:t xml:space="preserve">S. Wang, </w:t>
      </w:r>
      <w:r>
        <w:rPr>
          <w:color w:val="000000" w:themeColor="text1"/>
        </w:rPr>
        <w:t>“</w:t>
      </w:r>
      <w:r w:rsidRPr="008B74CD">
        <w:rPr>
          <w:color w:val="000000" w:themeColor="text1"/>
        </w:rPr>
        <w:t>A review on energy management, operation control and application methods for grid battery energy storage systems,</w:t>
      </w:r>
      <w:r>
        <w:rPr>
          <w:color w:val="000000" w:themeColor="text1"/>
        </w:rPr>
        <w:t>”</w:t>
      </w:r>
      <w:r w:rsidRPr="008B74CD">
        <w:rPr>
          <w:color w:val="000000" w:themeColor="text1"/>
        </w:rPr>
        <w:t xml:space="preserve"> </w:t>
      </w:r>
      <w:r w:rsidRPr="008B74CD">
        <w:rPr>
          <w:i/>
          <w:iCs/>
          <w:color w:val="000000" w:themeColor="text1"/>
        </w:rPr>
        <w:t>CSEE Journal of Power and Energy Systems</w:t>
      </w:r>
      <w:r w:rsidRPr="008B74CD">
        <w:rPr>
          <w:color w:val="000000" w:themeColor="text1"/>
        </w:rPr>
        <w:t>,</w:t>
      </w:r>
      <w:r w:rsidR="00E27AC1">
        <w:rPr>
          <w:color w:val="000000" w:themeColor="text1"/>
        </w:rPr>
        <w:t xml:space="preserve"> </w:t>
      </w:r>
      <w:proofErr w:type="spellStart"/>
      <w:r w:rsidR="00E27AC1">
        <w:rPr>
          <w:color w:val="000000" w:themeColor="text1"/>
        </w:rPr>
        <w:t>d</w:t>
      </w:r>
      <w:r w:rsidR="00E27AC1" w:rsidRPr="00E27AC1">
        <w:rPr>
          <w:color w:val="000000" w:themeColor="text1"/>
        </w:rPr>
        <w:t>oi</w:t>
      </w:r>
      <w:proofErr w:type="spellEnd"/>
      <w:r w:rsidR="00E27AC1" w:rsidRPr="00E27AC1">
        <w:rPr>
          <w:color w:val="000000" w:themeColor="text1"/>
        </w:rPr>
        <w:t>: 10.17775/CSEEJPES.2019.00160.</w:t>
      </w:r>
    </w:p>
    <w:p w14:paraId="6A8E01F5" w14:textId="77B5777D" w:rsidR="0038640D" w:rsidRDefault="00BD08BC" w:rsidP="002B7662">
      <w:pPr>
        <w:pStyle w:val="References"/>
        <w:numPr>
          <w:ilvl w:val="0"/>
          <w:numId w:val="4"/>
        </w:numPr>
        <w:ind w:left="397" w:hanging="397"/>
        <w:rPr>
          <w:color w:val="000000" w:themeColor="text1"/>
        </w:rPr>
      </w:pPr>
      <w:r w:rsidRPr="00BD08BC">
        <w:rPr>
          <w:color w:val="000000" w:themeColor="text1"/>
        </w:rPr>
        <w:t xml:space="preserve">S. Wang, G. </w:t>
      </w:r>
      <w:proofErr w:type="spellStart"/>
      <w:r w:rsidRPr="00BD08BC">
        <w:rPr>
          <w:color w:val="000000" w:themeColor="text1"/>
        </w:rPr>
        <w:t>Geng</w:t>
      </w:r>
      <w:proofErr w:type="spellEnd"/>
      <w:r w:rsidRPr="00BD08BC">
        <w:rPr>
          <w:color w:val="000000" w:themeColor="text1"/>
        </w:rPr>
        <w:t>, J. Ma, Q. Jiang, H. Huang and B. Lou, “</w:t>
      </w:r>
      <w:bookmarkStart w:id="78" w:name="OLE_LINK58"/>
      <w:r w:rsidRPr="00BD08BC">
        <w:rPr>
          <w:color w:val="000000" w:themeColor="text1"/>
        </w:rPr>
        <w:t>Operational Bottleneck Identification Based Energy Storage Investment Requirement Analysis for Renewable Energy Integration</w:t>
      </w:r>
      <w:bookmarkEnd w:id="78"/>
      <w:r w:rsidRPr="00BD08BC">
        <w:rPr>
          <w:color w:val="000000" w:themeColor="text1"/>
        </w:rPr>
        <w:t>,” I</w:t>
      </w:r>
      <w:r w:rsidRPr="00BD08BC">
        <w:rPr>
          <w:i/>
          <w:iCs/>
          <w:color w:val="000000" w:themeColor="text1"/>
        </w:rPr>
        <w:t>EEE Transactions on Sustainable Energy</w:t>
      </w:r>
      <w:r w:rsidRPr="00BD08BC">
        <w:rPr>
          <w:color w:val="000000" w:themeColor="text1"/>
        </w:rPr>
        <w:t xml:space="preserve">, vol. 12, no. 1, pp. 92-102, </w:t>
      </w:r>
      <w:r w:rsidR="007D7882">
        <w:rPr>
          <w:color w:val="000000" w:themeColor="text1"/>
        </w:rPr>
        <w:t xml:space="preserve">Jan, </w:t>
      </w:r>
      <w:r w:rsidRPr="00BD08BC">
        <w:rPr>
          <w:color w:val="000000" w:themeColor="text1"/>
        </w:rPr>
        <w:t>2021</w:t>
      </w:r>
      <w:r>
        <w:rPr>
          <w:color w:val="000000" w:themeColor="text1"/>
        </w:rPr>
        <w:t>.</w:t>
      </w:r>
    </w:p>
    <w:p w14:paraId="36EFA0B0" w14:textId="603E1FFE" w:rsidR="0095529D" w:rsidRPr="0095529D" w:rsidRDefault="00BD08BC" w:rsidP="002B7662">
      <w:pPr>
        <w:pStyle w:val="References"/>
        <w:numPr>
          <w:ilvl w:val="0"/>
          <w:numId w:val="4"/>
        </w:numPr>
        <w:ind w:left="397" w:hanging="397"/>
        <w:rPr>
          <w:color w:val="000000" w:themeColor="text1"/>
        </w:rPr>
      </w:pPr>
      <w:r>
        <w:rPr>
          <w:color w:val="000000" w:themeColor="text1"/>
        </w:rPr>
        <w:t>M. T. M</w:t>
      </w:r>
      <w:r>
        <w:rPr>
          <w:rFonts w:hint="eastAsia"/>
          <w:color w:val="000000" w:themeColor="text1"/>
          <w:lang w:eastAsia="zh-CN"/>
        </w:rPr>
        <w:t>a</w:t>
      </w:r>
      <w:r w:rsidR="0083196D">
        <w:rPr>
          <w:color w:val="000000" w:themeColor="text1"/>
        </w:rPr>
        <w:t xml:space="preserve">, T. J. </w:t>
      </w:r>
      <w:r w:rsidR="00C952A7">
        <w:rPr>
          <w:rFonts w:hint="eastAsia"/>
          <w:color w:val="000000" w:themeColor="text1"/>
        </w:rPr>
        <w:t>Yuan</w:t>
      </w:r>
      <w:r w:rsidR="0083196D">
        <w:rPr>
          <w:rFonts w:hint="eastAsia"/>
          <w:color w:val="000000" w:themeColor="text1"/>
          <w:lang w:eastAsia="zh-CN"/>
        </w:rPr>
        <w:t xml:space="preserve">, </w:t>
      </w:r>
      <w:r w:rsidR="0083196D">
        <w:rPr>
          <w:color w:val="000000" w:themeColor="text1"/>
          <w:lang w:eastAsia="zh-CN"/>
        </w:rPr>
        <w:t xml:space="preserve">G. Y. </w:t>
      </w:r>
      <w:r w:rsidRPr="00BD08BC">
        <w:rPr>
          <w:rFonts w:hint="eastAsia"/>
          <w:color w:val="000000" w:themeColor="text1"/>
        </w:rPr>
        <w:t>Chen</w:t>
      </w:r>
      <w:r w:rsidR="0083196D">
        <w:rPr>
          <w:color w:val="000000" w:themeColor="text1"/>
        </w:rPr>
        <w:t xml:space="preserve">, </w:t>
      </w:r>
      <w:r w:rsidRPr="00BD08BC">
        <w:rPr>
          <w:rFonts w:hint="eastAsia"/>
          <w:color w:val="000000" w:themeColor="text1"/>
        </w:rPr>
        <w:t>et al</w:t>
      </w:r>
      <w:r w:rsidR="0083196D">
        <w:rPr>
          <w:rFonts w:hint="eastAsia"/>
          <w:color w:val="000000" w:themeColor="text1"/>
          <w:lang w:eastAsia="zh-CN"/>
        </w:rPr>
        <w:t>.</w:t>
      </w:r>
      <w:r w:rsidR="0083196D">
        <w:rPr>
          <w:color w:val="000000" w:themeColor="text1"/>
          <w:lang w:eastAsia="zh-CN"/>
        </w:rPr>
        <w:t xml:space="preserve"> “</w:t>
      </w:r>
      <w:r w:rsidRPr="00BD08BC">
        <w:rPr>
          <w:rFonts w:hint="eastAsia"/>
          <w:color w:val="000000" w:themeColor="text1"/>
        </w:rPr>
        <w:t>Analysis of comprehensive economic benefits of energy storage participating in wind power auxiliary services</w:t>
      </w:r>
      <w:r w:rsidR="0083196D">
        <w:rPr>
          <w:color w:val="000000" w:themeColor="text1"/>
        </w:rPr>
        <w:t>,”</w:t>
      </w:r>
      <w:r w:rsidR="0083196D" w:rsidRPr="00BD08BC">
        <w:rPr>
          <w:rFonts w:hint="eastAsia"/>
          <w:color w:val="000000" w:themeColor="text1"/>
        </w:rPr>
        <w:t xml:space="preserve"> </w:t>
      </w:r>
      <w:r w:rsidRPr="0083196D">
        <w:rPr>
          <w:rFonts w:hint="eastAsia"/>
          <w:i/>
          <w:iCs/>
          <w:color w:val="000000" w:themeColor="text1"/>
        </w:rPr>
        <w:t>Power System Technology</w:t>
      </w:r>
      <w:r w:rsidR="009B323A">
        <w:rPr>
          <w:rFonts w:hint="eastAsia"/>
          <w:color w:val="000000" w:themeColor="text1"/>
          <w:lang w:eastAsia="zh-CN"/>
        </w:rPr>
        <w:t>,</w:t>
      </w:r>
      <w:r w:rsidR="009B323A">
        <w:rPr>
          <w:color w:val="000000" w:themeColor="text1"/>
          <w:lang w:eastAsia="zh-CN"/>
        </w:rPr>
        <w:t xml:space="preserve"> </w:t>
      </w:r>
      <w:r w:rsidR="0083196D">
        <w:rPr>
          <w:rFonts w:hint="eastAsia"/>
          <w:color w:val="000000" w:themeColor="text1"/>
          <w:lang w:eastAsia="zh-CN"/>
        </w:rPr>
        <w:t>v</w:t>
      </w:r>
      <w:r w:rsidR="0083196D">
        <w:rPr>
          <w:color w:val="000000" w:themeColor="text1"/>
          <w:lang w:eastAsia="zh-CN"/>
        </w:rPr>
        <w:t xml:space="preserve">ol. 40, no. 11, pp. </w:t>
      </w:r>
      <w:r w:rsidR="009B323A" w:rsidRPr="00BD08BC">
        <w:rPr>
          <w:rFonts w:hint="eastAsia"/>
          <w:color w:val="000000" w:themeColor="text1"/>
        </w:rPr>
        <w:t>3362-3367</w:t>
      </w:r>
      <w:r w:rsidR="0083196D">
        <w:rPr>
          <w:color w:val="000000" w:themeColor="text1"/>
          <w:lang w:eastAsia="zh-CN"/>
        </w:rPr>
        <w:t xml:space="preserve">, </w:t>
      </w:r>
      <w:r w:rsidR="00185CCA">
        <w:rPr>
          <w:color w:val="000000" w:themeColor="text1"/>
          <w:lang w:eastAsia="zh-CN"/>
        </w:rPr>
        <w:t xml:space="preserve">Oct, </w:t>
      </w:r>
      <w:r w:rsidRPr="00BD08BC">
        <w:rPr>
          <w:rFonts w:hint="eastAsia"/>
          <w:color w:val="000000" w:themeColor="text1"/>
        </w:rPr>
        <w:t>2016</w:t>
      </w:r>
      <w:r w:rsidR="009B323A">
        <w:rPr>
          <w:rFonts w:hint="eastAsia"/>
          <w:color w:val="000000" w:themeColor="text1"/>
          <w:lang w:eastAsia="zh-CN"/>
        </w:rPr>
        <w:t>.</w:t>
      </w:r>
    </w:p>
    <w:p w14:paraId="2A3CC701" w14:textId="2411BC6B" w:rsidR="009B323A" w:rsidRDefault="009B323A" w:rsidP="002B7662">
      <w:pPr>
        <w:pStyle w:val="References"/>
        <w:numPr>
          <w:ilvl w:val="0"/>
          <w:numId w:val="4"/>
        </w:numPr>
        <w:ind w:left="397" w:hanging="397"/>
        <w:rPr>
          <w:color w:val="000000" w:themeColor="text1"/>
        </w:rPr>
      </w:pPr>
      <w:r>
        <w:rPr>
          <w:color w:val="000000" w:themeColor="text1"/>
        </w:rPr>
        <w:t xml:space="preserve">S. H. </w:t>
      </w:r>
      <w:proofErr w:type="spellStart"/>
      <w:r w:rsidRPr="009B323A">
        <w:rPr>
          <w:rFonts w:hint="eastAsia"/>
          <w:color w:val="000000" w:themeColor="text1"/>
        </w:rPr>
        <w:t>Lv</w:t>
      </w:r>
      <w:proofErr w:type="spellEnd"/>
      <w:r>
        <w:rPr>
          <w:rFonts w:hint="eastAsia"/>
          <w:color w:val="000000" w:themeColor="text1"/>
          <w:lang w:eastAsia="zh-CN"/>
        </w:rPr>
        <w:t>,</w:t>
      </w:r>
      <w:r>
        <w:rPr>
          <w:color w:val="000000" w:themeColor="text1"/>
          <w:lang w:eastAsia="zh-CN"/>
        </w:rPr>
        <w:t xml:space="preserve"> </w:t>
      </w:r>
      <w:r>
        <w:rPr>
          <w:rFonts w:hint="eastAsia"/>
          <w:color w:val="000000" w:themeColor="text1"/>
          <w:lang w:eastAsia="zh-CN"/>
        </w:rPr>
        <w:t>S</w:t>
      </w:r>
      <w:r>
        <w:rPr>
          <w:color w:val="000000" w:themeColor="text1"/>
          <w:lang w:eastAsia="zh-CN"/>
        </w:rPr>
        <w:t xml:space="preserve">. X. </w:t>
      </w:r>
      <w:r w:rsidRPr="009B323A">
        <w:rPr>
          <w:rFonts w:hint="eastAsia"/>
          <w:color w:val="000000" w:themeColor="text1"/>
        </w:rPr>
        <w:t>Cai</w:t>
      </w:r>
      <w:r>
        <w:rPr>
          <w:color w:val="000000" w:themeColor="text1"/>
        </w:rPr>
        <w:t xml:space="preserve">, </w:t>
      </w:r>
      <w:r>
        <w:rPr>
          <w:rFonts w:hint="eastAsia"/>
          <w:color w:val="000000" w:themeColor="text1"/>
          <w:lang w:eastAsia="zh-CN"/>
        </w:rPr>
        <w:t>S</w:t>
      </w:r>
      <w:r>
        <w:rPr>
          <w:color w:val="000000" w:themeColor="text1"/>
          <w:lang w:eastAsia="zh-CN"/>
        </w:rPr>
        <w:t xml:space="preserve">. X. </w:t>
      </w:r>
      <w:r w:rsidRPr="009B323A">
        <w:rPr>
          <w:rFonts w:hint="eastAsia"/>
          <w:color w:val="000000" w:themeColor="text1"/>
        </w:rPr>
        <w:t>Wang</w:t>
      </w:r>
      <w:r>
        <w:rPr>
          <w:color w:val="000000" w:themeColor="text1"/>
        </w:rPr>
        <w:t>,</w:t>
      </w:r>
      <w:r w:rsidRPr="009B323A">
        <w:rPr>
          <w:rFonts w:hint="eastAsia"/>
          <w:color w:val="000000" w:themeColor="text1"/>
        </w:rPr>
        <w:t xml:space="preserve"> </w:t>
      </w:r>
      <w:r w:rsidR="00030934">
        <w:rPr>
          <w:color w:val="000000" w:themeColor="text1"/>
        </w:rPr>
        <w:t>“</w:t>
      </w:r>
      <w:r w:rsidRPr="009B323A">
        <w:rPr>
          <w:rFonts w:hint="eastAsia"/>
          <w:color w:val="000000" w:themeColor="text1"/>
        </w:rPr>
        <w:t>Economic evaluation and development suggestions for distributed photovoltaic-energy storage systems</w:t>
      </w:r>
      <w:r w:rsidR="00030934">
        <w:rPr>
          <w:color w:val="000000" w:themeColor="text1"/>
        </w:rPr>
        <w:t xml:space="preserve">,” </w:t>
      </w:r>
      <w:r w:rsidRPr="00030934">
        <w:rPr>
          <w:rFonts w:hint="eastAsia"/>
          <w:i/>
          <w:iCs/>
          <w:color w:val="000000" w:themeColor="text1"/>
        </w:rPr>
        <w:t>Electric Power</w:t>
      </w:r>
      <w:r w:rsidR="00030934">
        <w:rPr>
          <w:rFonts w:hint="eastAsia"/>
          <w:color w:val="000000" w:themeColor="text1"/>
          <w:lang w:eastAsia="zh-CN"/>
        </w:rPr>
        <w:t>,</w:t>
      </w:r>
      <w:r w:rsidR="00030934">
        <w:rPr>
          <w:color w:val="000000" w:themeColor="text1"/>
          <w:lang w:eastAsia="zh-CN"/>
        </w:rPr>
        <w:t xml:space="preserve"> vol. 48, no. 02, pp. </w:t>
      </w:r>
      <w:r w:rsidRPr="009B323A">
        <w:rPr>
          <w:rFonts w:hint="eastAsia"/>
          <w:color w:val="000000" w:themeColor="text1"/>
        </w:rPr>
        <w:t>139-144</w:t>
      </w:r>
      <w:r w:rsidR="00030934">
        <w:rPr>
          <w:color w:val="000000" w:themeColor="text1"/>
        </w:rPr>
        <w:t xml:space="preserve">, </w:t>
      </w:r>
      <w:r w:rsidR="00010AEE">
        <w:rPr>
          <w:color w:val="000000" w:themeColor="text1"/>
        </w:rPr>
        <w:t xml:space="preserve">Feb, </w:t>
      </w:r>
      <w:r w:rsidR="00030934">
        <w:rPr>
          <w:color w:val="000000" w:themeColor="text1"/>
        </w:rPr>
        <w:t>2015.</w:t>
      </w:r>
    </w:p>
    <w:p w14:paraId="04B805D5" w14:textId="157371E1" w:rsidR="0095529D" w:rsidRDefault="0095529D" w:rsidP="002B7662">
      <w:pPr>
        <w:pStyle w:val="References"/>
        <w:numPr>
          <w:ilvl w:val="0"/>
          <w:numId w:val="4"/>
        </w:numPr>
        <w:ind w:left="397" w:hanging="397"/>
        <w:rPr>
          <w:color w:val="000000" w:themeColor="text1"/>
        </w:rPr>
      </w:pPr>
      <w:r>
        <w:rPr>
          <w:color w:val="000000" w:themeColor="text1"/>
        </w:rPr>
        <w:t>L</w:t>
      </w:r>
      <w:r>
        <w:rPr>
          <w:rFonts w:hint="eastAsia"/>
          <w:color w:val="000000" w:themeColor="text1"/>
          <w:lang w:eastAsia="zh-CN"/>
        </w:rPr>
        <w:t>.</w:t>
      </w:r>
      <w:r>
        <w:rPr>
          <w:color w:val="000000" w:themeColor="text1"/>
          <w:lang w:eastAsia="zh-CN"/>
        </w:rPr>
        <w:t xml:space="preserve"> </w:t>
      </w:r>
      <w:r w:rsidRPr="0095529D">
        <w:rPr>
          <w:rFonts w:hint="eastAsia"/>
          <w:color w:val="000000" w:themeColor="text1"/>
        </w:rPr>
        <w:t>Liang</w:t>
      </w:r>
      <w:r>
        <w:rPr>
          <w:rFonts w:hint="eastAsia"/>
          <w:color w:val="000000" w:themeColor="text1"/>
          <w:lang w:eastAsia="zh-CN"/>
        </w:rPr>
        <w:t>,</w:t>
      </w:r>
      <w:r>
        <w:rPr>
          <w:color w:val="000000" w:themeColor="text1"/>
          <w:lang w:eastAsia="zh-CN"/>
        </w:rPr>
        <w:t xml:space="preserve"> J. L. </w:t>
      </w:r>
      <w:r w:rsidRPr="0095529D">
        <w:rPr>
          <w:rFonts w:hint="eastAsia"/>
          <w:color w:val="000000" w:themeColor="text1"/>
        </w:rPr>
        <w:t>Li</w:t>
      </w:r>
      <w:r>
        <w:rPr>
          <w:color w:val="000000" w:themeColor="text1"/>
        </w:rPr>
        <w:t xml:space="preserve">, </w:t>
      </w:r>
      <w:r>
        <w:rPr>
          <w:rFonts w:hint="eastAsia"/>
          <w:color w:val="000000" w:themeColor="text1"/>
          <w:lang w:eastAsia="zh-CN"/>
        </w:rPr>
        <w:t>D</w:t>
      </w:r>
      <w:r>
        <w:rPr>
          <w:color w:val="000000" w:themeColor="text1"/>
          <w:lang w:eastAsia="zh-CN"/>
        </w:rPr>
        <w:t xml:space="preserve">. </w:t>
      </w:r>
      <w:r w:rsidRPr="0095529D">
        <w:rPr>
          <w:rFonts w:hint="eastAsia"/>
          <w:color w:val="000000" w:themeColor="text1"/>
        </w:rPr>
        <w:t>Hui</w:t>
      </w:r>
      <w:r>
        <w:rPr>
          <w:color w:val="000000" w:themeColor="text1"/>
        </w:rPr>
        <w:t>, “</w:t>
      </w:r>
      <w:r w:rsidRPr="0095529D">
        <w:rPr>
          <w:rFonts w:hint="eastAsia"/>
          <w:color w:val="000000" w:themeColor="text1"/>
        </w:rPr>
        <w:t>Optimal allocation of energy storage device capacity for large-scale wind farms</w:t>
      </w:r>
      <w:r>
        <w:rPr>
          <w:color w:val="000000" w:themeColor="text1"/>
        </w:rPr>
        <w:t>,”</w:t>
      </w:r>
      <w:r w:rsidRPr="0095529D">
        <w:rPr>
          <w:rFonts w:hint="eastAsia"/>
          <w:color w:val="000000" w:themeColor="text1"/>
        </w:rPr>
        <w:t xml:space="preserve"> </w:t>
      </w:r>
      <w:r w:rsidRPr="0095529D">
        <w:rPr>
          <w:rFonts w:hint="eastAsia"/>
          <w:i/>
          <w:iCs/>
          <w:color w:val="000000" w:themeColor="text1"/>
        </w:rPr>
        <w:t>High Voltage Technology</w:t>
      </w:r>
      <w:r>
        <w:rPr>
          <w:rFonts w:hint="eastAsia"/>
          <w:color w:val="000000" w:themeColor="text1"/>
          <w:lang w:eastAsia="zh-CN"/>
        </w:rPr>
        <w:t>,</w:t>
      </w:r>
      <w:r>
        <w:rPr>
          <w:color w:val="000000" w:themeColor="text1"/>
          <w:lang w:eastAsia="zh-CN"/>
        </w:rPr>
        <w:t xml:space="preserve"> vol. </w:t>
      </w:r>
      <w:r w:rsidR="004E26C7">
        <w:rPr>
          <w:color w:val="000000" w:themeColor="text1"/>
          <w:lang w:eastAsia="zh-CN"/>
        </w:rPr>
        <w:t xml:space="preserve">37, no. 04, pp. </w:t>
      </w:r>
      <w:r w:rsidRPr="0095529D">
        <w:rPr>
          <w:rFonts w:hint="eastAsia"/>
          <w:color w:val="000000" w:themeColor="text1"/>
        </w:rPr>
        <w:t>930-936</w:t>
      </w:r>
      <w:r w:rsidR="004E26C7">
        <w:rPr>
          <w:rFonts w:hint="eastAsia"/>
          <w:color w:val="000000" w:themeColor="text1"/>
          <w:lang w:eastAsia="zh-CN"/>
        </w:rPr>
        <w:t>,</w:t>
      </w:r>
      <w:r w:rsidR="004E26C7">
        <w:rPr>
          <w:color w:val="000000" w:themeColor="text1"/>
          <w:lang w:eastAsia="zh-CN"/>
        </w:rPr>
        <w:t xml:space="preserve"> 2011.</w:t>
      </w:r>
    </w:p>
    <w:p w14:paraId="07A8B866" w14:textId="5E218F82" w:rsidR="0095529D" w:rsidRDefault="004E26C7" w:rsidP="002B7662">
      <w:pPr>
        <w:pStyle w:val="References"/>
        <w:numPr>
          <w:ilvl w:val="0"/>
          <w:numId w:val="4"/>
        </w:numPr>
        <w:ind w:left="397" w:hanging="397"/>
        <w:rPr>
          <w:color w:val="000000" w:themeColor="text1"/>
        </w:rPr>
      </w:pPr>
      <w:r>
        <w:rPr>
          <w:color w:val="000000" w:themeColor="text1"/>
        </w:rPr>
        <w:t xml:space="preserve">H. M. </w:t>
      </w:r>
      <w:r w:rsidR="0095529D" w:rsidRPr="0095529D">
        <w:rPr>
          <w:rFonts w:hint="eastAsia"/>
          <w:color w:val="000000" w:themeColor="text1"/>
        </w:rPr>
        <w:t>Liu</w:t>
      </w:r>
      <w:r>
        <w:rPr>
          <w:color w:val="000000" w:themeColor="text1"/>
        </w:rPr>
        <w:t xml:space="preserve">, </w:t>
      </w:r>
      <w:r>
        <w:rPr>
          <w:rFonts w:hint="eastAsia"/>
          <w:color w:val="000000" w:themeColor="text1"/>
          <w:lang w:eastAsia="zh-CN"/>
        </w:rPr>
        <w:t>D</w:t>
      </w:r>
      <w:r>
        <w:rPr>
          <w:color w:val="000000" w:themeColor="text1"/>
          <w:lang w:eastAsia="zh-CN"/>
        </w:rPr>
        <w:t xml:space="preserve">. </w:t>
      </w:r>
      <w:r w:rsidR="0095529D" w:rsidRPr="0095529D">
        <w:rPr>
          <w:rFonts w:hint="eastAsia"/>
          <w:color w:val="000000" w:themeColor="text1"/>
        </w:rPr>
        <w:t>Lu</w:t>
      </w:r>
      <w:r>
        <w:rPr>
          <w:color w:val="000000" w:themeColor="text1"/>
        </w:rPr>
        <w:t xml:space="preserve">, </w:t>
      </w:r>
      <w:r>
        <w:rPr>
          <w:rFonts w:hint="eastAsia"/>
          <w:color w:val="000000" w:themeColor="text1"/>
          <w:lang w:eastAsia="zh-CN"/>
        </w:rPr>
        <w:t>B</w:t>
      </w:r>
      <w:r>
        <w:rPr>
          <w:color w:val="000000" w:themeColor="text1"/>
          <w:lang w:eastAsia="zh-CN"/>
        </w:rPr>
        <w:t xml:space="preserve">. </w:t>
      </w:r>
      <w:r w:rsidR="0095529D" w:rsidRPr="0095529D">
        <w:rPr>
          <w:rFonts w:hint="eastAsia"/>
          <w:color w:val="000000" w:themeColor="text1"/>
        </w:rPr>
        <w:t>Yang Bo</w:t>
      </w:r>
      <w:r>
        <w:rPr>
          <w:rFonts w:hint="eastAsia"/>
          <w:color w:val="000000" w:themeColor="text1"/>
          <w:lang w:eastAsia="zh-CN"/>
        </w:rPr>
        <w:t>,</w:t>
      </w:r>
      <w:r>
        <w:rPr>
          <w:color w:val="000000" w:themeColor="text1"/>
          <w:lang w:eastAsia="zh-CN"/>
        </w:rPr>
        <w:t xml:space="preserve"> </w:t>
      </w:r>
      <w:r w:rsidR="0095529D" w:rsidRPr="0095529D">
        <w:rPr>
          <w:rFonts w:hint="eastAsia"/>
          <w:color w:val="000000" w:themeColor="text1"/>
        </w:rPr>
        <w:t>et a</w:t>
      </w:r>
      <w:r>
        <w:rPr>
          <w:color w:val="000000" w:themeColor="text1"/>
        </w:rPr>
        <w:t>l. “</w:t>
      </w:r>
      <w:r w:rsidR="0095529D" w:rsidRPr="0095529D">
        <w:rPr>
          <w:rFonts w:hint="eastAsia"/>
          <w:color w:val="000000" w:themeColor="text1"/>
        </w:rPr>
        <w:t xml:space="preserve">Dispatching strategy of energy storage power station capable of suppressing high-permeability </w:t>
      </w:r>
      <w:r w:rsidR="0095529D" w:rsidRPr="0095529D">
        <w:rPr>
          <w:rFonts w:hint="eastAsia"/>
          <w:color w:val="000000" w:themeColor="text1"/>
        </w:rPr>
        <w:t>distributed photovoltaic power generation fluctuations</w:t>
      </w:r>
      <w:r>
        <w:rPr>
          <w:color w:val="000000" w:themeColor="text1"/>
        </w:rPr>
        <w:t>,”</w:t>
      </w:r>
      <w:r w:rsidRPr="0095529D">
        <w:rPr>
          <w:rFonts w:hint="eastAsia"/>
          <w:color w:val="000000" w:themeColor="text1"/>
        </w:rPr>
        <w:t xml:space="preserve"> </w:t>
      </w:r>
      <w:r w:rsidR="0095529D" w:rsidRPr="00FF364A">
        <w:rPr>
          <w:rFonts w:hint="eastAsia"/>
          <w:i/>
          <w:iCs/>
          <w:color w:val="000000" w:themeColor="text1"/>
        </w:rPr>
        <w:t>High Voltage Technology</w:t>
      </w:r>
      <w:r w:rsidR="00FF364A">
        <w:rPr>
          <w:rFonts w:hint="eastAsia"/>
          <w:color w:val="000000" w:themeColor="text1"/>
          <w:lang w:eastAsia="zh-CN"/>
        </w:rPr>
        <w:t>,</w:t>
      </w:r>
      <w:r w:rsidR="00FF364A">
        <w:rPr>
          <w:color w:val="000000" w:themeColor="text1"/>
          <w:lang w:eastAsia="zh-CN"/>
        </w:rPr>
        <w:t xml:space="preserve"> vol. 41, no. 10, pp. </w:t>
      </w:r>
      <w:r w:rsidR="0095529D" w:rsidRPr="0095529D">
        <w:rPr>
          <w:rFonts w:hint="eastAsia"/>
          <w:color w:val="000000" w:themeColor="text1"/>
        </w:rPr>
        <w:t>3213-3223</w:t>
      </w:r>
      <w:r w:rsidR="00FF364A">
        <w:rPr>
          <w:color w:val="000000" w:themeColor="text1"/>
        </w:rPr>
        <w:t>,</w:t>
      </w:r>
      <w:r w:rsidR="002922EC">
        <w:rPr>
          <w:color w:val="000000" w:themeColor="text1"/>
        </w:rPr>
        <w:t xml:space="preserve"> </w:t>
      </w:r>
      <w:r w:rsidR="00481A94">
        <w:rPr>
          <w:color w:val="000000" w:themeColor="text1"/>
        </w:rPr>
        <w:t xml:space="preserve">April, </w:t>
      </w:r>
      <w:r w:rsidR="00FF364A">
        <w:rPr>
          <w:color w:val="000000" w:themeColor="text1"/>
        </w:rPr>
        <w:t>2015.</w:t>
      </w:r>
    </w:p>
    <w:p w14:paraId="08297D72" w14:textId="18CC8A25" w:rsidR="00C34C9B" w:rsidRPr="00A8551D" w:rsidRDefault="00030934" w:rsidP="002B7662">
      <w:pPr>
        <w:pStyle w:val="References"/>
        <w:widowControl w:val="0"/>
        <w:numPr>
          <w:ilvl w:val="0"/>
          <w:numId w:val="4"/>
        </w:numPr>
        <w:snapToGrid w:val="0"/>
        <w:ind w:left="397" w:hanging="397"/>
        <w:rPr>
          <w:kern w:val="2"/>
          <w:shd w:val="clear" w:color="auto" w:fill="FFFFFF"/>
          <w:lang w:eastAsia="zh-CN"/>
        </w:rPr>
      </w:pPr>
      <w:r w:rsidRPr="00A8551D">
        <w:rPr>
          <w:color w:val="000000" w:themeColor="text1"/>
        </w:rPr>
        <w:t xml:space="preserve">Y. Q. </w:t>
      </w:r>
      <w:r w:rsidRPr="00A8551D">
        <w:rPr>
          <w:rFonts w:hint="eastAsia"/>
          <w:color w:val="000000" w:themeColor="text1"/>
        </w:rPr>
        <w:t>Liu</w:t>
      </w:r>
      <w:r w:rsidR="002A1000" w:rsidRPr="00A8551D">
        <w:rPr>
          <w:color w:val="000000" w:themeColor="text1"/>
        </w:rPr>
        <w:t xml:space="preserve">, </w:t>
      </w:r>
      <w:r w:rsidR="002A1000" w:rsidRPr="00A8551D">
        <w:rPr>
          <w:rFonts w:hint="eastAsia"/>
          <w:color w:val="000000" w:themeColor="text1"/>
          <w:lang w:eastAsia="zh-CN"/>
        </w:rPr>
        <w:t>P</w:t>
      </w:r>
      <w:r w:rsidR="002A1000" w:rsidRPr="00A8551D">
        <w:rPr>
          <w:color w:val="000000" w:themeColor="text1"/>
          <w:lang w:eastAsia="zh-CN"/>
        </w:rPr>
        <w:t xml:space="preserve">. </w:t>
      </w:r>
      <w:r w:rsidRPr="00A8551D">
        <w:rPr>
          <w:rFonts w:hint="eastAsia"/>
          <w:color w:val="000000" w:themeColor="text1"/>
        </w:rPr>
        <w:t>Zou</w:t>
      </w:r>
      <w:r w:rsidR="002A1000" w:rsidRPr="00A8551D">
        <w:rPr>
          <w:color w:val="000000" w:themeColor="text1"/>
        </w:rPr>
        <w:t xml:space="preserve">, </w:t>
      </w:r>
      <w:r w:rsidR="002A1000" w:rsidRPr="00A8551D">
        <w:rPr>
          <w:rFonts w:hint="eastAsia"/>
          <w:color w:val="000000" w:themeColor="text1"/>
          <w:lang w:eastAsia="zh-CN"/>
        </w:rPr>
        <w:t>Z</w:t>
      </w:r>
      <w:r w:rsidR="002A1000" w:rsidRPr="00A8551D">
        <w:rPr>
          <w:color w:val="000000" w:themeColor="text1"/>
          <w:lang w:eastAsia="zh-CN"/>
        </w:rPr>
        <w:t xml:space="preserve">. S. </w:t>
      </w:r>
      <w:r w:rsidRPr="00A8551D">
        <w:rPr>
          <w:rFonts w:hint="eastAsia"/>
          <w:color w:val="000000" w:themeColor="text1"/>
        </w:rPr>
        <w:t>Yan</w:t>
      </w:r>
      <w:r w:rsidR="002A1000" w:rsidRPr="00A8551D">
        <w:rPr>
          <w:color w:val="000000" w:themeColor="text1"/>
        </w:rPr>
        <w:t xml:space="preserve">, </w:t>
      </w:r>
      <w:r w:rsidRPr="00A8551D">
        <w:rPr>
          <w:rFonts w:hint="eastAsia"/>
          <w:color w:val="000000" w:themeColor="text1"/>
        </w:rPr>
        <w:t>et al</w:t>
      </w:r>
      <w:r w:rsidR="002A1000" w:rsidRPr="00A8551D">
        <w:rPr>
          <w:rFonts w:hint="eastAsia"/>
          <w:color w:val="000000" w:themeColor="text1"/>
          <w:lang w:eastAsia="zh-CN"/>
        </w:rPr>
        <w:t>.</w:t>
      </w:r>
      <w:r w:rsidR="002A1000" w:rsidRPr="00A8551D">
        <w:rPr>
          <w:color w:val="000000" w:themeColor="text1"/>
          <w:lang w:eastAsia="zh-CN"/>
        </w:rPr>
        <w:t xml:space="preserve"> “</w:t>
      </w:r>
      <w:r w:rsidR="0095529D" w:rsidRPr="00A8551D">
        <w:rPr>
          <w:color w:val="000000" w:themeColor="text1"/>
          <w:lang w:eastAsia="zh-CN"/>
        </w:rPr>
        <w:t>D</w:t>
      </w:r>
      <w:r w:rsidR="0095529D" w:rsidRPr="00A8551D">
        <w:rPr>
          <w:color w:val="000000" w:themeColor="text1"/>
        </w:rPr>
        <w:t>esign and operation practice of Shanxi electric power frequency modulation market mechanism,</w:t>
      </w:r>
      <w:r w:rsidR="002A1000" w:rsidRPr="00A8551D">
        <w:rPr>
          <w:color w:val="000000" w:themeColor="text1"/>
        </w:rPr>
        <w:t xml:space="preserve">” </w:t>
      </w:r>
      <w:r w:rsidRPr="00A8551D">
        <w:rPr>
          <w:rFonts w:hint="eastAsia"/>
          <w:i/>
          <w:iCs/>
          <w:color w:val="000000" w:themeColor="text1"/>
        </w:rPr>
        <w:t>Electric Power System Automation</w:t>
      </w:r>
      <w:r w:rsidR="002A1000" w:rsidRPr="00A8551D">
        <w:rPr>
          <w:rFonts w:hint="eastAsia"/>
          <w:color w:val="000000" w:themeColor="text1"/>
          <w:lang w:eastAsia="zh-CN"/>
        </w:rPr>
        <w:t>,</w:t>
      </w:r>
      <w:r w:rsidR="002A1000" w:rsidRPr="00A8551D">
        <w:rPr>
          <w:color w:val="000000" w:themeColor="text1"/>
          <w:lang w:eastAsia="zh-CN"/>
        </w:rPr>
        <w:t xml:space="preserve"> </w:t>
      </w:r>
      <w:r w:rsidR="002A1000" w:rsidRPr="00A8551D">
        <w:rPr>
          <w:rFonts w:hint="eastAsia"/>
          <w:color w:val="000000" w:themeColor="text1"/>
          <w:lang w:eastAsia="zh-CN"/>
        </w:rPr>
        <w:t>v</w:t>
      </w:r>
      <w:r w:rsidR="002A1000" w:rsidRPr="00A8551D">
        <w:rPr>
          <w:color w:val="000000" w:themeColor="text1"/>
          <w:lang w:eastAsia="zh-CN"/>
        </w:rPr>
        <w:t xml:space="preserve">ol. 43, no. 16, pp. </w:t>
      </w:r>
      <w:r w:rsidR="002A1000" w:rsidRPr="00A8551D">
        <w:rPr>
          <w:rFonts w:hint="eastAsia"/>
          <w:color w:val="000000" w:themeColor="text1"/>
        </w:rPr>
        <w:t>175-182</w:t>
      </w:r>
      <w:r w:rsidR="002A1000" w:rsidRPr="00A8551D">
        <w:rPr>
          <w:color w:val="000000" w:themeColor="text1"/>
          <w:lang w:eastAsia="zh-CN"/>
        </w:rPr>
        <w:t xml:space="preserve">, </w:t>
      </w:r>
      <w:r w:rsidR="001E0E75" w:rsidRPr="00A8551D">
        <w:rPr>
          <w:color w:val="000000" w:themeColor="text1"/>
          <w:lang w:eastAsia="zh-CN"/>
        </w:rPr>
        <w:t xml:space="preserve">July, </w:t>
      </w:r>
      <w:r w:rsidRPr="00A8551D">
        <w:rPr>
          <w:rFonts w:hint="eastAsia"/>
          <w:color w:val="000000" w:themeColor="text1"/>
        </w:rPr>
        <w:t>2019</w:t>
      </w:r>
      <w:r w:rsidR="002A1000" w:rsidRPr="00A8551D">
        <w:rPr>
          <w:rFonts w:hint="eastAsia"/>
          <w:color w:val="000000" w:themeColor="text1"/>
          <w:lang w:eastAsia="zh-CN"/>
        </w:rPr>
        <w:t>.</w:t>
      </w:r>
    </w:p>
    <w:p w14:paraId="27E634C1" w14:textId="29122BD7" w:rsidR="00882D0E" w:rsidRPr="00A8551D" w:rsidRDefault="00FF364A" w:rsidP="002B7662">
      <w:pPr>
        <w:pStyle w:val="References"/>
        <w:widowControl w:val="0"/>
        <w:numPr>
          <w:ilvl w:val="0"/>
          <w:numId w:val="4"/>
        </w:numPr>
        <w:snapToGrid w:val="0"/>
        <w:ind w:left="397" w:hanging="397"/>
        <w:rPr>
          <w:kern w:val="2"/>
          <w:shd w:val="clear" w:color="auto" w:fill="FFFFFF"/>
          <w:lang w:eastAsia="zh-CN"/>
        </w:rPr>
      </w:pPr>
      <w:r w:rsidRPr="00A8551D">
        <w:rPr>
          <w:kern w:val="2"/>
          <w:shd w:val="clear" w:color="auto" w:fill="FFFFFF"/>
          <w:lang w:eastAsia="zh-CN"/>
        </w:rPr>
        <w:t xml:space="preserve">H. </w:t>
      </w:r>
      <w:r w:rsidRPr="00A8551D">
        <w:rPr>
          <w:rFonts w:hint="eastAsia"/>
          <w:kern w:val="2"/>
          <w:shd w:val="clear" w:color="auto" w:fill="FFFFFF"/>
          <w:lang w:eastAsia="zh-CN"/>
        </w:rPr>
        <w:t>Chen</w:t>
      </w:r>
      <w:r w:rsidR="00516018" w:rsidRPr="00A8551D">
        <w:rPr>
          <w:kern w:val="2"/>
          <w:shd w:val="clear" w:color="auto" w:fill="FFFFFF"/>
          <w:lang w:eastAsia="zh-CN"/>
        </w:rPr>
        <w:t xml:space="preserve">, </w:t>
      </w:r>
      <w:r w:rsidRPr="00A8551D">
        <w:rPr>
          <w:rFonts w:hint="eastAsia"/>
          <w:kern w:val="2"/>
          <w:shd w:val="clear" w:color="auto" w:fill="FFFFFF"/>
          <w:lang w:eastAsia="zh-CN"/>
        </w:rPr>
        <w:t>Y</w:t>
      </w:r>
      <w:r w:rsidRPr="00A8551D">
        <w:rPr>
          <w:kern w:val="2"/>
          <w:shd w:val="clear" w:color="auto" w:fill="FFFFFF"/>
          <w:lang w:eastAsia="zh-CN"/>
        </w:rPr>
        <w:t xml:space="preserve">. B. </w:t>
      </w:r>
      <w:r w:rsidRPr="00A8551D">
        <w:rPr>
          <w:rFonts w:hint="eastAsia"/>
          <w:kern w:val="2"/>
          <w:shd w:val="clear" w:color="auto" w:fill="FFFFFF"/>
          <w:lang w:eastAsia="zh-CN"/>
        </w:rPr>
        <w:t>Jia</w:t>
      </w:r>
      <w:r w:rsidR="00516018" w:rsidRPr="00A8551D">
        <w:rPr>
          <w:rFonts w:hint="eastAsia"/>
          <w:kern w:val="2"/>
          <w:shd w:val="clear" w:color="auto" w:fill="FFFFFF"/>
          <w:lang w:eastAsia="zh-CN"/>
        </w:rPr>
        <w:t>,</w:t>
      </w:r>
      <w:r w:rsidR="00516018" w:rsidRPr="00A8551D">
        <w:rPr>
          <w:kern w:val="2"/>
          <w:shd w:val="clear" w:color="auto" w:fill="FFFFFF"/>
          <w:lang w:eastAsia="zh-CN"/>
        </w:rPr>
        <w:t xml:space="preserve"> </w:t>
      </w:r>
      <w:r w:rsidR="001D1C47" w:rsidRPr="00A8551D">
        <w:rPr>
          <w:rFonts w:hint="eastAsia"/>
          <w:kern w:val="2"/>
          <w:shd w:val="clear" w:color="auto" w:fill="FFFFFF"/>
          <w:lang w:eastAsia="zh-CN"/>
        </w:rPr>
        <w:t>J</w:t>
      </w:r>
      <w:r w:rsidR="001D1C47" w:rsidRPr="00A8551D">
        <w:rPr>
          <w:kern w:val="2"/>
          <w:shd w:val="clear" w:color="auto" w:fill="FFFFFF"/>
          <w:lang w:eastAsia="zh-CN"/>
        </w:rPr>
        <w:t xml:space="preserve">, </w:t>
      </w:r>
      <w:r w:rsidRPr="00A8551D">
        <w:rPr>
          <w:rFonts w:hint="eastAsia"/>
          <w:kern w:val="2"/>
          <w:shd w:val="clear" w:color="auto" w:fill="FFFFFF"/>
          <w:lang w:eastAsia="zh-CN"/>
        </w:rPr>
        <w:t>Zheng</w:t>
      </w:r>
      <w:r w:rsidR="00516018" w:rsidRPr="00A8551D">
        <w:rPr>
          <w:kern w:val="2"/>
          <w:shd w:val="clear" w:color="auto" w:fill="FFFFFF"/>
          <w:lang w:eastAsia="zh-CN"/>
        </w:rPr>
        <w:t xml:space="preserve">, </w:t>
      </w:r>
      <w:r w:rsidRPr="00A8551D">
        <w:rPr>
          <w:rFonts w:hint="eastAsia"/>
          <w:kern w:val="2"/>
          <w:shd w:val="clear" w:color="auto" w:fill="FFFFFF"/>
          <w:lang w:eastAsia="zh-CN"/>
        </w:rPr>
        <w:t>et al</w:t>
      </w:r>
      <w:r w:rsidR="001D1C47" w:rsidRPr="00A8551D">
        <w:rPr>
          <w:rFonts w:hint="eastAsia"/>
          <w:kern w:val="2"/>
          <w:shd w:val="clear" w:color="auto" w:fill="FFFFFF"/>
          <w:lang w:eastAsia="zh-CN"/>
        </w:rPr>
        <w:t>,</w:t>
      </w:r>
      <w:r w:rsidR="001D1C47" w:rsidRPr="00A8551D">
        <w:rPr>
          <w:kern w:val="2"/>
          <w:shd w:val="clear" w:color="auto" w:fill="FFFFFF"/>
          <w:lang w:eastAsia="zh-CN"/>
        </w:rPr>
        <w:t xml:space="preserve"> “</w:t>
      </w:r>
      <w:r w:rsidRPr="00A8551D">
        <w:rPr>
          <w:rFonts w:hint="eastAsia"/>
          <w:kern w:val="2"/>
          <w:shd w:val="clear" w:color="auto" w:fill="FFFFFF"/>
          <w:lang w:eastAsia="zh-CN"/>
        </w:rPr>
        <w:t>Research on Market Mechanism and Dispatch Strategy of FS Auxiliary Service for Large-scale Energy Storage</w:t>
      </w:r>
      <w:r w:rsidR="001D1C47" w:rsidRPr="00A8551D">
        <w:rPr>
          <w:kern w:val="2"/>
          <w:shd w:val="clear" w:color="auto" w:fill="FFFFFF"/>
          <w:lang w:eastAsia="zh-CN"/>
        </w:rPr>
        <w:t>,”</w:t>
      </w:r>
      <w:r w:rsidR="001D1C47" w:rsidRPr="00A8551D">
        <w:rPr>
          <w:rFonts w:hint="eastAsia"/>
          <w:i/>
          <w:iCs/>
          <w:color w:val="000000" w:themeColor="text1"/>
        </w:rPr>
        <w:t xml:space="preserve"> Power System Technology</w:t>
      </w:r>
      <w:r w:rsidR="001D1C47" w:rsidRPr="00A8551D">
        <w:rPr>
          <w:kern w:val="2"/>
          <w:shd w:val="clear" w:color="auto" w:fill="FFFFFF"/>
          <w:lang w:eastAsia="zh-CN"/>
        </w:rPr>
        <w:t xml:space="preserve">, </w:t>
      </w:r>
      <w:r w:rsidR="001D1C47" w:rsidRPr="00A8551D">
        <w:rPr>
          <w:rFonts w:hint="eastAsia"/>
          <w:kern w:val="2"/>
          <w:shd w:val="clear" w:color="auto" w:fill="FFFFFF"/>
          <w:lang w:eastAsia="zh-CN"/>
        </w:rPr>
        <w:t>v</w:t>
      </w:r>
      <w:r w:rsidR="001D1C47" w:rsidRPr="00A8551D">
        <w:rPr>
          <w:kern w:val="2"/>
          <w:shd w:val="clear" w:color="auto" w:fill="FFFFFF"/>
          <w:lang w:eastAsia="zh-CN"/>
        </w:rPr>
        <w:t>ol. 43, no. 10,</w:t>
      </w:r>
      <w:r w:rsidR="001D1C47" w:rsidRPr="00A8551D">
        <w:rPr>
          <w:rFonts w:hint="eastAsia"/>
          <w:kern w:val="2"/>
          <w:shd w:val="clear" w:color="auto" w:fill="FFFFFF"/>
          <w:lang w:eastAsia="zh-CN"/>
        </w:rPr>
        <w:t xml:space="preserve"> </w:t>
      </w:r>
      <w:r w:rsidR="001D1C47" w:rsidRPr="00A8551D">
        <w:rPr>
          <w:kern w:val="2"/>
          <w:shd w:val="clear" w:color="auto" w:fill="FFFFFF"/>
          <w:lang w:eastAsia="zh-CN"/>
        </w:rPr>
        <w:t xml:space="preserve">pp. </w:t>
      </w:r>
      <w:r w:rsidRPr="00A8551D">
        <w:rPr>
          <w:rFonts w:hint="eastAsia"/>
          <w:kern w:val="2"/>
          <w:shd w:val="clear" w:color="auto" w:fill="FFFFFF"/>
          <w:lang w:eastAsia="zh-CN"/>
        </w:rPr>
        <w:t>3606-3617</w:t>
      </w:r>
      <w:r w:rsidR="001D1C47" w:rsidRPr="00A8551D">
        <w:rPr>
          <w:kern w:val="2"/>
          <w:shd w:val="clear" w:color="auto" w:fill="FFFFFF"/>
          <w:lang w:eastAsia="zh-CN"/>
        </w:rPr>
        <w:t xml:space="preserve">, </w:t>
      </w:r>
      <w:r w:rsidR="00157703">
        <w:rPr>
          <w:kern w:val="2"/>
          <w:shd w:val="clear" w:color="auto" w:fill="FFFFFF"/>
          <w:lang w:eastAsia="zh-CN"/>
        </w:rPr>
        <w:t xml:space="preserve">June, </w:t>
      </w:r>
      <w:r w:rsidR="001D1C47" w:rsidRPr="00A8551D">
        <w:rPr>
          <w:kern w:val="2"/>
          <w:shd w:val="clear" w:color="auto" w:fill="FFFFFF"/>
          <w:lang w:eastAsia="zh-CN"/>
        </w:rPr>
        <w:t>2019.</w:t>
      </w:r>
    </w:p>
    <w:p w14:paraId="441D9965" w14:textId="32D5C397" w:rsidR="00516018" w:rsidRPr="00A8551D" w:rsidRDefault="00516018" w:rsidP="002B7662">
      <w:pPr>
        <w:pStyle w:val="References"/>
        <w:widowControl w:val="0"/>
        <w:numPr>
          <w:ilvl w:val="0"/>
          <w:numId w:val="4"/>
        </w:numPr>
        <w:snapToGrid w:val="0"/>
        <w:ind w:left="397" w:hanging="397"/>
        <w:rPr>
          <w:kern w:val="2"/>
          <w:shd w:val="clear" w:color="auto" w:fill="FFFFFF"/>
          <w:lang w:eastAsia="zh-CN"/>
        </w:rPr>
      </w:pPr>
      <w:r w:rsidRPr="00A8551D">
        <w:rPr>
          <w:kern w:val="2"/>
          <w:shd w:val="clear" w:color="auto" w:fill="FFFFFF"/>
          <w:lang w:eastAsia="zh-CN"/>
        </w:rPr>
        <w:t xml:space="preserve">Y. </w:t>
      </w:r>
      <w:r w:rsidRPr="00A8551D">
        <w:rPr>
          <w:rFonts w:hint="eastAsia"/>
          <w:kern w:val="2"/>
          <w:shd w:val="clear" w:color="auto" w:fill="FFFFFF"/>
          <w:lang w:eastAsia="zh-CN"/>
        </w:rPr>
        <w:t>Cheng</w:t>
      </w:r>
      <w:r w:rsidRPr="00A8551D">
        <w:rPr>
          <w:kern w:val="2"/>
          <w:shd w:val="clear" w:color="auto" w:fill="FFFFFF"/>
          <w:lang w:eastAsia="zh-CN"/>
        </w:rPr>
        <w:t xml:space="preserve">, </w:t>
      </w:r>
      <w:r w:rsidRPr="00A8551D">
        <w:rPr>
          <w:rFonts w:hint="eastAsia"/>
          <w:kern w:val="2"/>
          <w:shd w:val="clear" w:color="auto" w:fill="FFFFFF"/>
          <w:lang w:eastAsia="zh-CN"/>
        </w:rPr>
        <w:t>M</w:t>
      </w:r>
      <w:r w:rsidRPr="00A8551D">
        <w:rPr>
          <w:kern w:val="2"/>
          <w:shd w:val="clear" w:color="auto" w:fill="FFFFFF"/>
          <w:lang w:eastAsia="zh-CN"/>
        </w:rPr>
        <w:t xml:space="preserve">. </w:t>
      </w:r>
      <w:r w:rsidRPr="00A8551D">
        <w:rPr>
          <w:rFonts w:hint="eastAsia"/>
          <w:kern w:val="2"/>
          <w:shd w:val="clear" w:color="auto" w:fill="FFFFFF"/>
          <w:lang w:eastAsia="zh-CN"/>
        </w:rPr>
        <w:t>Tabrizi</w:t>
      </w:r>
      <w:r w:rsidRPr="00A8551D">
        <w:rPr>
          <w:kern w:val="2"/>
          <w:shd w:val="clear" w:color="auto" w:fill="FFFFFF"/>
          <w:lang w:eastAsia="zh-CN"/>
        </w:rPr>
        <w:t xml:space="preserve">, </w:t>
      </w:r>
      <w:r w:rsidRPr="00A8551D">
        <w:rPr>
          <w:rFonts w:hint="eastAsia"/>
          <w:kern w:val="2"/>
          <w:shd w:val="clear" w:color="auto" w:fill="FFFFFF"/>
          <w:lang w:eastAsia="zh-CN"/>
        </w:rPr>
        <w:t>M</w:t>
      </w:r>
      <w:r w:rsidRPr="00A8551D">
        <w:rPr>
          <w:kern w:val="2"/>
          <w:shd w:val="clear" w:color="auto" w:fill="FFFFFF"/>
          <w:lang w:eastAsia="zh-CN"/>
        </w:rPr>
        <w:t xml:space="preserve">. </w:t>
      </w:r>
      <w:proofErr w:type="spellStart"/>
      <w:r w:rsidRPr="00A8551D">
        <w:rPr>
          <w:rFonts w:hint="eastAsia"/>
          <w:kern w:val="2"/>
          <w:shd w:val="clear" w:color="auto" w:fill="FFFFFF"/>
          <w:lang w:eastAsia="zh-CN"/>
        </w:rPr>
        <w:t>Sahni</w:t>
      </w:r>
      <w:proofErr w:type="spellEnd"/>
      <w:r w:rsidRPr="00A8551D">
        <w:rPr>
          <w:rFonts w:hint="eastAsia"/>
          <w:kern w:val="2"/>
          <w:shd w:val="clear" w:color="auto" w:fill="FFFFFF"/>
          <w:lang w:eastAsia="zh-CN"/>
        </w:rPr>
        <w:t>,</w:t>
      </w:r>
      <w:r w:rsidRPr="00A8551D">
        <w:rPr>
          <w:kern w:val="2"/>
          <w:shd w:val="clear" w:color="auto" w:fill="FFFFFF"/>
          <w:lang w:eastAsia="zh-CN"/>
        </w:rPr>
        <w:t xml:space="preserve"> </w:t>
      </w:r>
      <w:r w:rsidRPr="00A8551D">
        <w:rPr>
          <w:rFonts w:hint="eastAsia"/>
          <w:kern w:val="2"/>
          <w:shd w:val="clear" w:color="auto" w:fill="FFFFFF"/>
          <w:lang w:eastAsia="zh-CN"/>
        </w:rPr>
        <w:t>et al.</w:t>
      </w:r>
      <w:r w:rsidRPr="00A8551D">
        <w:rPr>
          <w:kern w:val="2"/>
          <w:shd w:val="clear" w:color="auto" w:fill="FFFFFF"/>
          <w:lang w:eastAsia="zh-CN"/>
        </w:rPr>
        <w:t xml:space="preserve"> “</w:t>
      </w:r>
      <w:r w:rsidRPr="00A8551D">
        <w:rPr>
          <w:rFonts w:hint="eastAsia"/>
          <w:kern w:val="2"/>
          <w:shd w:val="clear" w:color="auto" w:fill="FFFFFF"/>
          <w:lang w:eastAsia="zh-CN"/>
        </w:rPr>
        <w:t>Dynamic Available AGC Based Approach for Enhancing Utility Scale Energy Storage Performance</w:t>
      </w:r>
      <w:r w:rsidRPr="00A8551D">
        <w:rPr>
          <w:kern w:val="2"/>
          <w:shd w:val="clear" w:color="auto" w:fill="FFFFFF"/>
          <w:lang w:eastAsia="zh-CN"/>
        </w:rPr>
        <w:t>,”</w:t>
      </w:r>
      <w:r w:rsidRPr="00A8551D">
        <w:rPr>
          <w:rFonts w:hint="eastAsia"/>
          <w:kern w:val="2"/>
          <w:shd w:val="clear" w:color="auto" w:fill="FFFFFF"/>
          <w:lang w:eastAsia="zh-CN"/>
        </w:rPr>
        <w:t xml:space="preserve"> </w:t>
      </w:r>
      <w:r w:rsidR="008A1E03" w:rsidRPr="00A8551D">
        <w:rPr>
          <w:rFonts w:hint="eastAsia"/>
          <w:i/>
          <w:iCs/>
          <w:kern w:val="2"/>
          <w:shd w:val="clear" w:color="auto" w:fill="FFFFFF"/>
          <w:lang w:eastAsia="zh-CN"/>
        </w:rPr>
        <w:t xml:space="preserve">IEEE Transactions on </w:t>
      </w:r>
      <w:r w:rsidRPr="00A8551D">
        <w:rPr>
          <w:rFonts w:hint="eastAsia"/>
          <w:i/>
          <w:iCs/>
          <w:kern w:val="2"/>
          <w:shd w:val="clear" w:color="auto" w:fill="FFFFFF"/>
          <w:lang w:eastAsia="zh-CN"/>
        </w:rPr>
        <w:t>Smart Grid</w:t>
      </w:r>
      <w:r w:rsidR="008A1E03" w:rsidRPr="00A8551D">
        <w:rPr>
          <w:rFonts w:hint="eastAsia"/>
          <w:kern w:val="2"/>
          <w:shd w:val="clear" w:color="auto" w:fill="FFFFFF"/>
          <w:lang w:eastAsia="zh-CN"/>
        </w:rPr>
        <w:t>,</w:t>
      </w:r>
      <w:r w:rsidR="008A1E03" w:rsidRPr="00A8551D">
        <w:rPr>
          <w:kern w:val="2"/>
          <w:shd w:val="clear" w:color="auto" w:fill="FFFFFF"/>
          <w:lang w:eastAsia="zh-CN"/>
        </w:rPr>
        <w:t xml:space="preserve"> vol. 5, no. 2, pp. </w:t>
      </w:r>
      <w:r w:rsidRPr="00A8551D">
        <w:rPr>
          <w:rFonts w:hint="eastAsia"/>
          <w:kern w:val="2"/>
          <w:shd w:val="clear" w:color="auto" w:fill="FFFFFF"/>
          <w:lang w:eastAsia="zh-CN"/>
        </w:rPr>
        <w:t>1070-1078</w:t>
      </w:r>
      <w:r w:rsidR="008A1E03" w:rsidRPr="00A8551D">
        <w:rPr>
          <w:kern w:val="2"/>
          <w:shd w:val="clear" w:color="auto" w:fill="FFFFFF"/>
          <w:lang w:eastAsia="zh-CN"/>
        </w:rPr>
        <w:t xml:space="preserve">, </w:t>
      </w:r>
      <w:r w:rsidR="00AB080B">
        <w:rPr>
          <w:kern w:val="2"/>
          <w:shd w:val="clear" w:color="auto" w:fill="FFFFFF"/>
          <w:lang w:eastAsia="zh-CN"/>
        </w:rPr>
        <w:t xml:space="preserve">March, </w:t>
      </w:r>
      <w:r w:rsidR="008A1E03" w:rsidRPr="00A8551D">
        <w:rPr>
          <w:kern w:val="2"/>
          <w:shd w:val="clear" w:color="auto" w:fill="FFFFFF"/>
          <w:lang w:eastAsia="zh-CN"/>
        </w:rPr>
        <w:t>2014.</w:t>
      </w:r>
    </w:p>
    <w:p w14:paraId="5215B6B0" w14:textId="550A98BD" w:rsidR="009C5D15" w:rsidRPr="00A8551D" w:rsidRDefault="008A1E03" w:rsidP="002B7662">
      <w:pPr>
        <w:pStyle w:val="References"/>
        <w:widowControl w:val="0"/>
        <w:numPr>
          <w:ilvl w:val="0"/>
          <w:numId w:val="4"/>
        </w:numPr>
        <w:snapToGrid w:val="0"/>
        <w:ind w:left="397" w:hanging="397"/>
        <w:rPr>
          <w:kern w:val="2"/>
          <w:shd w:val="clear" w:color="auto" w:fill="FFFFFF"/>
          <w:lang w:eastAsia="zh-CN"/>
        </w:rPr>
      </w:pPr>
      <w:r w:rsidRPr="00A8551D">
        <w:rPr>
          <w:kern w:val="2"/>
          <w:shd w:val="clear" w:color="auto" w:fill="FFFFFF"/>
          <w:lang w:eastAsia="zh-CN"/>
        </w:rPr>
        <w:t xml:space="preserve">D. Y. </w:t>
      </w:r>
      <w:r w:rsidRPr="00A8551D">
        <w:rPr>
          <w:rFonts w:hint="eastAsia"/>
          <w:kern w:val="2"/>
          <w:shd w:val="clear" w:color="auto" w:fill="FFFFFF"/>
          <w:lang w:eastAsia="zh-CN"/>
        </w:rPr>
        <w:t>Chen</w:t>
      </w:r>
      <w:r w:rsidR="008C2AA5" w:rsidRPr="00A8551D">
        <w:rPr>
          <w:kern w:val="2"/>
          <w:shd w:val="clear" w:color="auto" w:fill="FFFFFF"/>
          <w:lang w:eastAsia="zh-CN"/>
        </w:rPr>
        <w:t xml:space="preserve">, L. Z. </w:t>
      </w:r>
      <w:r w:rsidRPr="00A8551D">
        <w:rPr>
          <w:rFonts w:hint="eastAsia"/>
          <w:kern w:val="2"/>
          <w:shd w:val="clear" w:color="auto" w:fill="FFFFFF"/>
          <w:lang w:eastAsia="zh-CN"/>
        </w:rPr>
        <w:t>Zhang</w:t>
      </w:r>
      <w:r w:rsidR="008C2AA5" w:rsidRPr="00A8551D">
        <w:rPr>
          <w:rFonts w:hint="eastAsia"/>
          <w:kern w:val="2"/>
          <w:shd w:val="clear" w:color="auto" w:fill="FFFFFF"/>
          <w:lang w:eastAsia="zh-CN"/>
        </w:rPr>
        <w:t>,</w:t>
      </w:r>
      <w:r w:rsidR="008C2AA5" w:rsidRPr="00A8551D">
        <w:rPr>
          <w:kern w:val="2"/>
          <w:shd w:val="clear" w:color="auto" w:fill="FFFFFF"/>
          <w:lang w:eastAsia="zh-CN"/>
        </w:rPr>
        <w:t xml:space="preserve"> L. G. </w:t>
      </w:r>
      <w:r w:rsidRPr="00A8551D">
        <w:rPr>
          <w:rFonts w:hint="eastAsia"/>
          <w:kern w:val="2"/>
          <w:shd w:val="clear" w:color="auto" w:fill="FFFFFF"/>
          <w:lang w:eastAsia="zh-CN"/>
        </w:rPr>
        <w:t>Wang</w:t>
      </w:r>
      <w:r w:rsidR="008C2AA5" w:rsidRPr="00A8551D">
        <w:rPr>
          <w:rFonts w:hint="eastAsia"/>
          <w:kern w:val="2"/>
          <w:shd w:val="clear" w:color="auto" w:fill="FFFFFF"/>
          <w:lang w:eastAsia="zh-CN"/>
        </w:rPr>
        <w:t>.</w:t>
      </w:r>
      <w:r w:rsidR="008C2AA5" w:rsidRPr="00A8551D">
        <w:rPr>
          <w:kern w:val="2"/>
          <w:shd w:val="clear" w:color="auto" w:fill="FFFFFF"/>
          <w:lang w:eastAsia="zh-CN"/>
        </w:rPr>
        <w:t xml:space="preserve"> “</w:t>
      </w:r>
      <w:r w:rsidRPr="00A8551D">
        <w:rPr>
          <w:rFonts w:hint="eastAsia"/>
          <w:kern w:val="2"/>
          <w:shd w:val="clear" w:color="auto" w:fill="FFFFFF"/>
          <w:lang w:eastAsia="zh-CN"/>
        </w:rPr>
        <w:t>Research on Control Strategy and Investment Return Evaluation of Energy Storage Frequency Modulation System</w:t>
      </w:r>
      <w:r w:rsidR="008C2AA5" w:rsidRPr="00A8551D">
        <w:rPr>
          <w:kern w:val="2"/>
          <w:shd w:val="clear" w:color="auto" w:fill="FFFFFF"/>
          <w:lang w:eastAsia="zh-CN"/>
        </w:rPr>
        <w:t xml:space="preserve">,” </w:t>
      </w:r>
      <w:r w:rsidRPr="00A8551D">
        <w:rPr>
          <w:rFonts w:hint="eastAsia"/>
          <w:i/>
          <w:iCs/>
          <w:kern w:val="2"/>
          <w:shd w:val="clear" w:color="auto" w:fill="FFFFFF"/>
          <w:lang w:eastAsia="zh-CN"/>
        </w:rPr>
        <w:t>Modern Electric Power</w:t>
      </w:r>
      <w:r w:rsidR="008C2AA5" w:rsidRPr="00A8551D">
        <w:rPr>
          <w:rFonts w:hint="eastAsia"/>
          <w:kern w:val="2"/>
          <w:shd w:val="clear" w:color="auto" w:fill="FFFFFF"/>
          <w:lang w:eastAsia="zh-CN"/>
        </w:rPr>
        <w:t>,</w:t>
      </w:r>
      <w:r w:rsidR="008C2AA5" w:rsidRPr="00A8551D">
        <w:rPr>
          <w:kern w:val="2"/>
          <w:shd w:val="clear" w:color="auto" w:fill="FFFFFF"/>
          <w:lang w:eastAsia="zh-CN"/>
        </w:rPr>
        <w:t xml:space="preserve"> vol. </w:t>
      </w:r>
      <w:r w:rsidR="009C5D15" w:rsidRPr="00A8551D">
        <w:rPr>
          <w:kern w:val="2"/>
          <w:shd w:val="clear" w:color="auto" w:fill="FFFFFF"/>
          <w:lang w:eastAsia="zh-CN"/>
        </w:rPr>
        <w:t>33</w:t>
      </w:r>
      <w:r w:rsidR="008C2AA5" w:rsidRPr="00A8551D">
        <w:rPr>
          <w:kern w:val="2"/>
          <w:shd w:val="clear" w:color="auto" w:fill="FFFFFF"/>
          <w:lang w:eastAsia="zh-CN"/>
        </w:rPr>
        <w:t xml:space="preserve">, no. </w:t>
      </w:r>
      <w:r w:rsidR="009C5D15" w:rsidRPr="00A8551D">
        <w:rPr>
          <w:kern w:val="2"/>
          <w:shd w:val="clear" w:color="auto" w:fill="FFFFFF"/>
          <w:lang w:eastAsia="zh-CN"/>
        </w:rPr>
        <w:t>01</w:t>
      </w:r>
      <w:r w:rsidR="008C2AA5" w:rsidRPr="00A8551D">
        <w:rPr>
          <w:kern w:val="2"/>
          <w:shd w:val="clear" w:color="auto" w:fill="FFFFFF"/>
          <w:lang w:eastAsia="zh-CN"/>
        </w:rPr>
        <w:t xml:space="preserve">, pp. </w:t>
      </w:r>
      <w:r w:rsidR="009C5D15" w:rsidRPr="00A8551D">
        <w:rPr>
          <w:rFonts w:hint="eastAsia"/>
          <w:kern w:val="2"/>
          <w:shd w:val="clear" w:color="auto" w:fill="FFFFFF"/>
          <w:lang w:eastAsia="zh-CN"/>
        </w:rPr>
        <w:t>80-86</w:t>
      </w:r>
      <w:r w:rsidR="008C2AA5" w:rsidRPr="00A8551D">
        <w:rPr>
          <w:kern w:val="2"/>
          <w:shd w:val="clear" w:color="auto" w:fill="FFFFFF"/>
          <w:lang w:eastAsia="zh-CN"/>
        </w:rPr>
        <w:t xml:space="preserve">, </w:t>
      </w:r>
      <w:r w:rsidR="0021562E">
        <w:rPr>
          <w:kern w:val="2"/>
          <w:shd w:val="clear" w:color="auto" w:fill="FFFFFF"/>
          <w:lang w:eastAsia="zh-CN"/>
        </w:rPr>
        <w:t xml:space="preserve">Feb, </w:t>
      </w:r>
      <w:r w:rsidR="008C2AA5" w:rsidRPr="00A8551D">
        <w:rPr>
          <w:kern w:val="2"/>
          <w:shd w:val="clear" w:color="auto" w:fill="FFFFFF"/>
          <w:lang w:eastAsia="zh-CN"/>
        </w:rPr>
        <w:t>201</w:t>
      </w:r>
      <w:r w:rsidR="009C5D15" w:rsidRPr="00A8551D">
        <w:rPr>
          <w:kern w:val="2"/>
          <w:shd w:val="clear" w:color="auto" w:fill="FFFFFF"/>
          <w:lang w:eastAsia="zh-CN"/>
        </w:rPr>
        <w:t>6.</w:t>
      </w:r>
    </w:p>
    <w:p w14:paraId="5033EEB4" w14:textId="12927CDB" w:rsidR="009C5D15" w:rsidRPr="00A8551D" w:rsidRDefault="009C5D15" w:rsidP="002B7662">
      <w:pPr>
        <w:pStyle w:val="References"/>
        <w:numPr>
          <w:ilvl w:val="0"/>
          <w:numId w:val="4"/>
        </w:numPr>
        <w:ind w:left="397" w:hanging="397"/>
        <w:rPr>
          <w:color w:val="000000" w:themeColor="text1"/>
        </w:rPr>
      </w:pPr>
      <w:r w:rsidRPr="00A8551D">
        <w:rPr>
          <w:kern w:val="2"/>
          <w:shd w:val="clear" w:color="auto" w:fill="FFFFFF"/>
          <w:lang w:eastAsia="zh-CN"/>
        </w:rPr>
        <w:t xml:space="preserve">J. Y. </w:t>
      </w:r>
      <w:r w:rsidRPr="00A8551D">
        <w:rPr>
          <w:rFonts w:hint="eastAsia"/>
          <w:kern w:val="2"/>
          <w:shd w:val="clear" w:color="auto" w:fill="FFFFFF"/>
          <w:lang w:eastAsia="zh-CN"/>
        </w:rPr>
        <w:t>Huang,</w:t>
      </w:r>
      <w:r w:rsidRPr="00A8551D">
        <w:rPr>
          <w:kern w:val="2"/>
          <w:shd w:val="clear" w:color="auto" w:fill="FFFFFF"/>
          <w:lang w:eastAsia="zh-CN"/>
        </w:rPr>
        <w:t xml:space="preserve"> </w:t>
      </w:r>
      <w:r w:rsidRPr="00A8551D">
        <w:rPr>
          <w:rFonts w:hint="eastAsia"/>
          <w:kern w:val="2"/>
          <w:shd w:val="clear" w:color="auto" w:fill="FFFFFF"/>
          <w:lang w:eastAsia="zh-CN"/>
        </w:rPr>
        <w:t>X</w:t>
      </w:r>
      <w:r w:rsidRPr="00A8551D">
        <w:rPr>
          <w:kern w:val="2"/>
          <w:shd w:val="clear" w:color="auto" w:fill="FFFFFF"/>
          <w:lang w:eastAsia="zh-CN"/>
        </w:rPr>
        <w:t xml:space="preserve">. R. </w:t>
      </w:r>
      <w:r w:rsidRPr="00A8551D">
        <w:rPr>
          <w:rFonts w:hint="eastAsia"/>
          <w:kern w:val="2"/>
          <w:shd w:val="clear" w:color="auto" w:fill="FFFFFF"/>
          <w:lang w:eastAsia="zh-CN"/>
        </w:rPr>
        <w:t>Li</w:t>
      </w:r>
      <w:r w:rsidRPr="00A8551D">
        <w:rPr>
          <w:kern w:val="2"/>
          <w:shd w:val="clear" w:color="auto" w:fill="FFFFFF"/>
          <w:lang w:eastAsia="zh-CN"/>
        </w:rPr>
        <w:t xml:space="preserve">, </w:t>
      </w:r>
      <w:r w:rsidRPr="00A8551D">
        <w:rPr>
          <w:rFonts w:hint="eastAsia"/>
          <w:kern w:val="2"/>
          <w:shd w:val="clear" w:color="auto" w:fill="FFFFFF"/>
          <w:lang w:eastAsia="zh-CN"/>
        </w:rPr>
        <w:t>M</w:t>
      </w:r>
      <w:r w:rsidRPr="00A8551D">
        <w:rPr>
          <w:kern w:val="2"/>
          <w:shd w:val="clear" w:color="auto" w:fill="FFFFFF"/>
          <w:lang w:eastAsia="zh-CN"/>
        </w:rPr>
        <w:t xml:space="preserve">. </w:t>
      </w:r>
      <w:r w:rsidRPr="00A8551D">
        <w:rPr>
          <w:rFonts w:hint="eastAsia"/>
          <w:kern w:val="2"/>
          <w:shd w:val="clear" w:color="auto" w:fill="FFFFFF"/>
          <w:lang w:eastAsia="zh-CN"/>
        </w:rPr>
        <w:t>Chang,</w:t>
      </w:r>
      <w:r w:rsidRPr="00A8551D">
        <w:rPr>
          <w:kern w:val="2"/>
          <w:shd w:val="clear" w:color="auto" w:fill="FFFFFF"/>
          <w:lang w:eastAsia="zh-CN"/>
        </w:rPr>
        <w:t xml:space="preserve"> </w:t>
      </w:r>
      <w:r w:rsidRPr="00A8551D">
        <w:rPr>
          <w:rFonts w:hint="eastAsia"/>
          <w:kern w:val="2"/>
          <w:shd w:val="clear" w:color="auto" w:fill="FFFFFF"/>
          <w:lang w:eastAsia="zh-CN"/>
        </w:rPr>
        <w:t>et al.</w:t>
      </w:r>
      <w:r w:rsidRPr="00A8551D">
        <w:rPr>
          <w:kern w:val="2"/>
          <w:shd w:val="clear" w:color="auto" w:fill="FFFFFF"/>
          <w:lang w:eastAsia="zh-CN"/>
        </w:rPr>
        <w:t xml:space="preserve"> “</w:t>
      </w:r>
      <w:r w:rsidRPr="00A8551D">
        <w:rPr>
          <w:rFonts w:hint="eastAsia"/>
          <w:kern w:val="2"/>
          <w:shd w:val="clear" w:color="auto" w:fill="FFFFFF"/>
          <w:lang w:eastAsia="zh-CN"/>
        </w:rPr>
        <w:t>Capacity allocation method considering the energy storage battery participating in the primary frequency modulation technology economic model</w:t>
      </w:r>
      <w:r w:rsidRPr="00A8551D">
        <w:rPr>
          <w:kern w:val="2"/>
          <w:shd w:val="clear" w:color="auto" w:fill="FFFFFF"/>
          <w:lang w:eastAsia="zh-CN"/>
        </w:rPr>
        <w:t xml:space="preserve">,” </w:t>
      </w:r>
      <w:r w:rsidR="004C7461">
        <w:rPr>
          <w:i/>
          <w:iCs/>
          <w:kern w:val="2"/>
          <w:shd w:val="clear" w:color="auto" w:fill="FFFFFF"/>
          <w:lang w:eastAsia="zh-CN"/>
        </w:rPr>
        <w:t>Transactions of China Electrotechnical society</w:t>
      </w:r>
      <w:r w:rsidRPr="00A8551D">
        <w:rPr>
          <w:rFonts w:hint="eastAsia"/>
          <w:kern w:val="2"/>
          <w:shd w:val="clear" w:color="auto" w:fill="FFFFFF"/>
          <w:lang w:eastAsia="zh-CN"/>
        </w:rPr>
        <w:t>,</w:t>
      </w:r>
      <w:r w:rsidRPr="00A8551D">
        <w:rPr>
          <w:kern w:val="2"/>
          <w:shd w:val="clear" w:color="auto" w:fill="FFFFFF"/>
          <w:lang w:eastAsia="zh-CN"/>
        </w:rPr>
        <w:t xml:space="preserve"> </w:t>
      </w:r>
      <w:r w:rsidRPr="00A8551D">
        <w:rPr>
          <w:color w:val="000000" w:themeColor="text1"/>
        </w:rPr>
        <w:t xml:space="preserve">vol 32, no. 21, pp. </w:t>
      </w:r>
      <w:r w:rsidRPr="00A8551D">
        <w:rPr>
          <w:rFonts w:hint="eastAsia"/>
          <w:kern w:val="2"/>
          <w:shd w:val="clear" w:color="auto" w:fill="FFFFFF"/>
          <w:lang w:eastAsia="zh-CN"/>
        </w:rPr>
        <w:t>112-121</w:t>
      </w:r>
      <w:r w:rsidRPr="00A8551D">
        <w:rPr>
          <w:color w:val="000000" w:themeColor="text1"/>
        </w:rPr>
        <w:t xml:space="preserve">, </w:t>
      </w:r>
      <w:r w:rsidR="0021562E">
        <w:rPr>
          <w:color w:val="000000" w:themeColor="text1"/>
        </w:rPr>
        <w:t xml:space="preserve">July, </w:t>
      </w:r>
      <w:r w:rsidRPr="00A8551D">
        <w:rPr>
          <w:color w:val="000000" w:themeColor="text1"/>
        </w:rPr>
        <w:t>2017.</w:t>
      </w:r>
    </w:p>
    <w:p w14:paraId="734BBC4C" w14:textId="03C8AE1F" w:rsidR="00CE2F2B" w:rsidRPr="00A8551D" w:rsidRDefault="00CE2F2B" w:rsidP="002B7662">
      <w:pPr>
        <w:pStyle w:val="References"/>
        <w:numPr>
          <w:ilvl w:val="0"/>
          <w:numId w:val="4"/>
        </w:numPr>
        <w:ind w:left="397" w:hanging="397"/>
        <w:rPr>
          <w:color w:val="000000" w:themeColor="text1"/>
        </w:rPr>
      </w:pPr>
      <w:r w:rsidRPr="00A8551D">
        <w:rPr>
          <w:color w:val="000000" w:themeColor="text1"/>
        </w:rPr>
        <w:t xml:space="preserve">J. H. </w:t>
      </w:r>
      <w:r w:rsidR="009C5D15" w:rsidRPr="00A8551D">
        <w:rPr>
          <w:rFonts w:hint="eastAsia"/>
          <w:color w:val="000000" w:themeColor="text1"/>
        </w:rPr>
        <w:t>Li</w:t>
      </w:r>
      <w:r w:rsidRPr="00A8551D">
        <w:rPr>
          <w:color w:val="000000" w:themeColor="text1"/>
        </w:rPr>
        <w:t xml:space="preserve">, </w:t>
      </w:r>
      <w:r w:rsidRPr="00A8551D">
        <w:rPr>
          <w:rFonts w:hint="eastAsia"/>
          <w:color w:val="000000" w:themeColor="text1"/>
          <w:lang w:eastAsia="zh-CN"/>
        </w:rPr>
        <w:t>J</w:t>
      </w:r>
      <w:r w:rsidRPr="00A8551D">
        <w:rPr>
          <w:color w:val="000000" w:themeColor="text1"/>
          <w:lang w:eastAsia="zh-CN"/>
        </w:rPr>
        <w:t xml:space="preserve">. H. </w:t>
      </w:r>
      <w:r w:rsidR="009C5D15" w:rsidRPr="00A8551D">
        <w:rPr>
          <w:rFonts w:hint="eastAsia"/>
          <w:color w:val="000000" w:themeColor="text1"/>
        </w:rPr>
        <w:t>Zhang</w:t>
      </w:r>
      <w:r w:rsidRPr="00A8551D">
        <w:rPr>
          <w:color w:val="000000" w:themeColor="text1"/>
        </w:rPr>
        <w:t xml:space="preserve">, </w:t>
      </w:r>
      <w:r w:rsidRPr="00A8551D">
        <w:rPr>
          <w:rFonts w:hint="eastAsia"/>
          <w:color w:val="000000" w:themeColor="text1"/>
          <w:lang w:eastAsia="zh-CN"/>
        </w:rPr>
        <w:t>G</w:t>
      </w:r>
      <w:r w:rsidRPr="00A8551D">
        <w:rPr>
          <w:color w:val="000000" w:themeColor="text1"/>
          <w:lang w:eastAsia="zh-CN"/>
        </w:rPr>
        <w:t xml:space="preserve">. </w:t>
      </w:r>
      <w:r w:rsidR="009C5D15" w:rsidRPr="00A8551D">
        <w:rPr>
          <w:rFonts w:hint="eastAsia"/>
          <w:color w:val="000000" w:themeColor="text1"/>
        </w:rPr>
        <w:t>Mu</w:t>
      </w:r>
      <w:r w:rsidRPr="00A8551D">
        <w:rPr>
          <w:color w:val="000000" w:themeColor="text1"/>
        </w:rPr>
        <w:t xml:space="preserve">, </w:t>
      </w:r>
      <w:r w:rsidR="009C5D15" w:rsidRPr="00A8551D">
        <w:rPr>
          <w:rFonts w:hint="eastAsia"/>
          <w:color w:val="000000" w:themeColor="text1"/>
        </w:rPr>
        <w:t>et al</w:t>
      </w:r>
      <w:r w:rsidRPr="00A8551D">
        <w:rPr>
          <w:rFonts w:hint="eastAsia"/>
          <w:color w:val="000000" w:themeColor="text1"/>
          <w:lang w:eastAsia="zh-CN"/>
        </w:rPr>
        <w:t>.</w:t>
      </w:r>
      <w:r w:rsidRPr="00A8551D">
        <w:rPr>
          <w:color w:val="000000" w:themeColor="text1"/>
          <w:lang w:eastAsia="zh-CN"/>
        </w:rPr>
        <w:t xml:space="preserve"> “</w:t>
      </w:r>
      <w:r w:rsidR="009C5D15" w:rsidRPr="00A8551D">
        <w:rPr>
          <w:rFonts w:hint="eastAsia"/>
          <w:color w:val="000000" w:themeColor="text1"/>
        </w:rPr>
        <w:t>Hierarchical Optimal Scheduling of Energy Storage Assisted Fossil Power Units</w:t>
      </w:r>
      <w:r w:rsidRPr="00A8551D">
        <w:rPr>
          <w:color w:val="000000" w:themeColor="text1"/>
        </w:rPr>
        <w:t>,”</w:t>
      </w:r>
      <w:r w:rsidRPr="00A8551D">
        <w:rPr>
          <w:rFonts w:hint="eastAsia"/>
          <w:color w:val="000000" w:themeColor="text1"/>
        </w:rPr>
        <w:t xml:space="preserve"> </w:t>
      </w:r>
      <w:r w:rsidR="009C5D15" w:rsidRPr="00A8551D">
        <w:rPr>
          <w:rFonts w:hint="eastAsia"/>
          <w:i/>
          <w:iCs/>
          <w:color w:val="000000" w:themeColor="text1"/>
        </w:rPr>
        <w:t>Power System Technology</w:t>
      </w:r>
      <w:r w:rsidRPr="00A8551D">
        <w:rPr>
          <w:rFonts w:hint="eastAsia"/>
          <w:color w:val="000000" w:themeColor="text1"/>
          <w:lang w:eastAsia="zh-CN"/>
        </w:rPr>
        <w:t>,</w:t>
      </w:r>
      <w:r w:rsidRPr="00A8551D">
        <w:rPr>
          <w:color w:val="000000" w:themeColor="text1"/>
          <w:lang w:eastAsia="zh-CN"/>
        </w:rPr>
        <w:t xml:space="preserve"> </w:t>
      </w:r>
      <w:r w:rsidR="009C5D15" w:rsidRPr="00A8551D">
        <w:rPr>
          <w:rFonts w:hint="eastAsia"/>
          <w:color w:val="000000" w:themeColor="text1"/>
        </w:rPr>
        <w:t>2019</w:t>
      </w:r>
      <w:r w:rsidR="008027D5" w:rsidRPr="00A8551D">
        <w:rPr>
          <w:rFonts w:hint="eastAsia"/>
          <w:color w:val="000000" w:themeColor="text1"/>
          <w:lang w:eastAsia="zh-CN"/>
        </w:rPr>
        <w:t>,</w:t>
      </w:r>
      <w:r w:rsidR="008027D5" w:rsidRPr="00A8551D">
        <w:rPr>
          <w:color w:val="000000" w:themeColor="text1"/>
          <w:lang w:eastAsia="zh-CN"/>
        </w:rPr>
        <w:t xml:space="preserve"> </w:t>
      </w:r>
      <w:r w:rsidRPr="00A8551D">
        <w:rPr>
          <w:color w:val="000000" w:themeColor="text1"/>
        </w:rPr>
        <w:t xml:space="preserve">vol 43, no. 11, pp. </w:t>
      </w:r>
      <w:r w:rsidRPr="00A8551D">
        <w:rPr>
          <w:rFonts w:hint="eastAsia"/>
          <w:color w:val="000000" w:themeColor="text1"/>
        </w:rPr>
        <w:t>3961-3970</w:t>
      </w:r>
      <w:r w:rsidRPr="00A8551D">
        <w:rPr>
          <w:color w:val="000000" w:themeColor="text1"/>
        </w:rPr>
        <w:t xml:space="preserve">, </w:t>
      </w:r>
      <w:r w:rsidR="002D0850">
        <w:rPr>
          <w:color w:val="000000" w:themeColor="text1"/>
        </w:rPr>
        <w:t xml:space="preserve">Oct, </w:t>
      </w:r>
      <w:r w:rsidRPr="00A8551D">
        <w:rPr>
          <w:color w:val="000000" w:themeColor="text1"/>
        </w:rPr>
        <w:t>201</w:t>
      </w:r>
      <w:r w:rsidR="008027D5" w:rsidRPr="00A8551D">
        <w:rPr>
          <w:color w:val="000000" w:themeColor="text1"/>
        </w:rPr>
        <w:t>9</w:t>
      </w:r>
      <w:r w:rsidRPr="00A8551D">
        <w:rPr>
          <w:color w:val="000000" w:themeColor="text1"/>
        </w:rPr>
        <w:t>.</w:t>
      </w:r>
    </w:p>
    <w:p w14:paraId="62AE65E1" w14:textId="5FD4E911" w:rsidR="00CE2F2B" w:rsidRPr="00A8551D" w:rsidRDefault="008027D5" w:rsidP="002B7662">
      <w:pPr>
        <w:pStyle w:val="References"/>
        <w:numPr>
          <w:ilvl w:val="0"/>
          <w:numId w:val="4"/>
        </w:numPr>
        <w:ind w:left="397" w:hanging="397"/>
        <w:rPr>
          <w:color w:val="000000" w:themeColor="text1"/>
        </w:rPr>
      </w:pPr>
      <w:r w:rsidRPr="00A8551D">
        <w:rPr>
          <w:kern w:val="2"/>
          <w:shd w:val="clear" w:color="auto" w:fill="FFFFFF"/>
          <w:lang w:eastAsia="zh-CN"/>
        </w:rPr>
        <w:t>J. H. Li</w:t>
      </w:r>
      <w:r w:rsidRPr="00A8551D">
        <w:rPr>
          <w:rFonts w:hint="eastAsia"/>
          <w:kern w:val="2"/>
          <w:shd w:val="clear" w:color="auto" w:fill="FFFFFF"/>
          <w:lang w:eastAsia="zh-CN"/>
        </w:rPr>
        <w:t>,</w:t>
      </w:r>
      <w:r w:rsidRPr="00A8551D">
        <w:rPr>
          <w:kern w:val="2"/>
          <w:shd w:val="clear" w:color="auto" w:fill="FFFFFF"/>
          <w:lang w:eastAsia="zh-CN"/>
        </w:rPr>
        <w:t xml:space="preserve"> </w:t>
      </w:r>
      <w:r w:rsidRPr="00A8551D">
        <w:rPr>
          <w:rFonts w:hint="eastAsia"/>
          <w:kern w:val="2"/>
          <w:shd w:val="clear" w:color="auto" w:fill="FFFFFF"/>
          <w:lang w:eastAsia="zh-CN"/>
        </w:rPr>
        <w:t>S</w:t>
      </w:r>
      <w:r w:rsidRPr="00A8551D">
        <w:rPr>
          <w:kern w:val="2"/>
          <w:shd w:val="clear" w:color="auto" w:fill="FFFFFF"/>
          <w:lang w:eastAsia="zh-CN"/>
        </w:rPr>
        <w:t>. Wang Sai</w:t>
      </w:r>
      <w:r w:rsidRPr="00A8551D">
        <w:rPr>
          <w:rFonts w:hint="eastAsia"/>
          <w:kern w:val="2"/>
          <w:shd w:val="clear" w:color="auto" w:fill="FFFFFF"/>
          <w:lang w:eastAsia="zh-CN"/>
        </w:rPr>
        <w:t>.</w:t>
      </w:r>
      <w:r w:rsidRPr="00A8551D">
        <w:rPr>
          <w:kern w:val="2"/>
          <w:shd w:val="clear" w:color="auto" w:fill="FFFFFF"/>
          <w:lang w:eastAsia="zh-CN"/>
        </w:rPr>
        <w:t xml:space="preserve"> “Optimization of combined energy storage-assisted peak regulation scheme with both technical and economic benefits,” </w:t>
      </w:r>
      <w:r w:rsidRPr="00A8551D">
        <w:rPr>
          <w:i/>
          <w:iCs/>
          <w:kern w:val="2"/>
          <w:shd w:val="clear" w:color="auto" w:fill="FFFFFF"/>
          <w:lang w:eastAsia="zh-CN"/>
        </w:rPr>
        <w:t>Automation of Electric Power Systems</w:t>
      </w:r>
      <w:r w:rsidRPr="00A8551D">
        <w:rPr>
          <w:rFonts w:hint="eastAsia"/>
          <w:kern w:val="2"/>
          <w:shd w:val="clear" w:color="auto" w:fill="FFFFFF"/>
          <w:lang w:eastAsia="zh-CN"/>
        </w:rPr>
        <w:t>,</w:t>
      </w:r>
      <w:r w:rsidRPr="00A8551D">
        <w:rPr>
          <w:kern w:val="2"/>
          <w:shd w:val="clear" w:color="auto" w:fill="FFFFFF"/>
          <w:lang w:eastAsia="zh-CN"/>
        </w:rPr>
        <w:t xml:space="preserve"> </w:t>
      </w:r>
      <w:r w:rsidRPr="00A8551D">
        <w:rPr>
          <w:color w:val="000000" w:themeColor="text1"/>
        </w:rPr>
        <w:t xml:space="preserve">vol </w:t>
      </w:r>
      <w:r w:rsidR="00833918" w:rsidRPr="00A8551D">
        <w:rPr>
          <w:color w:val="000000" w:themeColor="text1"/>
        </w:rPr>
        <w:t>41</w:t>
      </w:r>
      <w:r w:rsidRPr="00A8551D">
        <w:rPr>
          <w:color w:val="000000" w:themeColor="text1"/>
        </w:rPr>
        <w:t xml:space="preserve">, no. </w:t>
      </w:r>
      <w:r w:rsidR="00833918" w:rsidRPr="00A8551D">
        <w:rPr>
          <w:color w:val="000000" w:themeColor="text1"/>
        </w:rPr>
        <w:t>09</w:t>
      </w:r>
      <w:r w:rsidRPr="00A8551D">
        <w:rPr>
          <w:color w:val="000000" w:themeColor="text1"/>
        </w:rPr>
        <w:t xml:space="preserve">, pp. </w:t>
      </w:r>
      <w:r w:rsidR="00833918" w:rsidRPr="00A8551D">
        <w:rPr>
          <w:kern w:val="2"/>
          <w:shd w:val="clear" w:color="auto" w:fill="FFFFFF"/>
          <w:lang w:eastAsia="zh-CN"/>
        </w:rPr>
        <w:t>44-50</w:t>
      </w:r>
      <w:r w:rsidRPr="00A8551D">
        <w:rPr>
          <w:color w:val="000000" w:themeColor="text1"/>
        </w:rPr>
        <w:t xml:space="preserve">, </w:t>
      </w:r>
      <w:r w:rsidR="00643221">
        <w:rPr>
          <w:color w:val="000000" w:themeColor="text1"/>
        </w:rPr>
        <w:t xml:space="preserve">May, </w:t>
      </w:r>
      <w:r w:rsidRPr="00A8551D">
        <w:rPr>
          <w:color w:val="000000" w:themeColor="text1"/>
        </w:rPr>
        <w:t>201</w:t>
      </w:r>
      <w:r w:rsidR="00833918" w:rsidRPr="00A8551D">
        <w:rPr>
          <w:color w:val="000000" w:themeColor="text1"/>
        </w:rPr>
        <w:t>7</w:t>
      </w:r>
      <w:r w:rsidRPr="00A8551D">
        <w:rPr>
          <w:color w:val="000000" w:themeColor="text1"/>
        </w:rPr>
        <w:t>.</w:t>
      </w:r>
    </w:p>
    <w:p w14:paraId="3B28F6D5" w14:textId="49059AEC" w:rsidR="00833918" w:rsidRPr="00A8551D" w:rsidRDefault="00833918" w:rsidP="002B7662">
      <w:pPr>
        <w:pStyle w:val="References"/>
        <w:numPr>
          <w:ilvl w:val="0"/>
          <w:numId w:val="4"/>
        </w:numPr>
        <w:ind w:left="397" w:hanging="397"/>
        <w:rPr>
          <w:color w:val="000000" w:themeColor="text1"/>
        </w:rPr>
      </w:pPr>
      <w:r w:rsidRPr="00A8551D">
        <w:rPr>
          <w:kern w:val="2"/>
          <w:lang w:eastAsia="zh-CN"/>
        </w:rPr>
        <w:t xml:space="preserve">A. </w:t>
      </w:r>
      <w:proofErr w:type="spellStart"/>
      <w:r w:rsidRPr="00A8551D">
        <w:rPr>
          <w:kern w:val="2"/>
          <w:lang w:eastAsia="zh-CN"/>
        </w:rPr>
        <w:t>Oudalov</w:t>
      </w:r>
      <w:proofErr w:type="spellEnd"/>
      <w:r w:rsidRPr="00A8551D">
        <w:rPr>
          <w:rFonts w:hint="eastAsia"/>
          <w:kern w:val="2"/>
          <w:lang w:eastAsia="zh-CN"/>
        </w:rPr>
        <w:t>,</w:t>
      </w:r>
      <w:r w:rsidRPr="00A8551D">
        <w:rPr>
          <w:kern w:val="2"/>
          <w:lang w:eastAsia="zh-CN"/>
        </w:rPr>
        <w:t xml:space="preserve"> D. </w:t>
      </w:r>
      <w:proofErr w:type="spellStart"/>
      <w:r w:rsidRPr="00A8551D">
        <w:rPr>
          <w:kern w:val="2"/>
          <w:lang w:eastAsia="zh-CN"/>
        </w:rPr>
        <w:t>Chartouni</w:t>
      </w:r>
      <w:proofErr w:type="spellEnd"/>
      <w:r w:rsidRPr="00A8551D">
        <w:rPr>
          <w:rFonts w:hint="eastAsia"/>
          <w:kern w:val="2"/>
          <w:lang w:eastAsia="zh-CN"/>
        </w:rPr>
        <w:t>,</w:t>
      </w:r>
      <w:r w:rsidRPr="00A8551D">
        <w:rPr>
          <w:kern w:val="2"/>
          <w:lang w:eastAsia="zh-CN"/>
        </w:rPr>
        <w:t xml:space="preserve"> C. </w:t>
      </w:r>
      <w:proofErr w:type="spellStart"/>
      <w:r w:rsidRPr="00A8551D">
        <w:rPr>
          <w:kern w:val="2"/>
          <w:lang w:eastAsia="zh-CN"/>
        </w:rPr>
        <w:t>Ohler</w:t>
      </w:r>
      <w:proofErr w:type="spellEnd"/>
      <w:r w:rsidRPr="00A8551D">
        <w:rPr>
          <w:rFonts w:hint="eastAsia"/>
          <w:kern w:val="2"/>
          <w:lang w:eastAsia="zh-CN"/>
        </w:rPr>
        <w:t>,</w:t>
      </w:r>
      <w:r w:rsidRPr="00A8551D">
        <w:rPr>
          <w:kern w:val="2"/>
          <w:lang w:eastAsia="zh-CN"/>
        </w:rPr>
        <w:t xml:space="preserve"> </w:t>
      </w:r>
      <w:r w:rsidR="007A630C" w:rsidRPr="007A630C">
        <w:rPr>
          <w:kern w:val="2"/>
          <w:lang w:eastAsia="zh-CN"/>
        </w:rPr>
        <w:t xml:space="preserve">and G. </w:t>
      </w:r>
      <w:proofErr w:type="spellStart"/>
      <w:r w:rsidR="007A630C" w:rsidRPr="007A630C">
        <w:rPr>
          <w:kern w:val="2"/>
          <w:lang w:eastAsia="zh-CN"/>
        </w:rPr>
        <w:t>Linhofer</w:t>
      </w:r>
      <w:proofErr w:type="spellEnd"/>
      <w:r w:rsidR="007A630C">
        <w:rPr>
          <w:kern w:val="2"/>
          <w:lang w:eastAsia="zh-CN"/>
        </w:rPr>
        <w:t xml:space="preserve">, </w:t>
      </w:r>
      <w:r w:rsidR="0066667F" w:rsidRPr="00A8551D">
        <w:rPr>
          <w:kern w:val="2"/>
          <w:lang w:eastAsia="zh-CN"/>
        </w:rPr>
        <w:t>“</w:t>
      </w:r>
      <w:bookmarkStart w:id="79" w:name="OLE_LINK69"/>
      <w:r w:rsidRPr="00A8551D">
        <w:rPr>
          <w:kern w:val="2"/>
          <w:lang w:eastAsia="zh-CN"/>
        </w:rPr>
        <w:t>Value Analysis of Battery Energy Storage Applications in Power Systems</w:t>
      </w:r>
      <w:bookmarkEnd w:id="79"/>
      <w:r w:rsidR="0066667F" w:rsidRPr="00A8551D">
        <w:rPr>
          <w:kern w:val="2"/>
          <w:lang w:eastAsia="zh-CN"/>
        </w:rPr>
        <w:t xml:space="preserve">,” </w:t>
      </w:r>
      <w:r w:rsidR="007A630C" w:rsidRPr="007A630C">
        <w:rPr>
          <w:i/>
          <w:iCs/>
          <w:kern w:val="2"/>
          <w:lang w:eastAsia="zh-CN"/>
        </w:rPr>
        <w:t>2006 IEEE PES Power Systems Conference and Exposition</w:t>
      </w:r>
      <w:r w:rsidR="007A630C" w:rsidRPr="007A630C">
        <w:rPr>
          <w:kern w:val="2"/>
          <w:lang w:eastAsia="zh-CN"/>
        </w:rPr>
        <w:t xml:space="preserve">, </w:t>
      </w:r>
      <w:r w:rsidR="00030A23">
        <w:rPr>
          <w:kern w:val="2"/>
          <w:lang w:eastAsia="zh-CN"/>
        </w:rPr>
        <w:t>Oct,</w:t>
      </w:r>
      <w:r w:rsidR="00030A23" w:rsidRPr="007A630C">
        <w:rPr>
          <w:kern w:val="2"/>
          <w:lang w:eastAsia="zh-CN"/>
        </w:rPr>
        <w:t xml:space="preserve"> </w:t>
      </w:r>
      <w:r w:rsidR="007A630C" w:rsidRPr="007A630C">
        <w:rPr>
          <w:kern w:val="2"/>
          <w:lang w:eastAsia="zh-CN"/>
        </w:rPr>
        <w:t>2006, pp. 2206-2211</w:t>
      </w:r>
      <w:r w:rsidR="00030A23">
        <w:rPr>
          <w:kern w:val="2"/>
          <w:lang w:eastAsia="zh-CN"/>
        </w:rPr>
        <w:t>.</w:t>
      </w:r>
    </w:p>
    <w:p w14:paraId="2B1C76E0" w14:textId="44FD40A3" w:rsidR="00A6665E" w:rsidRPr="00F22C27" w:rsidRDefault="00D40226" w:rsidP="002B7662">
      <w:pPr>
        <w:pStyle w:val="References"/>
        <w:numPr>
          <w:ilvl w:val="0"/>
          <w:numId w:val="4"/>
        </w:numPr>
        <w:ind w:left="397" w:hanging="397"/>
        <w:rPr>
          <w:color w:val="000000" w:themeColor="text1"/>
        </w:rPr>
      </w:pPr>
      <w:r w:rsidRPr="00F22C27">
        <w:rPr>
          <w:color w:val="000000" w:themeColor="text1"/>
        </w:rPr>
        <w:t xml:space="preserve">Y. Xu, S. H. </w:t>
      </w:r>
      <w:proofErr w:type="spellStart"/>
      <w:r w:rsidRPr="00F22C27">
        <w:rPr>
          <w:color w:val="000000" w:themeColor="text1"/>
        </w:rPr>
        <w:t>Qiaolin</w:t>
      </w:r>
      <w:proofErr w:type="spellEnd"/>
      <w:r w:rsidRPr="00F22C27">
        <w:rPr>
          <w:color w:val="000000" w:themeColor="text1"/>
        </w:rPr>
        <w:t xml:space="preserve">, “Optimal </w:t>
      </w:r>
      <w:r w:rsidR="00A6665E" w:rsidRPr="00F22C27">
        <w:rPr>
          <w:rFonts w:hint="eastAsia"/>
          <w:color w:val="000000" w:themeColor="text1"/>
        </w:rPr>
        <w:t>capacity allocation of optical storage power station based on full life cycle theory</w:t>
      </w:r>
      <w:r w:rsidRPr="00F22C27">
        <w:rPr>
          <w:color w:val="000000" w:themeColor="text1"/>
        </w:rPr>
        <w:t>,”</w:t>
      </w:r>
      <w:r w:rsidRPr="00F22C27">
        <w:rPr>
          <w:rFonts w:hint="eastAsia"/>
          <w:i/>
          <w:iCs/>
          <w:color w:val="000000" w:themeColor="text1"/>
          <w:lang w:eastAsia="zh-CN"/>
        </w:rPr>
        <w:t xml:space="preserve"> </w:t>
      </w:r>
      <w:r w:rsidR="00A54FBF" w:rsidRPr="00F22C27">
        <w:rPr>
          <w:rFonts w:hint="eastAsia"/>
          <w:i/>
          <w:iCs/>
          <w:color w:val="000000" w:themeColor="text1"/>
          <w:lang w:eastAsia="zh-CN"/>
        </w:rPr>
        <w:t>J</w:t>
      </w:r>
      <w:r w:rsidR="00A54FBF" w:rsidRPr="00F22C27">
        <w:rPr>
          <w:i/>
          <w:iCs/>
          <w:color w:val="000000" w:themeColor="text1"/>
          <w:lang w:eastAsia="zh-CN"/>
        </w:rPr>
        <w:t xml:space="preserve">ournal of </w:t>
      </w:r>
      <w:r w:rsidR="00A6665E" w:rsidRPr="00F22C27">
        <w:rPr>
          <w:rFonts w:hint="eastAsia"/>
          <w:i/>
          <w:iCs/>
          <w:color w:val="000000" w:themeColor="text1"/>
        </w:rPr>
        <w:t>North China Electric Power University</w:t>
      </w:r>
      <w:r w:rsidR="00F22C27" w:rsidRPr="00F22C27">
        <w:rPr>
          <w:i/>
          <w:iCs/>
          <w:color w:val="000000" w:themeColor="text1"/>
        </w:rPr>
        <w:t xml:space="preserve"> </w:t>
      </w:r>
      <w:r w:rsidR="00A54FBF" w:rsidRPr="00F22C27">
        <w:rPr>
          <w:i/>
          <w:iCs/>
          <w:color w:val="000000" w:themeColor="text1"/>
        </w:rPr>
        <w:t>(Natural Science Edition)</w:t>
      </w:r>
      <w:r w:rsidR="00A54FBF" w:rsidRPr="00F22C27">
        <w:rPr>
          <w:rFonts w:hint="eastAsia"/>
          <w:color w:val="000000" w:themeColor="text1"/>
          <w:lang w:eastAsia="zh-CN"/>
        </w:rPr>
        <w:t>,</w:t>
      </w:r>
      <w:r w:rsidR="00A54FBF" w:rsidRPr="00F22C27">
        <w:rPr>
          <w:color w:val="000000" w:themeColor="text1"/>
          <w:lang w:eastAsia="zh-CN"/>
        </w:rPr>
        <w:t xml:space="preserve"> </w:t>
      </w:r>
      <w:r w:rsidR="00F22C27" w:rsidRPr="00F22C27">
        <w:rPr>
          <w:color w:val="000000" w:themeColor="text1"/>
          <w:lang w:eastAsia="zh-CN"/>
        </w:rPr>
        <w:t xml:space="preserve">vol.25, no. 03, pp.16-23, </w:t>
      </w:r>
      <w:r w:rsidR="00A54FBF" w:rsidRPr="00F22C27">
        <w:rPr>
          <w:color w:val="000000" w:themeColor="text1"/>
          <w:lang w:eastAsia="zh-CN"/>
        </w:rPr>
        <w:t xml:space="preserve">March, </w:t>
      </w:r>
      <w:r w:rsidR="00A6665E" w:rsidRPr="00F22C27">
        <w:rPr>
          <w:rFonts w:hint="eastAsia"/>
          <w:color w:val="000000" w:themeColor="text1"/>
        </w:rPr>
        <w:t>2018</w:t>
      </w:r>
      <w:r w:rsidR="00A54FBF" w:rsidRPr="00F22C27">
        <w:rPr>
          <w:color w:val="000000" w:themeColor="text1"/>
        </w:rPr>
        <w:t>.</w:t>
      </w:r>
    </w:p>
    <w:p w14:paraId="649B7566" w14:textId="0BB54951" w:rsidR="00D91D1E" w:rsidRPr="00A8551D" w:rsidRDefault="00E33092" w:rsidP="002B7662">
      <w:pPr>
        <w:pStyle w:val="References"/>
        <w:numPr>
          <w:ilvl w:val="0"/>
          <w:numId w:val="4"/>
        </w:numPr>
        <w:ind w:left="397" w:hanging="397"/>
        <w:rPr>
          <w:color w:val="000000" w:themeColor="text1"/>
        </w:rPr>
      </w:pPr>
      <w:r w:rsidRPr="00A8551D">
        <w:rPr>
          <w:color w:val="000000" w:themeColor="text1"/>
        </w:rPr>
        <w:t xml:space="preserve">R. X. </w:t>
      </w:r>
      <w:r w:rsidR="00D91D1E" w:rsidRPr="00A8551D">
        <w:rPr>
          <w:rFonts w:hint="eastAsia"/>
          <w:color w:val="000000" w:themeColor="text1"/>
        </w:rPr>
        <w:t>Wang</w:t>
      </w:r>
      <w:r w:rsidRPr="00A8551D">
        <w:rPr>
          <w:color w:val="000000" w:themeColor="text1"/>
        </w:rPr>
        <w:t xml:space="preserve">, F. S. </w:t>
      </w:r>
      <w:r w:rsidR="00D91D1E" w:rsidRPr="00A8551D">
        <w:rPr>
          <w:rFonts w:hint="eastAsia"/>
          <w:color w:val="000000" w:themeColor="text1"/>
        </w:rPr>
        <w:t>Li</w:t>
      </w:r>
      <w:r w:rsidRPr="00A8551D">
        <w:rPr>
          <w:color w:val="000000" w:themeColor="text1"/>
        </w:rPr>
        <w:t xml:space="preserve">, Y. F. </w:t>
      </w:r>
      <w:r w:rsidR="00D91D1E" w:rsidRPr="00A8551D">
        <w:rPr>
          <w:rFonts w:hint="eastAsia"/>
          <w:color w:val="000000" w:themeColor="text1"/>
        </w:rPr>
        <w:t>Zhang</w:t>
      </w:r>
      <w:r w:rsidRPr="00A8551D">
        <w:rPr>
          <w:color w:val="000000" w:themeColor="text1"/>
        </w:rPr>
        <w:t xml:space="preserve">, </w:t>
      </w:r>
      <w:r w:rsidR="00D91D1E" w:rsidRPr="00A8551D">
        <w:rPr>
          <w:rFonts w:hint="eastAsia"/>
          <w:color w:val="000000" w:themeColor="text1"/>
        </w:rPr>
        <w:t>et al</w:t>
      </w:r>
      <w:r w:rsidRPr="00A8551D">
        <w:rPr>
          <w:rFonts w:hint="eastAsia"/>
          <w:color w:val="000000" w:themeColor="text1"/>
          <w:lang w:eastAsia="zh-CN"/>
        </w:rPr>
        <w:t>.</w:t>
      </w:r>
      <w:r w:rsidRPr="00A8551D">
        <w:rPr>
          <w:color w:val="000000" w:themeColor="text1"/>
          <w:lang w:eastAsia="zh-CN"/>
        </w:rPr>
        <w:t xml:space="preserve"> “</w:t>
      </w:r>
      <w:r w:rsidR="00D91D1E" w:rsidRPr="00A8551D">
        <w:rPr>
          <w:rFonts w:hint="eastAsia"/>
          <w:color w:val="000000" w:themeColor="text1"/>
        </w:rPr>
        <w:t>Research on the influence of supercritical unit participating in one frequency regulation on steam turbine life</w:t>
      </w:r>
      <w:r w:rsidRPr="00A8551D">
        <w:rPr>
          <w:color w:val="000000" w:themeColor="text1"/>
        </w:rPr>
        <w:t xml:space="preserve">,” </w:t>
      </w:r>
      <w:r w:rsidRPr="00A8551D">
        <w:rPr>
          <w:i/>
          <w:iCs/>
          <w:kern w:val="2"/>
          <w:lang w:eastAsia="zh-CN"/>
        </w:rPr>
        <w:t>Journal of Engineering for Thermal Energy and Power</w:t>
      </w:r>
      <w:r w:rsidRPr="00A8551D">
        <w:rPr>
          <w:kern w:val="2"/>
          <w:lang w:eastAsia="zh-CN"/>
        </w:rPr>
        <w:t xml:space="preserve">, vol. 29, no. 04, pp. </w:t>
      </w:r>
      <w:r w:rsidRPr="00A8551D">
        <w:rPr>
          <w:rFonts w:hint="eastAsia"/>
          <w:color w:val="000000" w:themeColor="text1"/>
        </w:rPr>
        <w:t>367-373</w:t>
      </w:r>
      <w:r w:rsidRPr="00A8551D">
        <w:rPr>
          <w:kern w:val="2"/>
          <w:shd w:val="clear" w:color="auto" w:fill="FFFFFF"/>
          <w:lang w:eastAsia="zh-CN"/>
        </w:rPr>
        <w:t xml:space="preserve">, </w:t>
      </w:r>
      <w:r w:rsidR="00030A23">
        <w:rPr>
          <w:kern w:val="2"/>
          <w:shd w:val="clear" w:color="auto" w:fill="FFFFFF"/>
          <w:lang w:eastAsia="zh-CN"/>
        </w:rPr>
        <w:t xml:space="preserve">July, </w:t>
      </w:r>
      <w:r w:rsidRPr="00A8551D">
        <w:rPr>
          <w:kern w:val="2"/>
          <w:shd w:val="clear" w:color="auto" w:fill="FFFFFF"/>
          <w:lang w:eastAsia="zh-CN"/>
        </w:rPr>
        <w:t>2014.</w:t>
      </w:r>
    </w:p>
    <w:p w14:paraId="3603B611" w14:textId="446C08E9" w:rsidR="00D91D1E" w:rsidRPr="00A8551D" w:rsidRDefault="003A2201" w:rsidP="002B7662">
      <w:pPr>
        <w:pStyle w:val="References"/>
        <w:numPr>
          <w:ilvl w:val="0"/>
          <w:numId w:val="4"/>
        </w:numPr>
        <w:ind w:left="397" w:hanging="397"/>
        <w:rPr>
          <w:color w:val="000000" w:themeColor="text1"/>
        </w:rPr>
      </w:pPr>
      <w:r w:rsidRPr="00A8551D">
        <w:rPr>
          <w:kern w:val="2"/>
          <w:lang w:eastAsia="zh-CN"/>
        </w:rPr>
        <w:t xml:space="preserve">W. </w:t>
      </w:r>
      <w:r w:rsidR="00D91D1E" w:rsidRPr="00A8551D">
        <w:rPr>
          <w:kern w:val="2"/>
          <w:lang w:eastAsia="zh-CN"/>
        </w:rPr>
        <w:t>Zhang</w:t>
      </w:r>
      <w:r w:rsidRPr="00A8551D">
        <w:rPr>
          <w:kern w:val="2"/>
          <w:lang w:eastAsia="zh-CN"/>
        </w:rPr>
        <w:t xml:space="preserve">, Y. F. </w:t>
      </w:r>
      <w:r w:rsidR="00D91D1E" w:rsidRPr="00A8551D">
        <w:rPr>
          <w:kern w:val="2"/>
          <w:lang w:eastAsia="zh-CN"/>
        </w:rPr>
        <w:t>Hu</w:t>
      </w:r>
      <w:r w:rsidRPr="00A8551D">
        <w:rPr>
          <w:rFonts w:hint="eastAsia"/>
          <w:kern w:val="2"/>
          <w:lang w:eastAsia="zh-CN"/>
        </w:rPr>
        <w:t>,</w:t>
      </w:r>
      <w:r w:rsidRPr="00A8551D">
        <w:rPr>
          <w:kern w:val="2"/>
          <w:lang w:eastAsia="zh-CN"/>
        </w:rPr>
        <w:t xml:space="preserve"> “</w:t>
      </w:r>
      <w:r w:rsidR="00D91D1E" w:rsidRPr="00A8551D">
        <w:rPr>
          <w:kern w:val="2"/>
          <w:lang w:eastAsia="zh-CN"/>
        </w:rPr>
        <w:t>Research on low cycle fatigue loss of steam turbine rotor based on finite element analysis</w:t>
      </w:r>
      <w:r w:rsidRPr="00A8551D">
        <w:rPr>
          <w:kern w:val="2"/>
          <w:lang w:eastAsia="zh-CN"/>
        </w:rPr>
        <w:t xml:space="preserve">,” </w:t>
      </w:r>
      <w:r w:rsidR="00786345" w:rsidRPr="00A8551D">
        <w:rPr>
          <w:i/>
          <w:iCs/>
          <w:kern w:val="2"/>
          <w:lang w:eastAsia="zh-CN"/>
        </w:rPr>
        <w:t>Journal of Engineering for T</w:t>
      </w:r>
      <w:r w:rsidR="00D91D1E" w:rsidRPr="00A8551D">
        <w:rPr>
          <w:i/>
          <w:iCs/>
          <w:kern w:val="2"/>
          <w:lang w:eastAsia="zh-CN"/>
        </w:rPr>
        <w:t xml:space="preserve">hermal </w:t>
      </w:r>
      <w:r w:rsidR="00DC16B9" w:rsidRPr="00A8551D">
        <w:rPr>
          <w:i/>
          <w:iCs/>
          <w:kern w:val="2"/>
          <w:lang w:eastAsia="zh-CN"/>
        </w:rPr>
        <w:t>E</w:t>
      </w:r>
      <w:r w:rsidR="00786345" w:rsidRPr="00A8551D">
        <w:rPr>
          <w:i/>
          <w:iCs/>
          <w:kern w:val="2"/>
          <w:lang w:eastAsia="zh-CN"/>
        </w:rPr>
        <w:t xml:space="preserve">nergy and </w:t>
      </w:r>
      <w:r w:rsidR="00D91D1E" w:rsidRPr="00A8551D">
        <w:rPr>
          <w:i/>
          <w:iCs/>
          <w:kern w:val="2"/>
          <w:lang w:eastAsia="zh-CN"/>
        </w:rPr>
        <w:t>Power</w:t>
      </w:r>
      <w:r w:rsidR="00DC16B9" w:rsidRPr="00A8551D">
        <w:rPr>
          <w:kern w:val="2"/>
          <w:lang w:eastAsia="zh-CN"/>
        </w:rPr>
        <w:t xml:space="preserve">, vol. 33, no. 09, pp. </w:t>
      </w:r>
      <w:r w:rsidR="00D91D1E" w:rsidRPr="00A8551D">
        <w:rPr>
          <w:kern w:val="2"/>
          <w:lang w:eastAsia="zh-CN"/>
        </w:rPr>
        <w:t>31-38</w:t>
      </w:r>
      <w:r w:rsidR="00DC16B9" w:rsidRPr="00A8551D">
        <w:rPr>
          <w:kern w:val="2"/>
          <w:shd w:val="clear" w:color="auto" w:fill="FFFFFF"/>
          <w:lang w:eastAsia="zh-CN"/>
        </w:rPr>
        <w:t xml:space="preserve">, </w:t>
      </w:r>
      <w:r w:rsidR="008A3CEE">
        <w:rPr>
          <w:kern w:val="2"/>
          <w:shd w:val="clear" w:color="auto" w:fill="FFFFFF"/>
          <w:lang w:eastAsia="zh-CN"/>
        </w:rPr>
        <w:t xml:space="preserve">Sep, </w:t>
      </w:r>
      <w:r w:rsidR="00DC16B9" w:rsidRPr="00A8551D">
        <w:rPr>
          <w:kern w:val="2"/>
          <w:shd w:val="clear" w:color="auto" w:fill="FFFFFF"/>
          <w:lang w:eastAsia="zh-CN"/>
        </w:rPr>
        <w:t>2018.</w:t>
      </w:r>
    </w:p>
    <w:p w14:paraId="51880F6C" w14:textId="0BB9CC38" w:rsidR="00D91D1E" w:rsidRPr="00A8551D" w:rsidRDefault="00FC5530" w:rsidP="002B7662">
      <w:pPr>
        <w:pStyle w:val="afb"/>
        <w:widowControl w:val="0"/>
        <w:numPr>
          <w:ilvl w:val="0"/>
          <w:numId w:val="4"/>
        </w:numPr>
        <w:snapToGrid w:val="0"/>
        <w:ind w:left="397" w:firstLineChars="0" w:hanging="397"/>
        <w:jc w:val="both"/>
        <w:rPr>
          <w:kern w:val="2"/>
          <w:sz w:val="16"/>
          <w:szCs w:val="16"/>
          <w:lang w:eastAsia="zh-CN"/>
        </w:rPr>
      </w:pPr>
      <w:r w:rsidRPr="00A8551D">
        <w:rPr>
          <w:kern w:val="2"/>
          <w:sz w:val="16"/>
          <w:szCs w:val="16"/>
          <w:lang w:eastAsia="zh-CN"/>
        </w:rPr>
        <w:t xml:space="preserve">L. </w:t>
      </w:r>
      <w:r w:rsidR="00D91D1E" w:rsidRPr="00A8551D">
        <w:rPr>
          <w:kern w:val="2"/>
          <w:sz w:val="16"/>
          <w:szCs w:val="16"/>
          <w:lang w:eastAsia="zh-CN"/>
        </w:rPr>
        <w:t>Lin</w:t>
      </w:r>
      <w:r w:rsidRPr="00A8551D">
        <w:rPr>
          <w:rFonts w:hint="eastAsia"/>
          <w:kern w:val="2"/>
          <w:sz w:val="16"/>
          <w:szCs w:val="16"/>
          <w:lang w:eastAsia="zh-CN"/>
        </w:rPr>
        <w:t>,</w:t>
      </w:r>
      <w:r w:rsidRPr="00A8551D">
        <w:rPr>
          <w:kern w:val="2"/>
          <w:sz w:val="16"/>
          <w:szCs w:val="16"/>
          <w:lang w:eastAsia="zh-CN"/>
        </w:rPr>
        <w:t xml:space="preserve"> L. Q. </w:t>
      </w:r>
      <w:r w:rsidR="00D91D1E" w:rsidRPr="00A8551D">
        <w:rPr>
          <w:kern w:val="2"/>
          <w:sz w:val="16"/>
          <w:szCs w:val="16"/>
          <w:lang w:eastAsia="zh-CN"/>
        </w:rPr>
        <w:t>Zou</w:t>
      </w:r>
      <w:r w:rsidR="000336D9" w:rsidRPr="00A8551D">
        <w:rPr>
          <w:kern w:val="2"/>
          <w:sz w:val="16"/>
          <w:szCs w:val="16"/>
          <w:lang w:eastAsia="zh-CN"/>
        </w:rPr>
        <w:t xml:space="preserve">, P, </w:t>
      </w:r>
      <w:r w:rsidR="00D91D1E" w:rsidRPr="00A8551D">
        <w:rPr>
          <w:kern w:val="2"/>
          <w:sz w:val="16"/>
          <w:szCs w:val="16"/>
          <w:lang w:eastAsia="zh-CN"/>
        </w:rPr>
        <w:t>Zhou</w:t>
      </w:r>
      <w:r w:rsidR="000336D9" w:rsidRPr="00A8551D">
        <w:rPr>
          <w:kern w:val="2"/>
          <w:sz w:val="16"/>
          <w:szCs w:val="16"/>
          <w:lang w:eastAsia="zh-CN"/>
        </w:rPr>
        <w:t xml:space="preserve">, </w:t>
      </w:r>
      <w:r w:rsidR="00D91D1E" w:rsidRPr="00A8551D">
        <w:rPr>
          <w:color w:val="000000"/>
          <w:sz w:val="16"/>
          <w:szCs w:val="16"/>
          <w:lang w:eastAsia="zh-CN"/>
        </w:rPr>
        <w:t>et al</w:t>
      </w:r>
      <w:r w:rsidR="000336D9" w:rsidRPr="00A8551D">
        <w:rPr>
          <w:rFonts w:hint="eastAsia"/>
          <w:color w:val="000000"/>
          <w:sz w:val="16"/>
          <w:szCs w:val="16"/>
          <w:lang w:eastAsia="zh-CN"/>
        </w:rPr>
        <w:t>.</w:t>
      </w:r>
      <w:r w:rsidR="000336D9" w:rsidRPr="00A8551D">
        <w:rPr>
          <w:color w:val="000000"/>
          <w:sz w:val="16"/>
          <w:szCs w:val="16"/>
          <w:lang w:eastAsia="zh-CN"/>
        </w:rPr>
        <w:t xml:space="preserve"> “</w:t>
      </w:r>
      <w:proofErr w:type="gramStart"/>
      <w:r w:rsidR="00D91D1E" w:rsidRPr="00A8551D">
        <w:rPr>
          <w:kern w:val="2"/>
          <w:sz w:val="16"/>
          <w:szCs w:val="16"/>
          <w:lang w:eastAsia="zh-CN"/>
        </w:rPr>
        <w:t>Multi-angle</w:t>
      </w:r>
      <w:proofErr w:type="gramEnd"/>
      <w:r w:rsidR="00D91D1E" w:rsidRPr="00A8551D">
        <w:rPr>
          <w:kern w:val="2"/>
          <w:sz w:val="16"/>
          <w:szCs w:val="16"/>
          <w:lang w:eastAsia="zh-CN"/>
        </w:rPr>
        <w:t xml:space="preserve"> economic analysis of deep peak regulation of thermal power units under the condition of large-scale wind power grid connection</w:t>
      </w:r>
      <w:r w:rsidR="000336D9" w:rsidRPr="00A8551D">
        <w:rPr>
          <w:kern w:val="2"/>
          <w:sz w:val="16"/>
          <w:szCs w:val="16"/>
          <w:lang w:eastAsia="zh-CN"/>
        </w:rPr>
        <w:t xml:space="preserve">,” </w:t>
      </w:r>
      <w:r w:rsidR="00D91D1E" w:rsidRPr="00A8551D">
        <w:rPr>
          <w:i/>
          <w:iCs/>
          <w:kern w:val="2"/>
          <w:sz w:val="16"/>
          <w:szCs w:val="16"/>
          <w:lang w:eastAsia="zh-CN"/>
        </w:rPr>
        <w:t>Automation of Electric Power Systems</w:t>
      </w:r>
      <w:r w:rsidR="000336D9" w:rsidRPr="00A8551D">
        <w:rPr>
          <w:rFonts w:hint="eastAsia"/>
          <w:kern w:val="2"/>
          <w:sz w:val="16"/>
          <w:szCs w:val="16"/>
          <w:lang w:eastAsia="zh-CN"/>
        </w:rPr>
        <w:t>,</w:t>
      </w:r>
      <w:r w:rsidR="000336D9" w:rsidRPr="00A8551D">
        <w:rPr>
          <w:kern w:val="2"/>
          <w:sz w:val="16"/>
          <w:szCs w:val="16"/>
          <w:lang w:eastAsia="zh-CN"/>
        </w:rPr>
        <w:t xml:space="preserve"> vol. 41, no. 07, pp. </w:t>
      </w:r>
      <w:r w:rsidR="00D91D1E" w:rsidRPr="00A8551D">
        <w:rPr>
          <w:kern w:val="2"/>
          <w:sz w:val="16"/>
          <w:szCs w:val="16"/>
          <w:lang w:eastAsia="zh-CN"/>
        </w:rPr>
        <w:t>21-27</w:t>
      </w:r>
      <w:r w:rsidR="000336D9" w:rsidRPr="00A8551D">
        <w:rPr>
          <w:kern w:val="2"/>
          <w:sz w:val="16"/>
          <w:szCs w:val="16"/>
          <w:lang w:eastAsia="zh-CN"/>
        </w:rPr>
        <w:t xml:space="preserve">, </w:t>
      </w:r>
      <w:r w:rsidR="008A3CEE">
        <w:rPr>
          <w:kern w:val="2"/>
          <w:sz w:val="16"/>
          <w:szCs w:val="16"/>
          <w:lang w:eastAsia="zh-CN"/>
        </w:rPr>
        <w:t xml:space="preserve">April, </w:t>
      </w:r>
      <w:r w:rsidR="000336D9" w:rsidRPr="00A8551D">
        <w:rPr>
          <w:kern w:val="2"/>
          <w:sz w:val="16"/>
          <w:szCs w:val="16"/>
          <w:lang w:eastAsia="zh-CN"/>
        </w:rPr>
        <w:t>2017.</w:t>
      </w:r>
    </w:p>
    <w:p w14:paraId="4596279B" w14:textId="126DEB2E" w:rsidR="00D91D1E" w:rsidRPr="00A8551D" w:rsidRDefault="00D91D1E" w:rsidP="002B7662">
      <w:pPr>
        <w:pStyle w:val="afb"/>
        <w:widowControl w:val="0"/>
        <w:numPr>
          <w:ilvl w:val="0"/>
          <w:numId w:val="4"/>
        </w:numPr>
        <w:snapToGrid w:val="0"/>
        <w:ind w:left="397" w:firstLineChars="0" w:hanging="397"/>
        <w:jc w:val="both"/>
        <w:rPr>
          <w:kern w:val="2"/>
          <w:sz w:val="16"/>
          <w:szCs w:val="16"/>
          <w:lang w:eastAsia="zh-CN"/>
        </w:rPr>
      </w:pPr>
      <w:r w:rsidRPr="00A8551D">
        <w:rPr>
          <w:kern w:val="2"/>
          <w:sz w:val="16"/>
          <w:szCs w:val="16"/>
          <w:lang w:eastAsia="zh-CN"/>
        </w:rPr>
        <w:t>D. Zhou</w:t>
      </w:r>
      <w:r w:rsidR="00F00DB7" w:rsidRPr="00A8551D">
        <w:rPr>
          <w:kern w:val="2"/>
          <w:sz w:val="16"/>
          <w:szCs w:val="16"/>
          <w:lang w:eastAsia="zh-CN"/>
        </w:rPr>
        <w:t xml:space="preserve">, F, </w:t>
      </w:r>
      <w:proofErr w:type="spellStart"/>
      <w:r w:rsidRPr="00A8551D">
        <w:rPr>
          <w:kern w:val="2"/>
          <w:sz w:val="16"/>
          <w:szCs w:val="16"/>
          <w:lang w:eastAsia="zh-CN"/>
        </w:rPr>
        <w:t>Blaabjerg</w:t>
      </w:r>
      <w:proofErr w:type="spellEnd"/>
      <w:r w:rsidR="00F00DB7" w:rsidRPr="00A8551D">
        <w:rPr>
          <w:rFonts w:hint="eastAsia"/>
          <w:kern w:val="2"/>
          <w:sz w:val="16"/>
          <w:szCs w:val="16"/>
          <w:lang w:eastAsia="zh-CN"/>
        </w:rPr>
        <w:t>,</w:t>
      </w:r>
      <w:r w:rsidR="00F00DB7" w:rsidRPr="00A8551D">
        <w:rPr>
          <w:kern w:val="2"/>
          <w:sz w:val="16"/>
          <w:szCs w:val="16"/>
          <w:lang w:eastAsia="zh-CN"/>
        </w:rPr>
        <w:t xml:space="preserve"> T, </w:t>
      </w:r>
      <w:r w:rsidRPr="00A8551D">
        <w:rPr>
          <w:kern w:val="2"/>
          <w:sz w:val="16"/>
          <w:szCs w:val="16"/>
          <w:lang w:eastAsia="zh-CN"/>
        </w:rPr>
        <w:t>Franke</w:t>
      </w:r>
      <w:r w:rsidR="00F00DB7" w:rsidRPr="00A8551D">
        <w:rPr>
          <w:kern w:val="2"/>
          <w:sz w:val="16"/>
          <w:szCs w:val="16"/>
          <w:lang w:eastAsia="zh-CN"/>
        </w:rPr>
        <w:t xml:space="preserve">, </w:t>
      </w:r>
      <w:r w:rsidRPr="00A8551D">
        <w:rPr>
          <w:kern w:val="2"/>
          <w:sz w:val="16"/>
          <w:szCs w:val="16"/>
          <w:lang w:eastAsia="zh-CN"/>
        </w:rPr>
        <w:t>et al</w:t>
      </w:r>
      <w:r w:rsidR="00F00DB7" w:rsidRPr="00A8551D">
        <w:rPr>
          <w:rFonts w:hint="eastAsia"/>
          <w:kern w:val="2"/>
          <w:sz w:val="16"/>
          <w:szCs w:val="16"/>
          <w:lang w:eastAsia="zh-CN"/>
        </w:rPr>
        <w:t>.</w:t>
      </w:r>
      <w:r w:rsidR="00F00DB7" w:rsidRPr="00A8551D">
        <w:rPr>
          <w:kern w:val="2"/>
          <w:sz w:val="16"/>
          <w:szCs w:val="16"/>
          <w:lang w:eastAsia="zh-CN"/>
        </w:rPr>
        <w:t xml:space="preserve"> “</w:t>
      </w:r>
      <w:bookmarkStart w:id="80" w:name="OLE_LINK74"/>
      <w:r w:rsidRPr="00A8551D">
        <w:rPr>
          <w:kern w:val="2"/>
          <w:sz w:val="16"/>
          <w:szCs w:val="16"/>
          <w:lang w:eastAsia="zh-CN"/>
        </w:rPr>
        <w:t xml:space="preserve">Comparison of Wind Power Converter Reliability </w:t>
      </w:r>
      <w:proofErr w:type="gramStart"/>
      <w:r w:rsidRPr="00A8551D">
        <w:rPr>
          <w:kern w:val="2"/>
          <w:sz w:val="16"/>
          <w:szCs w:val="16"/>
          <w:lang w:eastAsia="zh-CN"/>
        </w:rPr>
        <w:t>With</w:t>
      </w:r>
      <w:proofErr w:type="gramEnd"/>
      <w:r w:rsidRPr="00A8551D">
        <w:rPr>
          <w:kern w:val="2"/>
          <w:sz w:val="16"/>
          <w:szCs w:val="16"/>
          <w:lang w:eastAsia="zh-CN"/>
        </w:rPr>
        <w:t xml:space="preserve"> Low-Speed and Medium-Speed Permanent-Magnet Synchronous Generators</w:t>
      </w:r>
      <w:bookmarkEnd w:id="80"/>
      <w:r w:rsidR="00F00DB7" w:rsidRPr="00A8551D">
        <w:rPr>
          <w:kern w:val="2"/>
          <w:sz w:val="16"/>
          <w:szCs w:val="16"/>
          <w:lang w:eastAsia="zh-CN"/>
        </w:rPr>
        <w:t>,”</w:t>
      </w:r>
      <w:r w:rsidR="00F00DB7" w:rsidRPr="00A8551D">
        <w:rPr>
          <w:rFonts w:hint="eastAsia"/>
          <w:kern w:val="2"/>
          <w:sz w:val="16"/>
          <w:szCs w:val="16"/>
          <w:lang w:eastAsia="zh-CN"/>
        </w:rPr>
        <w:t xml:space="preserve"> </w:t>
      </w:r>
      <w:r w:rsidR="00F00DB7" w:rsidRPr="00A8551D">
        <w:rPr>
          <w:i/>
          <w:iCs/>
          <w:kern w:val="2"/>
          <w:sz w:val="16"/>
          <w:szCs w:val="16"/>
          <w:lang w:eastAsia="zh-CN"/>
        </w:rPr>
        <w:t xml:space="preserve">IEEE Transactions on </w:t>
      </w:r>
      <w:r w:rsidRPr="00A8551D">
        <w:rPr>
          <w:i/>
          <w:iCs/>
          <w:kern w:val="2"/>
          <w:sz w:val="16"/>
          <w:szCs w:val="16"/>
          <w:lang w:eastAsia="zh-CN"/>
        </w:rPr>
        <w:t>Industrial Electronics</w:t>
      </w:r>
      <w:r w:rsidR="00FC5530" w:rsidRPr="00A8551D">
        <w:rPr>
          <w:rFonts w:hint="eastAsia"/>
          <w:kern w:val="2"/>
          <w:sz w:val="16"/>
          <w:szCs w:val="16"/>
          <w:lang w:eastAsia="zh-CN"/>
        </w:rPr>
        <w:t>,</w:t>
      </w:r>
      <w:r w:rsidR="00FC5530" w:rsidRPr="00A8551D">
        <w:rPr>
          <w:kern w:val="2"/>
          <w:sz w:val="16"/>
          <w:szCs w:val="16"/>
          <w:lang w:eastAsia="zh-CN"/>
        </w:rPr>
        <w:t xml:space="preserve"> vol. 62, no. 10, pp. </w:t>
      </w:r>
      <w:r w:rsidRPr="00A8551D">
        <w:rPr>
          <w:kern w:val="2"/>
          <w:sz w:val="16"/>
          <w:szCs w:val="16"/>
          <w:lang w:eastAsia="zh-CN"/>
        </w:rPr>
        <w:t>6575-6584</w:t>
      </w:r>
      <w:r w:rsidR="00FC5530" w:rsidRPr="00A8551D">
        <w:rPr>
          <w:kern w:val="2"/>
          <w:sz w:val="16"/>
          <w:szCs w:val="16"/>
          <w:lang w:eastAsia="zh-CN"/>
        </w:rPr>
        <w:t xml:space="preserve">, </w:t>
      </w:r>
      <w:r w:rsidR="00F7418C">
        <w:rPr>
          <w:kern w:val="2"/>
          <w:sz w:val="16"/>
          <w:szCs w:val="16"/>
          <w:lang w:eastAsia="zh-CN"/>
        </w:rPr>
        <w:t xml:space="preserve">Oct, </w:t>
      </w:r>
      <w:r w:rsidR="00FC5530" w:rsidRPr="00A8551D">
        <w:rPr>
          <w:kern w:val="2"/>
          <w:sz w:val="16"/>
          <w:szCs w:val="16"/>
          <w:lang w:eastAsia="zh-CN"/>
        </w:rPr>
        <w:t>2015</w:t>
      </w:r>
      <w:r w:rsidR="00157703">
        <w:rPr>
          <w:rFonts w:hint="eastAsia"/>
          <w:kern w:val="2"/>
          <w:sz w:val="16"/>
          <w:szCs w:val="16"/>
          <w:lang w:eastAsia="zh-CN"/>
        </w:rPr>
        <w:t>.</w:t>
      </w:r>
    </w:p>
    <w:bookmarkEnd w:id="71"/>
    <w:p w14:paraId="3FF95BA3" w14:textId="77777777" w:rsidR="00A83F22" w:rsidRPr="00DC0FAC" w:rsidRDefault="00A83F22" w:rsidP="00424575">
      <w:pPr>
        <w:pStyle w:val="References"/>
        <w:rPr>
          <w:rFonts w:ascii="TimesNewRomanPSMT" w:hAnsi="TimesNewRomanPSMT" w:cs="TimesNewRomanPSMT"/>
          <w:color w:val="000000" w:themeColor="text1"/>
          <w:lang w:eastAsia="zh-CN"/>
        </w:rPr>
      </w:pPr>
    </w:p>
    <w:p w14:paraId="6D572294" w14:textId="7AB69F48" w:rsidR="0028287E" w:rsidRDefault="0028287E" w:rsidP="0028287E">
      <w:pPr>
        <w:pStyle w:val="References"/>
        <w:rPr>
          <w:color w:val="000000" w:themeColor="text1"/>
          <w:sz w:val="20"/>
          <w:szCs w:val="20"/>
        </w:rPr>
      </w:pPr>
      <w:r w:rsidRPr="0028287E">
        <w:rPr>
          <w:b/>
          <w:bCs/>
          <w:color w:val="000000" w:themeColor="text1"/>
          <w:sz w:val="20"/>
          <w:szCs w:val="20"/>
        </w:rPr>
        <w:t>Gengming Liu</w:t>
      </w:r>
      <w:r w:rsidRPr="0028287E">
        <w:rPr>
          <w:color w:val="000000" w:themeColor="text1"/>
          <w:sz w:val="20"/>
          <w:szCs w:val="20"/>
        </w:rPr>
        <w:t xml:space="preserve"> received B.S. degree in electrical engineering and automation from North China Electrical Power University in 2019. He is currently working towards master degree in the School of Electric and Electronic Engineering, North China Electrical Power University, Beijing, China. His major interests include </w:t>
      </w:r>
      <w:r w:rsidR="008B002A">
        <w:rPr>
          <w:color w:val="000000" w:themeColor="text1"/>
          <w:sz w:val="20"/>
          <w:szCs w:val="20"/>
        </w:rPr>
        <w:t xml:space="preserve">the planning and operation of energy storage system and </w:t>
      </w:r>
      <w:bookmarkStart w:id="81" w:name="OLE_LINK6"/>
      <w:r w:rsidRPr="0028287E">
        <w:rPr>
          <w:color w:val="000000" w:themeColor="text1"/>
          <w:sz w:val="20"/>
          <w:szCs w:val="20"/>
        </w:rPr>
        <w:t>vulnerability analysis of cyber physical system</w:t>
      </w:r>
      <w:bookmarkEnd w:id="81"/>
      <w:r w:rsidRPr="0028287E">
        <w:rPr>
          <w:color w:val="000000" w:themeColor="text1"/>
          <w:sz w:val="20"/>
          <w:szCs w:val="20"/>
        </w:rPr>
        <w:t>.</w:t>
      </w:r>
    </w:p>
    <w:p w14:paraId="7A0DFB7D" w14:textId="77777777" w:rsidR="009F7A0E" w:rsidRPr="0028287E" w:rsidRDefault="009F7A0E" w:rsidP="0028287E">
      <w:pPr>
        <w:pStyle w:val="References"/>
        <w:rPr>
          <w:color w:val="000000" w:themeColor="text1"/>
          <w:sz w:val="20"/>
          <w:szCs w:val="20"/>
        </w:rPr>
      </w:pPr>
    </w:p>
    <w:p w14:paraId="73676298" w14:textId="62B64EAC" w:rsidR="009F7A0E" w:rsidRPr="009F7A0E" w:rsidRDefault="009F7A0E" w:rsidP="009F7A0E">
      <w:pPr>
        <w:pStyle w:val="FigureCaption"/>
        <w:rPr>
          <w:sz w:val="20"/>
          <w:szCs w:val="20"/>
        </w:rPr>
      </w:pPr>
      <w:r w:rsidRPr="009F7A0E">
        <w:rPr>
          <w:b/>
          <w:bCs/>
          <w:sz w:val="20"/>
          <w:szCs w:val="20"/>
        </w:rPr>
        <w:t>Wenxia Liu</w:t>
      </w:r>
      <w:r w:rsidR="00C82584">
        <w:rPr>
          <w:b/>
          <w:bCs/>
          <w:sz w:val="20"/>
          <w:szCs w:val="20"/>
        </w:rPr>
        <w:t xml:space="preserve"> </w:t>
      </w:r>
      <w:r w:rsidRPr="009F7A0E">
        <w:rPr>
          <w:sz w:val="20"/>
          <w:szCs w:val="20"/>
        </w:rPr>
        <w:t>(M</w:t>
      </w:r>
      <w:r w:rsidR="009F4F60">
        <w:rPr>
          <w:sz w:val="20"/>
          <w:szCs w:val="20"/>
        </w:rPr>
        <w:t>’11</w:t>
      </w:r>
      <w:r w:rsidRPr="009F7A0E">
        <w:rPr>
          <w:sz w:val="20"/>
          <w:szCs w:val="20"/>
        </w:rPr>
        <w:t>)</w:t>
      </w:r>
      <w:r w:rsidRPr="009F7A0E">
        <w:rPr>
          <w:b/>
          <w:bCs/>
          <w:sz w:val="20"/>
          <w:szCs w:val="20"/>
        </w:rPr>
        <w:t xml:space="preserve"> </w:t>
      </w:r>
      <w:r w:rsidRPr="009F7A0E">
        <w:rPr>
          <w:sz w:val="20"/>
          <w:szCs w:val="20"/>
        </w:rPr>
        <w:t xml:space="preserve">received B.S. degree in Radio technology from Nanjing University of Science and Technology in 1990, and obtained M.S. degree and PhD degree in electrical engineering and automation from Northeast of China Electrical power University and North China Electrical Power University in 1995 and 2009, respectively. She is currently </w:t>
      </w:r>
      <w:bookmarkStart w:id="82" w:name="OLE_LINK5"/>
      <w:r w:rsidR="00EF68ED">
        <w:rPr>
          <w:sz w:val="20"/>
          <w:szCs w:val="20"/>
        </w:rPr>
        <w:t xml:space="preserve">a </w:t>
      </w:r>
      <w:r w:rsidRPr="009F7A0E">
        <w:rPr>
          <w:sz w:val="20"/>
          <w:szCs w:val="20"/>
        </w:rPr>
        <w:t xml:space="preserve">professor in </w:t>
      </w:r>
      <w:bookmarkStart w:id="83" w:name="OLE_LINK4"/>
      <w:r w:rsidRPr="009F7A0E">
        <w:rPr>
          <w:sz w:val="20"/>
          <w:szCs w:val="20"/>
        </w:rPr>
        <w:t>the School of Electric and Electronic Engineering, North China Electrical Power University, Beijing, China.</w:t>
      </w:r>
      <w:bookmarkEnd w:id="82"/>
      <w:r w:rsidRPr="009F7A0E">
        <w:rPr>
          <w:sz w:val="20"/>
          <w:szCs w:val="20"/>
        </w:rPr>
        <w:t xml:space="preserve"> Her research interests include risk assessment in power system, cyber-physical power systems security.</w:t>
      </w:r>
    </w:p>
    <w:bookmarkEnd w:id="83"/>
    <w:p w14:paraId="057BC0F0" w14:textId="073AD27D" w:rsidR="0028287E" w:rsidRDefault="0028287E" w:rsidP="008B2DF9">
      <w:pPr>
        <w:pStyle w:val="FigureCaption"/>
        <w:rPr>
          <w:sz w:val="20"/>
          <w:szCs w:val="20"/>
        </w:rPr>
      </w:pPr>
    </w:p>
    <w:p w14:paraId="3F5F5611" w14:textId="225E5DF9" w:rsidR="00677A86" w:rsidRDefault="00937D7D" w:rsidP="00677A86">
      <w:pPr>
        <w:pStyle w:val="FigureCaption"/>
        <w:rPr>
          <w:sz w:val="20"/>
          <w:szCs w:val="20"/>
        </w:rPr>
      </w:pPr>
      <w:proofErr w:type="spellStart"/>
      <w:r w:rsidRPr="00937D7D">
        <w:rPr>
          <w:b/>
          <w:bCs/>
          <w:sz w:val="20"/>
          <w:szCs w:val="20"/>
        </w:rPr>
        <w:lastRenderedPageBreak/>
        <w:t>Qingxin</w:t>
      </w:r>
      <w:proofErr w:type="spellEnd"/>
      <w:r w:rsidRPr="00937D7D">
        <w:rPr>
          <w:b/>
          <w:bCs/>
          <w:sz w:val="20"/>
          <w:szCs w:val="20"/>
        </w:rPr>
        <w:t xml:space="preserve"> Shi</w:t>
      </w:r>
      <w:r w:rsidRPr="00937D7D">
        <w:rPr>
          <w:sz w:val="20"/>
          <w:szCs w:val="20"/>
        </w:rPr>
        <w:t xml:space="preserve"> (</w:t>
      </w:r>
      <w:r w:rsidR="009F4F60">
        <w:rPr>
          <w:sz w:val="20"/>
          <w:szCs w:val="20"/>
        </w:rPr>
        <w:t>S’11-M’19</w:t>
      </w:r>
      <w:r w:rsidRPr="00937D7D">
        <w:rPr>
          <w:sz w:val="20"/>
          <w:szCs w:val="20"/>
        </w:rPr>
        <w:t>) received the B.S. and</w:t>
      </w:r>
      <w:r>
        <w:rPr>
          <w:rFonts w:hint="eastAsia"/>
          <w:sz w:val="20"/>
          <w:szCs w:val="20"/>
          <w:lang w:eastAsia="zh-CN"/>
        </w:rPr>
        <w:t xml:space="preserve"> </w:t>
      </w:r>
      <w:r w:rsidRPr="00937D7D">
        <w:rPr>
          <w:sz w:val="20"/>
          <w:szCs w:val="20"/>
        </w:rPr>
        <w:t>M.Sc. degrees from Zhejiang University, China, and</w:t>
      </w:r>
      <w:r>
        <w:rPr>
          <w:rFonts w:hint="eastAsia"/>
          <w:sz w:val="20"/>
          <w:szCs w:val="20"/>
          <w:lang w:eastAsia="zh-CN"/>
        </w:rPr>
        <w:t xml:space="preserve"> </w:t>
      </w:r>
      <w:r w:rsidRPr="00937D7D">
        <w:rPr>
          <w:sz w:val="20"/>
          <w:szCs w:val="20"/>
        </w:rPr>
        <w:t>University of Alberta, Canada, in 2011 and 2014,</w:t>
      </w:r>
      <w:r>
        <w:rPr>
          <w:sz w:val="20"/>
          <w:szCs w:val="20"/>
        </w:rPr>
        <w:t xml:space="preserve"> </w:t>
      </w:r>
      <w:r w:rsidRPr="00937D7D">
        <w:rPr>
          <w:sz w:val="20"/>
          <w:szCs w:val="20"/>
        </w:rPr>
        <w:t>respectively. He received the Ph.D. degree in 2019</w:t>
      </w:r>
      <w:r>
        <w:rPr>
          <w:rFonts w:hint="eastAsia"/>
          <w:sz w:val="20"/>
          <w:szCs w:val="20"/>
          <w:lang w:eastAsia="zh-CN"/>
        </w:rPr>
        <w:t xml:space="preserve"> </w:t>
      </w:r>
      <w:r w:rsidRPr="00937D7D">
        <w:rPr>
          <w:sz w:val="20"/>
          <w:szCs w:val="20"/>
        </w:rPr>
        <w:t>from the University of Tennessee, Knoxville, USA</w:t>
      </w:r>
      <w:r w:rsidR="004A3FA9">
        <w:rPr>
          <w:sz w:val="20"/>
          <w:szCs w:val="20"/>
        </w:rPr>
        <w:t>, where he worked as a research assistant professor until 2020.</w:t>
      </w:r>
      <w:r>
        <w:rPr>
          <w:rFonts w:hint="eastAsia"/>
          <w:sz w:val="20"/>
          <w:szCs w:val="20"/>
          <w:lang w:eastAsia="zh-CN"/>
        </w:rPr>
        <w:t xml:space="preserve"> </w:t>
      </w:r>
      <w:r w:rsidR="004B556A">
        <w:rPr>
          <w:sz w:val="20"/>
          <w:szCs w:val="20"/>
          <w:lang w:eastAsia="zh-CN"/>
        </w:rPr>
        <w:t xml:space="preserve">He is </w:t>
      </w:r>
      <w:r w:rsidR="004A3FA9">
        <w:rPr>
          <w:sz w:val="20"/>
          <w:szCs w:val="20"/>
          <w:lang w:eastAsia="zh-CN"/>
        </w:rPr>
        <w:t>working as an assi</w:t>
      </w:r>
      <w:r w:rsidR="00DF6722">
        <w:rPr>
          <w:sz w:val="20"/>
          <w:szCs w:val="20"/>
          <w:lang w:eastAsia="zh-CN"/>
        </w:rPr>
        <w:t>stant professor</w:t>
      </w:r>
      <w:r w:rsidR="00DF6722">
        <w:rPr>
          <w:sz w:val="20"/>
          <w:szCs w:val="20"/>
        </w:rPr>
        <w:t xml:space="preserve"> in </w:t>
      </w:r>
      <w:r w:rsidR="00EF68ED" w:rsidRPr="009F7A0E">
        <w:rPr>
          <w:sz w:val="20"/>
          <w:szCs w:val="20"/>
        </w:rPr>
        <w:t>North China Electrical Power University, Beijing, China</w:t>
      </w:r>
      <w:r w:rsidRPr="00937D7D">
        <w:rPr>
          <w:sz w:val="20"/>
          <w:szCs w:val="20"/>
        </w:rPr>
        <w:t>.</w:t>
      </w:r>
      <w:r>
        <w:rPr>
          <w:rFonts w:hint="eastAsia"/>
          <w:sz w:val="20"/>
          <w:szCs w:val="20"/>
          <w:lang w:eastAsia="zh-CN"/>
        </w:rPr>
        <w:t xml:space="preserve"> </w:t>
      </w:r>
      <w:r w:rsidRPr="00937D7D">
        <w:rPr>
          <w:sz w:val="20"/>
          <w:szCs w:val="20"/>
        </w:rPr>
        <w:t>His research interests include demand response</w:t>
      </w:r>
      <w:r>
        <w:rPr>
          <w:rFonts w:hint="eastAsia"/>
          <w:sz w:val="20"/>
          <w:szCs w:val="20"/>
          <w:lang w:eastAsia="zh-CN"/>
        </w:rPr>
        <w:t xml:space="preserve"> </w:t>
      </w:r>
      <w:r w:rsidRPr="00937D7D">
        <w:rPr>
          <w:sz w:val="20"/>
          <w:szCs w:val="20"/>
        </w:rPr>
        <w:t>and distribution system resilience.</w:t>
      </w:r>
    </w:p>
    <w:p w14:paraId="01B1343E" w14:textId="106742B3" w:rsidR="00AD1D34" w:rsidRPr="00A016E0" w:rsidRDefault="00AD1D34">
      <w:pPr>
        <w:pStyle w:val="FigureCaption"/>
        <w:rPr>
          <w:sz w:val="20"/>
          <w:szCs w:val="20"/>
        </w:rPr>
      </w:pPr>
    </w:p>
    <w:sectPr w:rsidR="00AD1D34" w:rsidRPr="00A016E0" w:rsidSect="00143F2E">
      <w:headerReference w:type="even" r:id="rId76"/>
      <w:headerReference w:type="default" r:id="rId77"/>
      <w:headerReference w:type="first" r:id="rId78"/>
      <w:footerReference w:type="first" r:id="rId79"/>
      <w:type w:val="continuous"/>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5CA0F" w14:textId="77777777" w:rsidR="00A14966" w:rsidRDefault="00A14966">
      <w:r>
        <w:separator/>
      </w:r>
    </w:p>
  </w:endnote>
  <w:endnote w:type="continuationSeparator" w:id="0">
    <w:p w14:paraId="2BDD2DB0" w14:textId="77777777" w:rsidR="00A14966" w:rsidRDefault="00A14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skerville">
    <w:charset w:val="00"/>
    <w:family w:val="auto"/>
    <w:pitch w:val="variable"/>
    <w:sig w:usb0="80000063" w:usb1="00000000" w:usb2="00000000" w:usb3="00000000" w:csb0="000001FB" w:csb1="00000000"/>
  </w:font>
  <w:font w:name="Formata-Regular">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211FD" w14:textId="77777777" w:rsidR="00DF4BFA" w:rsidRPr="0090176F" w:rsidRDefault="00DF4BFA" w:rsidP="0090176F">
    <w:pPr>
      <w:pStyle w:val="a7"/>
      <w:jc w:val="center"/>
      <w:rPr>
        <w:sz w:val="16"/>
        <w:szCs w:val="16"/>
      </w:rPr>
    </w:pPr>
  </w:p>
  <w:p w14:paraId="027905F5" w14:textId="77777777" w:rsidR="00DF4BFA" w:rsidRDefault="00DF4BF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9FFEA" w14:textId="77777777" w:rsidR="00A14966" w:rsidRDefault="00A14966"/>
  </w:footnote>
  <w:footnote w:type="continuationSeparator" w:id="0">
    <w:p w14:paraId="4E1BE034" w14:textId="77777777" w:rsidR="00A14966" w:rsidRDefault="00A14966">
      <w:r>
        <w:continuationSeparator/>
      </w:r>
    </w:p>
  </w:footnote>
  <w:footnote w:id="1">
    <w:p w14:paraId="4EC98397" w14:textId="310C148F" w:rsidR="00DF4BFA" w:rsidRDefault="00DF4BFA" w:rsidP="00732BEA">
      <w:pPr>
        <w:pStyle w:val="a4"/>
        <w:ind w:firstLine="0"/>
        <w:rPr>
          <w:lang w:eastAsia="zh-CN"/>
        </w:rPr>
      </w:pPr>
      <w:r>
        <w:rPr>
          <w:rFonts w:hint="eastAsia"/>
          <w:lang w:eastAsia="zh-CN"/>
        </w:rPr>
        <w:t>_____________________________________</w:t>
      </w:r>
    </w:p>
    <w:p w14:paraId="377D81E6" w14:textId="77777777" w:rsidR="00052601" w:rsidRDefault="00052601" w:rsidP="00732BEA">
      <w:pPr>
        <w:pStyle w:val="a4"/>
        <w:ind w:firstLine="0"/>
        <w:rPr>
          <w:lang w:eastAsia="zh-CN"/>
        </w:rPr>
      </w:pPr>
    </w:p>
    <w:p w14:paraId="188694F6" w14:textId="6710E4F1" w:rsidR="00F0736F" w:rsidRDefault="009939B3" w:rsidP="00F0736F">
      <w:pPr>
        <w:pStyle w:val="a4"/>
        <w:rPr>
          <w:lang w:eastAsia="zh-CN"/>
        </w:rPr>
      </w:pPr>
      <w:r>
        <w:t>G</w:t>
      </w:r>
      <w:r w:rsidR="00493A78">
        <w:t>.</w:t>
      </w:r>
      <w:r w:rsidR="0097323D">
        <w:rPr>
          <w:lang w:eastAsia="zh-CN"/>
        </w:rPr>
        <w:t xml:space="preserve"> Liu</w:t>
      </w:r>
      <w:r w:rsidR="00036FF6">
        <w:rPr>
          <w:lang w:eastAsia="zh-CN"/>
        </w:rPr>
        <w:t>, W</w:t>
      </w:r>
      <w:r w:rsidR="00493A78">
        <w:rPr>
          <w:lang w:eastAsia="zh-CN"/>
        </w:rPr>
        <w:t>.</w:t>
      </w:r>
      <w:r w:rsidR="00036FF6">
        <w:rPr>
          <w:lang w:eastAsia="zh-CN"/>
        </w:rPr>
        <w:t xml:space="preserve"> Liu, Q</w:t>
      </w:r>
      <w:r w:rsidR="00493A78">
        <w:rPr>
          <w:lang w:eastAsia="zh-CN"/>
        </w:rPr>
        <w:t>.</w:t>
      </w:r>
      <w:r w:rsidR="00036FF6">
        <w:rPr>
          <w:lang w:eastAsia="zh-CN"/>
        </w:rPr>
        <w:t xml:space="preserve"> Shi </w:t>
      </w:r>
      <w:bookmarkStart w:id="2" w:name="OLE_LINK20"/>
      <w:r w:rsidR="00DF4BFA">
        <w:t>(</w:t>
      </w:r>
      <w:r w:rsidR="00DF4BFA">
        <w:rPr>
          <w:rFonts w:hint="eastAsia"/>
          <w:lang w:eastAsia="zh-CN"/>
        </w:rPr>
        <w:t>corresponding author</w:t>
      </w:r>
      <w:r w:rsidR="00DF4BFA">
        <w:rPr>
          <w:lang w:eastAsia="zh-CN"/>
        </w:rPr>
        <w:t>)</w:t>
      </w:r>
      <w:bookmarkEnd w:id="2"/>
      <w:r w:rsidR="00612BA7">
        <w:rPr>
          <w:lang w:eastAsia="zh-CN"/>
        </w:rPr>
        <w:t xml:space="preserve"> </w:t>
      </w:r>
      <w:r w:rsidR="00036FF6">
        <w:rPr>
          <w:lang w:eastAsia="zh-CN"/>
        </w:rPr>
        <w:t xml:space="preserve">are with the school of electrical and electronic </w:t>
      </w:r>
      <w:r w:rsidR="00165EF5">
        <w:rPr>
          <w:lang w:eastAsia="zh-CN"/>
        </w:rPr>
        <w:t>engineering, North China Electric Power University</w:t>
      </w:r>
      <w:r w:rsidR="00F6351D">
        <w:rPr>
          <w:lang w:eastAsia="zh-CN"/>
        </w:rPr>
        <w:t xml:space="preserve">, Beijing, China (e-mail: </w:t>
      </w:r>
      <w:hyperlink r:id="rId1" w:history="1">
        <w:r w:rsidR="00F6351D" w:rsidRPr="005A3C97">
          <w:rPr>
            <w:rStyle w:val="ab"/>
            <w:lang w:eastAsia="zh-CN"/>
          </w:rPr>
          <w:t>gengmliuee@ncepu.edu.cn</w:t>
        </w:r>
      </w:hyperlink>
      <w:r w:rsidR="00F6351D">
        <w:rPr>
          <w:lang w:eastAsia="zh-CN"/>
        </w:rPr>
        <w:t xml:space="preserve">; </w:t>
      </w:r>
      <w:hyperlink r:id="rId2" w:history="1">
        <w:r w:rsidR="00F6351D" w:rsidRPr="005A3C97">
          <w:rPr>
            <w:rStyle w:val="ab"/>
            <w:lang w:eastAsia="zh-CN"/>
          </w:rPr>
          <w:t>liuwenxia001@163.com</w:t>
        </w:r>
      </w:hyperlink>
      <w:r w:rsidR="00F6351D">
        <w:rPr>
          <w:lang w:eastAsia="zh-CN"/>
        </w:rPr>
        <w:t xml:space="preserve">; </w:t>
      </w:r>
      <w:hyperlink r:id="rId3" w:history="1">
        <w:r w:rsidR="00493A78" w:rsidRPr="005A3C97">
          <w:rPr>
            <w:rStyle w:val="ab"/>
            <w:lang w:eastAsia="zh-CN"/>
          </w:rPr>
          <w:t>qshi@ncepu.edu.cn</w:t>
        </w:r>
      </w:hyperlink>
      <w:r w:rsidR="00F6351D" w:rsidRPr="00A91B16">
        <w:rPr>
          <w:rStyle w:val="ab"/>
        </w:rPr>
        <w:t>)</w:t>
      </w:r>
      <w:r w:rsidR="00A87AE5">
        <w:rPr>
          <w:lang w:eastAsia="zh-CN"/>
        </w:rPr>
        <w:t>.</w:t>
      </w:r>
      <w:r w:rsidR="00F0736F" w:rsidRPr="00F0736F">
        <w:rPr>
          <w:rFonts w:hint="eastAsia"/>
          <w:lang w:eastAsia="zh-CN"/>
        </w:rPr>
        <w:t xml:space="preserve"> </w:t>
      </w:r>
    </w:p>
    <w:p w14:paraId="19D60EFE" w14:textId="038FC5EF" w:rsidR="00DF4BFA" w:rsidRPr="00BB42C4" w:rsidRDefault="00DF4BFA" w:rsidP="00F0736F">
      <w:pPr>
        <w:pStyle w:val="a4"/>
        <w:ind w:firstLine="0"/>
        <w:rPr>
          <w:b/>
          <w:lang w:eastAsia="zh-C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0758" w14:textId="77777777" w:rsidR="009B0250" w:rsidRPr="0090176F" w:rsidRDefault="009B0250" w:rsidP="009B0250">
    <w:pPr>
      <w:pStyle w:val="a9"/>
      <w:rPr>
        <w:sz w:val="16"/>
        <w:szCs w:val="16"/>
      </w:rPr>
    </w:pPr>
    <w:r w:rsidRPr="0090176F">
      <w:rPr>
        <w:sz w:val="16"/>
        <w:szCs w:val="16"/>
      </w:rPr>
      <w:t xml:space="preserve">JOURNAL OF </w:t>
    </w:r>
    <w:r>
      <w:rPr>
        <w:sz w:val="16"/>
        <w:szCs w:val="16"/>
      </w:rPr>
      <w:t xml:space="preserve">MODERN </w:t>
    </w:r>
    <w:r w:rsidRPr="0090176F">
      <w:rPr>
        <w:sz w:val="16"/>
        <w:szCs w:val="16"/>
      </w:rPr>
      <w:t xml:space="preserve">POWER </w:t>
    </w:r>
    <w:r>
      <w:rPr>
        <w:sz w:val="16"/>
        <w:szCs w:val="16"/>
      </w:rPr>
      <w:t xml:space="preserve">SYSTEMS </w:t>
    </w:r>
    <w:r w:rsidRPr="0090176F">
      <w:rPr>
        <w:sz w:val="16"/>
        <w:szCs w:val="16"/>
      </w:rPr>
      <w:t xml:space="preserve">AND </w:t>
    </w:r>
    <w:r>
      <w:rPr>
        <w:sz w:val="16"/>
        <w:szCs w:val="16"/>
      </w:rPr>
      <w:t xml:space="preserve">CLEAN </w:t>
    </w:r>
    <w:r w:rsidRPr="0090176F">
      <w:rPr>
        <w:sz w:val="16"/>
        <w:szCs w:val="16"/>
      </w:rPr>
      <w:t xml:space="preserve">ENERGY, VOL. </w:t>
    </w:r>
    <w:r>
      <w:rPr>
        <w:sz w:val="16"/>
        <w:szCs w:val="16"/>
        <w:lang w:eastAsia="zh-CN"/>
      </w:rPr>
      <w:t>XX</w:t>
    </w:r>
    <w:r w:rsidRPr="0090176F">
      <w:rPr>
        <w:sz w:val="16"/>
        <w:szCs w:val="16"/>
      </w:rPr>
      <w:t>, NO.</w:t>
    </w:r>
    <w:r>
      <w:rPr>
        <w:sz w:val="16"/>
        <w:szCs w:val="16"/>
      </w:rPr>
      <w:t xml:space="preserve"> </w:t>
    </w:r>
    <w:r>
      <w:rPr>
        <w:sz w:val="16"/>
        <w:szCs w:val="16"/>
        <w:lang w:eastAsia="zh-CN"/>
      </w:rPr>
      <w:t>XX</w:t>
    </w:r>
    <w:r>
      <w:rPr>
        <w:sz w:val="16"/>
        <w:szCs w:val="16"/>
      </w:rPr>
      <w:t>, XX XXXX</w:t>
    </w:r>
  </w:p>
  <w:p w14:paraId="63AB10DC" w14:textId="77777777" w:rsidR="00840B7D" w:rsidRDefault="00840B7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54E40" w14:textId="77777777" w:rsidR="00DF4BFA" w:rsidRDefault="00DF4BFA">
    <w:pPr>
      <w:framePr w:wrap="auto" w:vAnchor="text" w:hAnchor="margin" w:xAlign="right" w:y="1"/>
    </w:pPr>
    <w:r>
      <w:fldChar w:fldCharType="begin"/>
    </w:r>
    <w:r>
      <w:instrText xml:space="preserve">PAGE  </w:instrText>
    </w:r>
    <w:r>
      <w:fldChar w:fldCharType="separate"/>
    </w:r>
    <w:r w:rsidR="00093EC1">
      <w:rPr>
        <w:noProof/>
      </w:rPr>
      <w:t>7</w:t>
    </w:r>
    <w:r>
      <w:rPr>
        <w:noProof/>
      </w:rPr>
      <w:fldChar w:fldCharType="end"/>
    </w:r>
  </w:p>
  <w:p w14:paraId="31D7D361" w14:textId="196886A7" w:rsidR="00DF4BFA" w:rsidRPr="0090176F" w:rsidRDefault="00EA643E" w:rsidP="0090176F">
    <w:pPr>
      <w:ind w:right="360"/>
      <w:rPr>
        <w:sz w:val="16"/>
        <w:szCs w:val="16"/>
        <w:lang w:eastAsia="zh-CN"/>
      </w:rPr>
    </w:pPr>
    <w:r>
      <w:rPr>
        <w:sz w:val="16"/>
        <w:szCs w:val="16"/>
        <w:lang w:eastAsia="zh-CN"/>
      </w:rPr>
      <w:t>G</w:t>
    </w:r>
    <w:r>
      <w:rPr>
        <w:rFonts w:hint="eastAsia"/>
        <w:sz w:val="16"/>
        <w:szCs w:val="16"/>
        <w:lang w:eastAsia="zh-CN"/>
      </w:rPr>
      <w:t>eng</w:t>
    </w:r>
    <w:r>
      <w:rPr>
        <w:sz w:val="16"/>
        <w:szCs w:val="16"/>
        <w:lang w:eastAsia="zh-CN"/>
      </w:rPr>
      <w:t>ming Liu</w:t>
    </w:r>
    <w:r w:rsidR="00DF4BFA">
      <w:rPr>
        <w:sz w:val="16"/>
        <w:szCs w:val="16"/>
        <w:lang w:eastAsia="zh-CN"/>
      </w:rPr>
      <w:t xml:space="preserve"> </w:t>
    </w:r>
    <w:r w:rsidR="00DF4BFA" w:rsidRPr="0090176F">
      <w:rPr>
        <w:rFonts w:hint="eastAsia"/>
        <w:i/>
        <w:sz w:val="16"/>
        <w:szCs w:val="16"/>
        <w:lang w:eastAsia="zh-CN"/>
      </w:rPr>
      <w:t>et al</w:t>
    </w:r>
    <w:r w:rsidR="00DF4BFA" w:rsidRPr="0090176F">
      <w:rPr>
        <w:rFonts w:hint="eastAsia"/>
        <w:sz w:val="16"/>
        <w:szCs w:val="16"/>
        <w:lang w:eastAsia="zh-CN"/>
      </w:rPr>
      <w:t xml:space="preserve">.: </w:t>
    </w:r>
    <w:r w:rsidRPr="00EA643E">
      <w:rPr>
        <w:sz w:val="16"/>
        <w:szCs w:val="16"/>
        <w:lang w:eastAsia="zh-CN"/>
      </w:rPr>
      <w:t xml:space="preserve">Economic Evaluation of BESS on the Generation Side for </w:t>
    </w:r>
    <w:r w:rsidR="00B3530D" w:rsidRPr="00EA643E">
      <w:rPr>
        <w:sz w:val="16"/>
        <w:szCs w:val="16"/>
        <w:lang w:eastAsia="zh-CN"/>
      </w:rPr>
      <w:t xml:space="preserve">Frequency </w:t>
    </w:r>
    <w:r w:rsidR="00B3530D">
      <w:rPr>
        <w:sz w:val="16"/>
        <w:szCs w:val="16"/>
        <w:lang w:eastAsia="zh-CN"/>
      </w:rPr>
      <w:t xml:space="preserve">and </w:t>
    </w:r>
    <w:r w:rsidRPr="00EA643E">
      <w:rPr>
        <w:sz w:val="16"/>
        <w:szCs w:val="16"/>
        <w:lang w:eastAsia="zh-CN"/>
      </w:rPr>
      <w:t>Peak Regulation Considering the Benefits of Unit Loss Reduction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0AF00" w14:textId="77777777" w:rsidR="00DF4BFA" w:rsidRPr="00B33767" w:rsidRDefault="00DF4BFA" w:rsidP="00B33767">
    <w:pPr>
      <w:pStyle w:val="a9"/>
      <w:rPr>
        <w:sz w:val="16"/>
        <w:szCs w:val="16"/>
      </w:rPr>
    </w:pPr>
    <w:r w:rsidRPr="0090176F">
      <w:rPr>
        <w:sz w:val="16"/>
        <w:szCs w:val="16"/>
      </w:rPr>
      <w:t xml:space="preserve">JOURNAL OF </w:t>
    </w:r>
    <w:r>
      <w:rPr>
        <w:sz w:val="16"/>
        <w:szCs w:val="16"/>
      </w:rPr>
      <w:t xml:space="preserve">MODERN </w:t>
    </w:r>
    <w:r w:rsidRPr="0090176F">
      <w:rPr>
        <w:sz w:val="16"/>
        <w:szCs w:val="16"/>
      </w:rPr>
      <w:t xml:space="preserve">POWER </w:t>
    </w:r>
    <w:r>
      <w:rPr>
        <w:sz w:val="16"/>
        <w:szCs w:val="16"/>
      </w:rPr>
      <w:t xml:space="preserve">SYSTEMS </w:t>
    </w:r>
    <w:r w:rsidRPr="0090176F">
      <w:rPr>
        <w:sz w:val="16"/>
        <w:szCs w:val="16"/>
      </w:rPr>
      <w:t xml:space="preserve">AND </w:t>
    </w:r>
    <w:r>
      <w:rPr>
        <w:sz w:val="16"/>
        <w:szCs w:val="16"/>
      </w:rPr>
      <w:t xml:space="preserve">CLEAN </w:t>
    </w:r>
    <w:r w:rsidRPr="0090176F">
      <w:rPr>
        <w:sz w:val="16"/>
        <w:szCs w:val="16"/>
      </w:rPr>
      <w:t xml:space="preserve">ENERGY, VOL. </w:t>
    </w:r>
    <w:r>
      <w:rPr>
        <w:sz w:val="16"/>
        <w:szCs w:val="16"/>
        <w:lang w:eastAsia="zh-CN"/>
      </w:rPr>
      <w:t>XX</w:t>
    </w:r>
    <w:r w:rsidRPr="0090176F">
      <w:rPr>
        <w:sz w:val="16"/>
        <w:szCs w:val="16"/>
      </w:rPr>
      <w:t>, NO.</w:t>
    </w:r>
    <w:r>
      <w:rPr>
        <w:sz w:val="16"/>
        <w:szCs w:val="16"/>
      </w:rPr>
      <w:t xml:space="preserve"> </w:t>
    </w:r>
    <w:r>
      <w:rPr>
        <w:sz w:val="16"/>
        <w:szCs w:val="16"/>
        <w:lang w:eastAsia="zh-CN"/>
      </w:rPr>
      <w:t>XX</w:t>
    </w:r>
    <w:r>
      <w:rPr>
        <w:sz w:val="16"/>
        <w:szCs w:val="16"/>
      </w:rPr>
      <w:t>, XX 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BF47C58"/>
    <w:lvl w:ilvl="0">
      <w:start w:val="1"/>
      <w:numFmt w:val="upperRoman"/>
      <w:pStyle w:val="1"/>
      <w:lvlText w:val="%1."/>
      <w:legacy w:legacy="1" w:legacySpace="144" w:legacyIndent="144"/>
      <w:lvlJc w:val="left"/>
    </w:lvl>
    <w:lvl w:ilvl="1">
      <w:start w:val="1"/>
      <w:numFmt w:val="upperLetter"/>
      <w:pStyle w:val="2"/>
      <w:lvlText w:val="%2."/>
      <w:legacy w:legacy="1" w:legacySpace="144" w:legacyIndent="144"/>
      <w:lvlJc w:val="left"/>
      <w:rPr>
        <w:b w:val="0"/>
        <w:i/>
      </w:rPr>
    </w:lvl>
    <w:lvl w:ilvl="2">
      <w:start w:val="1"/>
      <w:numFmt w:val="decimal"/>
      <w:pStyle w:val="3"/>
      <w:lvlText w:val="%3)"/>
      <w:legacy w:legacy="1" w:legacySpace="144" w:legacyIndent="144"/>
      <w:lvlJc w:val="left"/>
      <w:rPr>
        <w:i/>
      </w:rPr>
    </w:lvl>
    <w:lvl w:ilvl="3">
      <w:start w:val="1"/>
      <w:numFmt w:val="lowerLetter"/>
      <w:pStyle w:val="4"/>
      <w:lvlText w:val="%4)"/>
      <w:legacy w:legacy="1" w:legacySpace="0" w:legacyIndent="720"/>
      <w:lvlJc w:val="left"/>
      <w:pPr>
        <w:ind w:left="3704" w:hanging="720"/>
      </w:pPr>
    </w:lvl>
    <w:lvl w:ilvl="4">
      <w:start w:val="1"/>
      <w:numFmt w:val="decimal"/>
      <w:pStyle w:val="5"/>
      <w:lvlText w:val="(%5)"/>
      <w:legacy w:legacy="1" w:legacySpace="0" w:legacyIndent="720"/>
      <w:lvlJc w:val="left"/>
      <w:pPr>
        <w:ind w:left="4424" w:hanging="720"/>
      </w:pPr>
    </w:lvl>
    <w:lvl w:ilvl="5">
      <w:start w:val="1"/>
      <w:numFmt w:val="lowerLetter"/>
      <w:pStyle w:val="6"/>
      <w:lvlText w:val="(%6)"/>
      <w:legacy w:legacy="1" w:legacySpace="0" w:legacyIndent="720"/>
      <w:lvlJc w:val="left"/>
      <w:pPr>
        <w:ind w:left="5144" w:hanging="720"/>
      </w:pPr>
    </w:lvl>
    <w:lvl w:ilvl="6">
      <w:start w:val="1"/>
      <w:numFmt w:val="lowerRoman"/>
      <w:pStyle w:val="7"/>
      <w:lvlText w:val="(%7)"/>
      <w:legacy w:legacy="1" w:legacySpace="0" w:legacyIndent="720"/>
      <w:lvlJc w:val="left"/>
      <w:pPr>
        <w:ind w:left="5864" w:hanging="720"/>
      </w:pPr>
    </w:lvl>
    <w:lvl w:ilvl="7">
      <w:start w:val="1"/>
      <w:numFmt w:val="lowerLetter"/>
      <w:pStyle w:val="8"/>
      <w:lvlText w:val="(%8)"/>
      <w:legacy w:legacy="1" w:legacySpace="0" w:legacyIndent="720"/>
      <w:lvlJc w:val="left"/>
      <w:pPr>
        <w:ind w:left="6584" w:hanging="720"/>
      </w:pPr>
    </w:lvl>
    <w:lvl w:ilvl="8">
      <w:start w:val="1"/>
      <w:numFmt w:val="lowerRoman"/>
      <w:pStyle w:val="9"/>
      <w:lvlText w:val="(%9)"/>
      <w:legacy w:legacy="1" w:legacySpace="0" w:legacyIndent="720"/>
      <w:lvlJc w:val="left"/>
      <w:pPr>
        <w:ind w:left="7304" w:hanging="720"/>
      </w:pPr>
    </w:lvl>
  </w:abstractNum>
  <w:abstractNum w:abstractNumId="1" w15:restartNumberingAfterBreak="0">
    <w:nsid w:val="0EA45648"/>
    <w:multiLevelType w:val="hybridMultilevel"/>
    <w:tmpl w:val="A10E3994"/>
    <w:lvl w:ilvl="0" w:tplc="75C2FF7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C2F73AF"/>
    <w:multiLevelType w:val="hybridMultilevel"/>
    <w:tmpl w:val="B88C8022"/>
    <w:lvl w:ilvl="0" w:tplc="E472AE76">
      <w:start w:val="1"/>
      <w:numFmt w:val="bullet"/>
      <w:lvlText w:val=""/>
      <w:lvlJc w:val="left"/>
      <w:pPr>
        <w:ind w:left="470" w:hanging="420"/>
      </w:pPr>
      <w:rPr>
        <w:rFonts w:ascii="Wingdings" w:hAnsi="Wingdings" w:hint="default"/>
      </w:rPr>
    </w:lvl>
    <w:lvl w:ilvl="1" w:tplc="04090003" w:tentative="1">
      <w:start w:val="1"/>
      <w:numFmt w:val="bullet"/>
      <w:lvlText w:val=""/>
      <w:lvlJc w:val="left"/>
      <w:pPr>
        <w:ind w:left="890" w:hanging="420"/>
      </w:pPr>
      <w:rPr>
        <w:rFonts w:ascii="Wingdings" w:hAnsi="Wingdings" w:hint="default"/>
      </w:rPr>
    </w:lvl>
    <w:lvl w:ilvl="2" w:tplc="04090005" w:tentative="1">
      <w:start w:val="1"/>
      <w:numFmt w:val="bullet"/>
      <w:lvlText w:val=""/>
      <w:lvlJc w:val="left"/>
      <w:pPr>
        <w:ind w:left="1310" w:hanging="420"/>
      </w:pPr>
      <w:rPr>
        <w:rFonts w:ascii="Wingdings" w:hAnsi="Wingdings" w:hint="default"/>
      </w:rPr>
    </w:lvl>
    <w:lvl w:ilvl="3" w:tplc="04090001" w:tentative="1">
      <w:start w:val="1"/>
      <w:numFmt w:val="bullet"/>
      <w:lvlText w:val=""/>
      <w:lvlJc w:val="left"/>
      <w:pPr>
        <w:ind w:left="1730" w:hanging="420"/>
      </w:pPr>
      <w:rPr>
        <w:rFonts w:ascii="Wingdings" w:hAnsi="Wingdings" w:hint="default"/>
      </w:rPr>
    </w:lvl>
    <w:lvl w:ilvl="4" w:tplc="04090003" w:tentative="1">
      <w:start w:val="1"/>
      <w:numFmt w:val="bullet"/>
      <w:lvlText w:val=""/>
      <w:lvlJc w:val="left"/>
      <w:pPr>
        <w:ind w:left="2150" w:hanging="420"/>
      </w:pPr>
      <w:rPr>
        <w:rFonts w:ascii="Wingdings" w:hAnsi="Wingdings" w:hint="default"/>
      </w:rPr>
    </w:lvl>
    <w:lvl w:ilvl="5" w:tplc="04090005" w:tentative="1">
      <w:start w:val="1"/>
      <w:numFmt w:val="bullet"/>
      <w:lvlText w:val=""/>
      <w:lvlJc w:val="left"/>
      <w:pPr>
        <w:ind w:left="2570" w:hanging="420"/>
      </w:pPr>
      <w:rPr>
        <w:rFonts w:ascii="Wingdings" w:hAnsi="Wingdings" w:hint="default"/>
      </w:rPr>
    </w:lvl>
    <w:lvl w:ilvl="6" w:tplc="04090001" w:tentative="1">
      <w:start w:val="1"/>
      <w:numFmt w:val="bullet"/>
      <w:lvlText w:val=""/>
      <w:lvlJc w:val="left"/>
      <w:pPr>
        <w:ind w:left="2990" w:hanging="420"/>
      </w:pPr>
      <w:rPr>
        <w:rFonts w:ascii="Wingdings" w:hAnsi="Wingdings" w:hint="default"/>
      </w:rPr>
    </w:lvl>
    <w:lvl w:ilvl="7" w:tplc="04090003" w:tentative="1">
      <w:start w:val="1"/>
      <w:numFmt w:val="bullet"/>
      <w:lvlText w:val=""/>
      <w:lvlJc w:val="left"/>
      <w:pPr>
        <w:ind w:left="3410" w:hanging="420"/>
      </w:pPr>
      <w:rPr>
        <w:rFonts w:ascii="Wingdings" w:hAnsi="Wingdings" w:hint="default"/>
      </w:rPr>
    </w:lvl>
    <w:lvl w:ilvl="8" w:tplc="04090005" w:tentative="1">
      <w:start w:val="1"/>
      <w:numFmt w:val="bullet"/>
      <w:lvlText w:val=""/>
      <w:lvlJc w:val="left"/>
      <w:pPr>
        <w:ind w:left="3830" w:hanging="420"/>
      </w:pPr>
      <w:rPr>
        <w:rFonts w:ascii="Wingdings" w:hAnsi="Wingdings" w:hint="default"/>
      </w:rPr>
    </w:lvl>
  </w:abstractNum>
  <w:abstractNum w:abstractNumId="3" w15:restartNumberingAfterBreak="0">
    <w:nsid w:val="3A877D64"/>
    <w:multiLevelType w:val="singleLevel"/>
    <w:tmpl w:val="C310E3F4"/>
    <w:lvl w:ilvl="0">
      <w:start w:val="1"/>
      <w:numFmt w:val="decimal"/>
      <w:lvlText w:val="[%1]"/>
      <w:lvlJc w:val="left"/>
      <w:pPr>
        <w:tabs>
          <w:tab w:val="num" w:pos="360"/>
        </w:tabs>
        <w:ind w:left="360" w:hanging="360"/>
      </w:pPr>
      <w:rPr>
        <w:i w:val="0"/>
      </w:rPr>
    </w:lvl>
  </w:abstractNum>
  <w:abstractNum w:abstractNumId="4" w15:restartNumberingAfterBreak="0">
    <w:nsid w:val="44775830"/>
    <w:multiLevelType w:val="hybridMultilevel"/>
    <w:tmpl w:val="3E4A0EB2"/>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1D4F2A"/>
    <w:multiLevelType w:val="hybridMultilevel"/>
    <w:tmpl w:val="9A02C43E"/>
    <w:lvl w:ilvl="0" w:tplc="04090001">
      <w:start w:val="1"/>
      <w:numFmt w:val="bullet"/>
      <w:lvlText w:val=""/>
      <w:lvlJc w:val="left"/>
      <w:pPr>
        <w:ind w:left="620" w:hanging="420"/>
      </w:pPr>
      <w:rPr>
        <w:rFonts w:ascii="Wingdings" w:hAnsi="Wingdings" w:hint="default"/>
      </w:rPr>
    </w:lvl>
    <w:lvl w:ilvl="1" w:tplc="04090003" w:tentative="1">
      <w:start w:val="1"/>
      <w:numFmt w:val="bullet"/>
      <w:lvlText w:val=""/>
      <w:lvlJc w:val="left"/>
      <w:pPr>
        <w:ind w:left="1040" w:hanging="420"/>
      </w:pPr>
      <w:rPr>
        <w:rFonts w:ascii="Wingdings" w:hAnsi="Wingdings" w:hint="default"/>
      </w:rPr>
    </w:lvl>
    <w:lvl w:ilvl="2" w:tplc="04090005"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3" w:tentative="1">
      <w:start w:val="1"/>
      <w:numFmt w:val="bullet"/>
      <w:lvlText w:val=""/>
      <w:lvlJc w:val="left"/>
      <w:pPr>
        <w:ind w:left="2300" w:hanging="420"/>
      </w:pPr>
      <w:rPr>
        <w:rFonts w:ascii="Wingdings" w:hAnsi="Wingdings" w:hint="default"/>
      </w:rPr>
    </w:lvl>
    <w:lvl w:ilvl="5" w:tplc="04090005"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3" w:tentative="1">
      <w:start w:val="1"/>
      <w:numFmt w:val="bullet"/>
      <w:lvlText w:val=""/>
      <w:lvlJc w:val="left"/>
      <w:pPr>
        <w:ind w:left="3560" w:hanging="420"/>
      </w:pPr>
      <w:rPr>
        <w:rFonts w:ascii="Wingdings" w:hAnsi="Wingdings" w:hint="default"/>
      </w:rPr>
    </w:lvl>
    <w:lvl w:ilvl="8" w:tplc="04090005" w:tentative="1">
      <w:start w:val="1"/>
      <w:numFmt w:val="bullet"/>
      <w:lvlText w:val=""/>
      <w:lvlJc w:val="left"/>
      <w:pPr>
        <w:ind w:left="3980" w:hanging="420"/>
      </w:pPr>
      <w:rPr>
        <w:rFonts w:ascii="Wingdings" w:hAnsi="Wingdings" w:hint="default"/>
      </w:rPr>
    </w:lvl>
  </w:abstractNum>
  <w:abstractNum w:abstractNumId="6" w15:restartNumberingAfterBreak="0">
    <w:nsid w:val="63C706EA"/>
    <w:multiLevelType w:val="hybridMultilevel"/>
    <w:tmpl w:val="CE1A624C"/>
    <w:lvl w:ilvl="0" w:tplc="B33A490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246038238">
    <w:abstractNumId w:val="0"/>
  </w:num>
  <w:num w:numId="2" w16cid:durableId="1036196394">
    <w:abstractNumId w:val="3"/>
  </w:num>
  <w:num w:numId="3" w16cid:durableId="637682124">
    <w:abstractNumId w:val="4"/>
  </w:num>
  <w:num w:numId="4" w16cid:durableId="1424230812">
    <w:abstractNumId w:val="1"/>
  </w:num>
  <w:num w:numId="5" w16cid:durableId="26299119">
    <w:abstractNumId w:val="5"/>
  </w:num>
  <w:num w:numId="6" w16cid:durableId="1199707640">
    <w:abstractNumId w:val="2"/>
  </w:num>
  <w:num w:numId="7" w16cid:durableId="2048947005">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bordersDoNotSurroundHeader/>
  <w:bordersDoNotSurroundFooter/>
  <w:proofState w:spelling="clean" w:grammar="clean"/>
  <w:defaultTabStop w:val="202"/>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35B"/>
    <w:rsid w:val="0000493C"/>
    <w:rsid w:val="00010AEE"/>
    <w:rsid w:val="00012C2A"/>
    <w:rsid w:val="00016894"/>
    <w:rsid w:val="00027DBA"/>
    <w:rsid w:val="00030934"/>
    <w:rsid w:val="00030A23"/>
    <w:rsid w:val="00031BA4"/>
    <w:rsid w:val="0003338C"/>
    <w:rsid w:val="000336D9"/>
    <w:rsid w:val="000341C7"/>
    <w:rsid w:val="00036FF6"/>
    <w:rsid w:val="0003771F"/>
    <w:rsid w:val="0004068A"/>
    <w:rsid w:val="00042E13"/>
    <w:rsid w:val="000467D3"/>
    <w:rsid w:val="00047873"/>
    <w:rsid w:val="00047F71"/>
    <w:rsid w:val="00052561"/>
    <w:rsid w:val="00052601"/>
    <w:rsid w:val="00052679"/>
    <w:rsid w:val="00054FA7"/>
    <w:rsid w:val="00060137"/>
    <w:rsid w:val="00060BB9"/>
    <w:rsid w:val="0006159A"/>
    <w:rsid w:val="0006216A"/>
    <w:rsid w:val="000637AB"/>
    <w:rsid w:val="000653DE"/>
    <w:rsid w:val="00067F31"/>
    <w:rsid w:val="00071F63"/>
    <w:rsid w:val="00074CC2"/>
    <w:rsid w:val="00074FFE"/>
    <w:rsid w:val="00076216"/>
    <w:rsid w:val="00076751"/>
    <w:rsid w:val="00081371"/>
    <w:rsid w:val="00083B66"/>
    <w:rsid w:val="00085A41"/>
    <w:rsid w:val="00091297"/>
    <w:rsid w:val="000925CD"/>
    <w:rsid w:val="00093EC1"/>
    <w:rsid w:val="00096B72"/>
    <w:rsid w:val="000A01E9"/>
    <w:rsid w:val="000A168B"/>
    <w:rsid w:val="000A57EA"/>
    <w:rsid w:val="000A5CDD"/>
    <w:rsid w:val="000A6BB6"/>
    <w:rsid w:val="000A700C"/>
    <w:rsid w:val="000B2F1E"/>
    <w:rsid w:val="000B53AA"/>
    <w:rsid w:val="000C3C48"/>
    <w:rsid w:val="000C4110"/>
    <w:rsid w:val="000D2BDE"/>
    <w:rsid w:val="000D3A31"/>
    <w:rsid w:val="000D76EB"/>
    <w:rsid w:val="000E41FA"/>
    <w:rsid w:val="000E55FF"/>
    <w:rsid w:val="00101CF7"/>
    <w:rsid w:val="0010224D"/>
    <w:rsid w:val="00104BB0"/>
    <w:rsid w:val="00107058"/>
    <w:rsid w:val="0010794E"/>
    <w:rsid w:val="00110972"/>
    <w:rsid w:val="00115DF6"/>
    <w:rsid w:val="00116518"/>
    <w:rsid w:val="00117C82"/>
    <w:rsid w:val="00126567"/>
    <w:rsid w:val="001265F4"/>
    <w:rsid w:val="0013354F"/>
    <w:rsid w:val="0014252D"/>
    <w:rsid w:val="00143F2E"/>
    <w:rsid w:val="00144E72"/>
    <w:rsid w:val="001462F5"/>
    <w:rsid w:val="00150FFB"/>
    <w:rsid w:val="00154639"/>
    <w:rsid w:val="001547B6"/>
    <w:rsid w:val="00157367"/>
    <w:rsid w:val="00157703"/>
    <w:rsid w:val="00163501"/>
    <w:rsid w:val="00165EF5"/>
    <w:rsid w:val="00166B4F"/>
    <w:rsid w:val="00167E5B"/>
    <w:rsid w:val="00171A18"/>
    <w:rsid w:val="00171D14"/>
    <w:rsid w:val="0017279F"/>
    <w:rsid w:val="001768FF"/>
    <w:rsid w:val="001810D9"/>
    <w:rsid w:val="00181272"/>
    <w:rsid w:val="0018440A"/>
    <w:rsid w:val="001847C1"/>
    <w:rsid w:val="00184ED1"/>
    <w:rsid w:val="00185CCA"/>
    <w:rsid w:val="001872C3"/>
    <w:rsid w:val="00192602"/>
    <w:rsid w:val="00192FE5"/>
    <w:rsid w:val="00195A1B"/>
    <w:rsid w:val="00195D57"/>
    <w:rsid w:val="001A0890"/>
    <w:rsid w:val="001A60B1"/>
    <w:rsid w:val="001B2F3E"/>
    <w:rsid w:val="001B36B1"/>
    <w:rsid w:val="001B4043"/>
    <w:rsid w:val="001B454D"/>
    <w:rsid w:val="001B54EF"/>
    <w:rsid w:val="001B6C20"/>
    <w:rsid w:val="001C1CD2"/>
    <w:rsid w:val="001C3895"/>
    <w:rsid w:val="001C4868"/>
    <w:rsid w:val="001D1C47"/>
    <w:rsid w:val="001D7D49"/>
    <w:rsid w:val="001E0E75"/>
    <w:rsid w:val="001E16E2"/>
    <w:rsid w:val="001E42A0"/>
    <w:rsid w:val="001E7B7A"/>
    <w:rsid w:val="001F1F7C"/>
    <w:rsid w:val="001F220A"/>
    <w:rsid w:val="001F491C"/>
    <w:rsid w:val="001F4C5C"/>
    <w:rsid w:val="002022F9"/>
    <w:rsid w:val="00203543"/>
    <w:rsid w:val="00204478"/>
    <w:rsid w:val="002074B9"/>
    <w:rsid w:val="00211CBC"/>
    <w:rsid w:val="00214267"/>
    <w:rsid w:val="00214E2E"/>
    <w:rsid w:val="0021562E"/>
    <w:rsid w:val="00216141"/>
    <w:rsid w:val="00217186"/>
    <w:rsid w:val="00220184"/>
    <w:rsid w:val="0022024D"/>
    <w:rsid w:val="0022048A"/>
    <w:rsid w:val="002234B3"/>
    <w:rsid w:val="002236DD"/>
    <w:rsid w:val="002236F4"/>
    <w:rsid w:val="002269BE"/>
    <w:rsid w:val="00227835"/>
    <w:rsid w:val="00232E4D"/>
    <w:rsid w:val="00236705"/>
    <w:rsid w:val="0023739E"/>
    <w:rsid w:val="0024143B"/>
    <w:rsid w:val="002434A1"/>
    <w:rsid w:val="002438B3"/>
    <w:rsid w:val="002477DE"/>
    <w:rsid w:val="002505DC"/>
    <w:rsid w:val="002541A9"/>
    <w:rsid w:val="00257E62"/>
    <w:rsid w:val="00263943"/>
    <w:rsid w:val="00265FE4"/>
    <w:rsid w:val="00266FF5"/>
    <w:rsid w:val="00267B35"/>
    <w:rsid w:val="002700F7"/>
    <w:rsid w:val="00272D29"/>
    <w:rsid w:val="00275DB5"/>
    <w:rsid w:val="002765A0"/>
    <w:rsid w:val="0028287E"/>
    <w:rsid w:val="0029215C"/>
    <w:rsid w:val="002922EC"/>
    <w:rsid w:val="00293EE3"/>
    <w:rsid w:val="0029588F"/>
    <w:rsid w:val="002975BA"/>
    <w:rsid w:val="002A1000"/>
    <w:rsid w:val="002A2379"/>
    <w:rsid w:val="002A47D1"/>
    <w:rsid w:val="002B05F3"/>
    <w:rsid w:val="002B12DF"/>
    <w:rsid w:val="002B2EBF"/>
    <w:rsid w:val="002B6E3E"/>
    <w:rsid w:val="002B7662"/>
    <w:rsid w:val="002C0742"/>
    <w:rsid w:val="002C535E"/>
    <w:rsid w:val="002C6305"/>
    <w:rsid w:val="002C7FD0"/>
    <w:rsid w:val="002D0850"/>
    <w:rsid w:val="002D2A51"/>
    <w:rsid w:val="002D446B"/>
    <w:rsid w:val="002D545D"/>
    <w:rsid w:val="002E0342"/>
    <w:rsid w:val="002E3279"/>
    <w:rsid w:val="002E4083"/>
    <w:rsid w:val="002E5D98"/>
    <w:rsid w:val="002F06BB"/>
    <w:rsid w:val="002F4035"/>
    <w:rsid w:val="002F4B1C"/>
    <w:rsid w:val="002F7147"/>
    <w:rsid w:val="002F721A"/>
    <w:rsid w:val="002F7910"/>
    <w:rsid w:val="0030620B"/>
    <w:rsid w:val="00310481"/>
    <w:rsid w:val="00313C63"/>
    <w:rsid w:val="003209DE"/>
    <w:rsid w:val="00321729"/>
    <w:rsid w:val="00321F34"/>
    <w:rsid w:val="00324617"/>
    <w:rsid w:val="00327338"/>
    <w:rsid w:val="00330BD5"/>
    <w:rsid w:val="00330F15"/>
    <w:rsid w:val="00331CE8"/>
    <w:rsid w:val="00331EF8"/>
    <w:rsid w:val="00335F87"/>
    <w:rsid w:val="003372E5"/>
    <w:rsid w:val="00337D9D"/>
    <w:rsid w:val="003412C8"/>
    <w:rsid w:val="00341801"/>
    <w:rsid w:val="003427CE"/>
    <w:rsid w:val="00343298"/>
    <w:rsid w:val="00343885"/>
    <w:rsid w:val="00345515"/>
    <w:rsid w:val="00346A8D"/>
    <w:rsid w:val="00350A07"/>
    <w:rsid w:val="00350C38"/>
    <w:rsid w:val="00353475"/>
    <w:rsid w:val="00354FDA"/>
    <w:rsid w:val="00355373"/>
    <w:rsid w:val="00360269"/>
    <w:rsid w:val="00360C18"/>
    <w:rsid w:val="00360F2F"/>
    <w:rsid w:val="00366A33"/>
    <w:rsid w:val="0037551B"/>
    <w:rsid w:val="0037764C"/>
    <w:rsid w:val="003847D2"/>
    <w:rsid w:val="0038640D"/>
    <w:rsid w:val="0038781C"/>
    <w:rsid w:val="00392DBA"/>
    <w:rsid w:val="00393E56"/>
    <w:rsid w:val="003A1570"/>
    <w:rsid w:val="003A2201"/>
    <w:rsid w:val="003A2F06"/>
    <w:rsid w:val="003A3D9A"/>
    <w:rsid w:val="003B086E"/>
    <w:rsid w:val="003B0E0F"/>
    <w:rsid w:val="003B1761"/>
    <w:rsid w:val="003B2884"/>
    <w:rsid w:val="003B335E"/>
    <w:rsid w:val="003B5003"/>
    <w:rsid w:val="003B6BA0"/>
    <w:rsid w:val="003B7F1E"/>
    <w:rsid w:val="003C0D22"/>
    <w:rsid w:val="003C21E3"/>
    <w:rsid w:val="003C3322"/>
    <w:rsid w:val="003C68C2"/>
    <w:rsid w:val="003C7612"/>
    <w:rsid w:val="003D0786"/>
    <w:rsid w:val="003D1279"/>
    <w:rsid w:val="003D251C"/>
    <w:rsid w:val="003D4CAE"/>
    <w:rsid w:val="003D5091"/>
    <w:rsid w:val="003D5C61"/>
    <w:rsid w:val="003E2626"/>
    <w:rsid w:val="003E3266"/>
    <w:rsid w:val="003E4B31"/>
    <w:rsid w:val="003E5CF7"/>
    <w:rsid w:val="003E5FC3"/>
    <w:rsid w:val="003F0899"/>
    <w:rsid w:val="003F1276"/>
    <w:rsid w:val="003F26BD"/>
    <w:rsid w:val="003F52AD"/>
    <w:rsid w:val="003F5877"/>
    <w:rsid w:val="004024E6"/>
    <w:rsid w:val="00402657"/>
    <w:rsid w:val="004039DB"/>
    <w:rsid w:val="004062F2"/>
    <w:rsid w:val="00407B4D"/>
    <w:rsid w:val="00411229"/>
    <w:rsid w:val="00411C48"/>
    <w:rsid w:val="00411FE3"/>
    <w:rsid w:val="00414B1E"/>
    <w:rsid w:val="00424575"/>
    <w:rsid w:val="00430D54"/>
    <w:rsid w:val="0043144F"/>
    <w:rsid w:val="00431BFA"/>
    <w:rsid w:val="004335F6"/>
    <w:rsid w:val="00434D4B"/>
    <w:rsid w:val="004353CF"/>
    <w:rsid w:val="004413F4"/>
    <w:rsid w:val="004422D7"/>
    <w:rsid w:val="00442EC0"/>
    <w:rsid w:val="0044762B"/>
    <w:rsid w:val="00453275"/>
    <w:rsid w:val="00454818"/>
    <w:rsid w:val="004575EB"/>
    <w:rsid w:val="00461AFE"/>
    <w:rsid w:val="004631BC"/>
    <w:rsid w:val="004631FD"/>
    <w:rsid w:val="00467620"/>
    <w:rsid w:val="00474120"/>
    <w:rsid w:val="0047684F"/>
    <w:rsid w:val="00477F19"/>
    <w:rsid w:val="00481098"/>
    <w:rsid w:val="00481A94"/>
    <w:rsid w:val="00484761"/>
    <w:rsid w:val="00484DD5"/>
    <w:rsid w:val="0048643C"/>
    <w:rsid w:val="00486531"/>
    <w:rsid w:val="00493A78"/>
    <w:rsid w:val="00493C48"/>
    <w:rsid w:val="0049735D"/>
    <w:rsid w:val="00497575"/>
    <w:rsid w:val="004976D6"/>
    <w:rsid w:val="004A00F2"/>
    <w:rsid w:val="004A1EED"/>
    <w:rsid w:val="004A28A2"/>
    <w:rsid w:val="004A3FA9"/>
    <w:rsid w:val="004A6B73"/>
    <w:rsid w:val="004A785A"/>
    <w:rsid w:val="004B233E"/>
    <w:rsid w:val="004B556A"/>
    <w:rsid w:val="004B6C68"/>
    <w:rsid w:val="004B71A0"/>
    <w:rsid w:val="004C1E16"/>
    <w:rsid w:val="004C2543"/>
    <w:rsid w:val="004C2EEA"/>
    <w:rsid w:val="004C2FC6"/>
    <w:rsid w:val="004C5463"/>
    <w:rsid w:val="004C7461"/>
    <w:rsid w:val="004C7A26"/>
    <w:rsid w:val="004D15CA"/>
    <w:rsid w:val="004D3417"/>
    <w:rsid w:val="004E0899"/>
    <w:rsid w:val="004E26C7"/>
    <w:rsid w:val="004E3E4C"/>
    <w:rsid w:val="004E6EF5"/>
    <w:rsid w:val="004F23A0"/>
    <w:rsid w:val="004F2C4C"/>
    <w:rsid w:val="004F31DB"/>
    <w:rsid w:val="004F3CBB"/>
    <w:rsid w:val="004F3E98"/>
    <w:rsid w:val="005003E3"/>
    <w:rsid w:val="00502000"/>
    <w:rsid w:val="00504497"/>
    <w:rsid w:val="00505292"/>
    <w:rsid w:val="005052CD"/>
    <w:rsid w:val="00506AA5"/>
    <w:rsid w:val="005149A7"/>
    <w:rsid w:val="00516018"/>
    <w:rsid w:val="0052018F"/>
    <w:rsid w:val="00521DE1"/>
    <w:rsid w:val="005220A8"/>
    <w:rsid w:val="00522142"/>
    <w:rsid w:val="00522869"/>
    <w:rsid w:val="0052317A"/>
    <w:rsid w:val="00524FB6"/>
    <w:rsid w:val="00533873"/>
    <w:rsid w:val="00534C34"/>
    <w:rsid w:val="00535050"/>
    <w:rsid w:val="00536672"/>
    <w:rsid w:val="00536C8D"/>
    <w:rsid w:val="00547BFF"/>
    <w:rsid w:val="00550470"/>
    <w:rsid w:val="00550776"/>
    <w:rsid w:val="00550A26"/>
    <w:rsid w:val="00550BF5"/>
    <w:rsid w:val="0055178D"/>
    <w:rsid w:val="005540A4"/>
    <w:rsid w:val="00554F6C"/>
    <w:rsid w:val="005566B9"/>
    <w:rsid w:val="00560EF8"/>
    <w:rsid w:val="005618C9"/>
    <w:rsid w:val="00563FC8"/>
    <w:rsid w:val="005642B1"/>
    <w:rsid w:val="00566AF0"/>
    <w:rsid w:val="00567A70"/>
    <w:rsid w:val="00574104"/>
    <w:rsid w:val="005743BD"/>
    <w:rsid w:val="00592FB2"/>
    <w:rsid w:val="00594265"/>
    <w:rsid w:val="00595FC9"/>
    <w:rsid w:val="00596E14"/>
    <w:rsid w:val="005A1A8A"/>
    <w:rsid w:val="005A1B72"/>
    <w:rsid w:val="005A1C46"/>
    <w:rsid w:val="005A2A15"/>
    <w:rsid w:val="005A3CEE"/>
    <w:rsid w:val="005A3F7E"/>
    <w:rsid w:val="005B020F"/>
    <w:rsid w:val="005B1B78"/>
    <w:rsid w:val="005B5666"/>
    <w:rsid w:val="005B708C"/>
    <w:rsid w:val="005C1AAE"/>
    <w:rsid w:val="005C456C"/>
    <w:rsid w:val="005C4A3F"/>
    <w:rsid w:val="005C54D3"/>
    <w:rsid w:val="005D0D19"/>
    <w:rsid w:val="005D1B15"/>
    <w:rsid w:val="005D2824"/>
    <w:rsid w:val="005D2F58"/>
    <w:rsid w:val="005D366A"/>
    <w:rsid w:val="005D4F1A"/>
    <w:rsid w:val="005D72BB"/>
    <w:rsid w:val="005E5246"/>
    <w:rsid w:val="005E692F"/>
    <w:rsid w:val="005F1580"/>
    <w:rsid w:val="005F199C"/>
    <w:rsid w:val="005F37C7"/>
    <w:rsid w:val="005F3CF5"/>
    <w:rsid w:val="006041AA"/>
    <w:rsid w:val="00611399"/>
    <w:rsid w:val="006117A0"/>
    <w:rsid w:val="00612BA7"/>
    <w:rsid w:val="00614ED5"/>
    <w:rsid w:val="0062114B"/>
    <w:rsid w:val="00623698"/>
    <w:rsid w:val="00625E96"/>
    <w:rsid w:val="00627DF3"/>
    <w:rsid w:val="00633452"/>
    <w:rsid w:val="00634E1E"/>
    <w:rsid w:val="006358AF"/>
    <w:rsid w:val="00635F23"/>
    <w:rsid w:val="00641435"/>
    <w:rsid w:val="00643221"/>
    <w:rsid w:val="00647C09"/>
    <w:rsid w:val="006505D4"/>
    <w:rsid w:val="00651F2C"/>
    <w:rsid w:val="0065322E"/>
    <w:rsid w:val="00664721"/>
    <w:rsid w:val="0066667F"/>
    <w:rsid w:val="006708C3"/>
    <w:rsid w:val="00671653"/>
    <w:rsid w:val="006716E2"/>
    <w:rsid w:val="00677A86"/>
    <w:rsid w:val="00680E25"/>
    <w:rsid w:val="00686DAF"/>
    <w:rsid w:val="00687005"/>
    <w:rsid w:val="0068725D"/>
    <w:rsid w:val="00691E31"/>
    <w:rsid w:val="00692C57"/>
    <w:rsid w:val="00693D5D"/>
    <w:rsid w:val="00693D7C"/>
    <w:rsid w:val="00695822"/>
    <w:rsid w:val="006970D9"/>
    <w:rsid w:val="006A249F"/>
    <w:rsid w:val="006A5CAE"/>
    <w:rsid w:val="006B0EDC"/>
    <w:rsid w:val="006B16A2"/>
    <w:rsid w:val="006B3395"/>
    <w:rsid w:val="006B702D"/>
    <w:rsid w:val="006B7F03"/>
    <w:rsid w:val="006C2323"/>
    <w:rsid w:val="006D2AB2"/>
    <w:rsid w:val="006D316F"/>
    <w:rsid w:val="006D38BA"/>
    <w:rsid w:val="006F3D18"/>
    <w:rsid w:val="006F4178"/>
    <w:rsid w:val="006F4B4E"/>
    <w:rsid w:val="007028A0"/>
    <w:rsid w:val="00703BB7"/>
    <w:rsid w:val="0070431D"/>
    <w:rsid w:val="00707B87"/>
    <w:rsid w:val="00707E3A"/>
    <w:rsid w:val="0071161D"/>
    <w:rsid w:val="007142B7"/>
    <w:rsid w:val="0071566D"/>
    <w:rsid w:val="007220CC"/>
    <w:rsid w:val="00722BB0"/>
    <w:rsid w:val="00725B45"/>
    <w:rsid w:val="00732BEA"/>
    <w:rsid w:val="00741438"/>
    <w:rsid w:val="00741BFB"/>
    <w:rsid w:val="00742FAC"/>
    <w:rsid w:val="0074318D"/>
    <w:rsid w:val="00743574"/>
    <w:rsid w:val="00744789"/>
    <w:rsid w:val="007464FC"/>
    <w:rsid w:val="007465ED"/>
    <w:rsid w:val="00753BCB"/>
    <w:rsid w:val="007604BC"/>
    <w:rsid w:val="00763FAF"/>
    <w:rsid w:val="00765BCD"/>
    <w:rsid w:val="00771584"/>
    <w:rsid w:val="00771EFD"/>
    <w:rsid w:val="00776B23"/>
    <w:rsid w:val="00780F9F"/>
    <w:rsid w:val="00781B8A"/>
    <w:rsid w:val="00786345"/>
    <w:rsid w:val="007915D1"/>
    <w:rsid w:val="00793A83"/>
    <w:rsid w:val="00794AAC"/>
    <w:rsid w:val="00797015"/>
    <w:rsid w:val="007A19C5"/>
    <w:rsid w:val="007A1D0D"/>
    <w:rsid w:val="007A4B36"/>
    <w:rsid w:val="007A630C"/>
    <w:rsid w:val="007B5CB4"/>
    <w:rsid w:val="007B63BE"/>
    <w:rsid w:val="007C02D0"/>
    <w:rsid w:val="007C150D"/>
    <w:rsid w:val="007C282B"/>
    <w:rsid w:val="007C2DB4"/>
    <w:rsid w:val="007C3B63"/>
    <w:rsid w:val="007C4336"/>
    <w:rsid w:val="007D31DB"/>
    <w:rsid w:val="007D3A44"/>
    <w:rsid w:val="007D7882"/>
    <w:rsid w:val="007E0DE0"/>
    <w:rsid w:val="007E49CE"/>
    <w:rsid w:val="007F5042"/>
    <w:rsid w:val="007F5A62"/>
    <w:rsid w:val="007F6548"/>
    <w:rsid w:val="007F7AA6"/>
    <w:rsid w:val="008027D5"/>
    <w:rsid w:val="0080327E"/>
    <w:rsid w:val="0080528A"/>
    <w:rsid w:val="00806793"/>
    <w:rsid w:val="00806BC9"/>
    <w:rsid w:val="00807547"/>
    <w:rsid w:val="00807604"/>
    <w:rsid w:val="00812AFF"/>
    <w:rsid w:val="0081552E"/>
    <w:rsid w:val="00823607"/>
    <w:rsid w:val="00823624"/>
    <w:rsid w:val="0082763D"/>
    <w:rsid w:val="00827683"/>
    <w:rsid w:val="00827957"/>
    <w:rsid w:val="0083196D"/>
    <w:rsid w:val="00832E67"/>
    <w:rsid w:val="00833816"/>
    <w:rsid w:val="00833918"/>
    <w:rsid w:val="00835430"/>
    <w:rsid w:val="00837E47"/>
    <w:rsid w:val="00840B7D"/>
    <w:rsid w:val="00841BD1"/>
    <w:rsid w:val="00841E94"/>
    <w:rsid w:val="0084322C"/>
    <w:rsid w:val="008432C8"/>
    <w:rsid w:val="008518FE"/>
    <w:rsid w:val="00852ABC"/>
    <w:rsid w:val="008546DA"/>
    <w:rsid w:val="00854802"/>
    <w:rsid w:val="0085659C"/>
    <w:rsid w:val="00856A6C"/>
    <w:rsid w:val="00860A36"/>
    <w:rsid w:val="00872026"/>
    <w:rsid w:val="00874D07"/>
    <w:rsid w:val="0087792E"/>
    <w:rsid w:val="008806AA"/>
    <w:rsid w:val="008826A3"/>
    <w:rsid w:val="00882D0E"/>
    <w:rsid w:val="00883EAF"/>
    <w:rsid w:val="00885258"/>
    <w:rsid w:val="00887D49"/>
    <w:rsid w:val="00887F87"/>
    <w:rsid w:val="00897469"/>
    <w:rsid w:val="008A0675"/>
    <w:rsid w:val="008A1970"/>
    <w:rsid w:val="008A1E03"/>
    <w:rsid w:val="008A1E38"/>
    <w:rsid w:val="008A30C3"/>
    <w:rsid w:val="008A3C23"/>
    <w:rsid w:val="008A3CEE"/>
    <w:rsid w:val="008A5AE9"/>
    <w:rsid w:val="008A731D"/>
    <w:rsid w:val="008A7BF7"/>
    <w:rsid w:val="008B002A"/>
    <w:rsid w:val="008B21E0"/>
    <w:rsid w:val="008B2DF9"/>
    <w:rsid w:val="008B48E1"/>
    <w:rsid w:val="008B74CD"/>
    <w:rsid w:val="008B75A4"/>
    <w:rsid w:val="008C2AA5"/>
    <w:rsid w:val="008C49CC"/>
    <w:rsid w:val="008D024F"/>
    <w:rsid w:val="008D272F"/>
    <w:rsid w:val="008D274F"/>
    <w:rsid w:val="008D69E9"/>
    <w:rsid w:val="008E0645"/>
    <w:rsid w:val="008F0E56"/>
    <w:rsid w:val="008F1293"/>
    <w:rsid w:val="008F1AB2"/>
    <w:rsid w:val="008F43FF"/>
    <w:rsid w:val="008F594A"/>
    <w:rsid w:val="0090176F"/>
    <w:rsid w:val="00902A8C"/>
    <w:rsid w:val="00903EDE"/>
    <w:rsid w:val="0090475E"/>
    <w:rsid w:val="00904C7E"/>
    <w:rsid w:val="0091035B"/>
    <w:rsid w:val="009135CB"/>
    <w:rsid w:val="00913CE3"/>
    <w:rsid w:val="009208BB"/>
    <w:rsid w:val="00922813"/>
    <w:rsid w:val="00925428"/>
    <w:rsid w:val="00927773"/>
    <w:rsid w:val="00932F2F"/>
    <w:rsid w:val="00936B9F"/>
    <w:rsid w:val="00937D7D"/>
    <w:rsid w:val="0094138D"/>
    <w:rsid w:val="00942C9F"/>
    <w:rsid w:val="00943013"/>
    <w:rsid w:val="0094558A"/>
    <w:rsid w:val="00947798"/>
    <w:rsid w:val="009518A0"/>
    <w:rsid w:val="00952B61"/>
    <w:rsid w:val="009539FB"/>
    <w:rsid w:val="0095529D"/>
    <w:rsid w:val="009560DE"/>
    <w:rsid w:val="009604E4"/>
    <w:rsid w:val="0096164B"/>
    <w:rsid w:val="00964322"/>
    <w:rsid w:val="00971D94"/>
    <w:rsid w:val="0097323D"/>
    <w:rsid w:val="009847F1"/>
    <w:rsid w:val="00986475"/>
    <w:rsid w:val="00987F6E"/>
    <w:rsid w:val="009904A8"/>
    <w:rsid w:val="009908E2"/>
    <w:rsid w:val="00990BEB"/>
    <w:rsid w:val="009939B3"/>
    <w:rsid w:val="009A0F68"/>
    <w:rsid w:val="009A1A07"/>
    <w:rsid w:val="009A1F6E"/>
    <w:rsid w:val="009A374A"/>
    <w:rsid w:val="009A547F"/>
    <w:rsid w:val="009B0250"/>
    <w:rsid w:val="009B2CD6"/>
    <w:rsid w:val="009B323A"/>
    <w:rsid w:val="009B47DD"/>
    <w:rsid w:val="009B483D"/>
    <w:rsid w:val="009B632F"/>
    <w:rsid w:val="009C303F"/>
    <w:rsid w:val="009C5D15"/>
    <w:rsid w:val="009C7D17"/>
    <w:rsid w:val="009D21CF"/>
    <w:rsid w:val="009D2C0C"/>
    <w:rsid w:val="009D46E0"/>
    <w:rsid w:val="009E2872"/>
    <w:rsid w:val="009E2BE3"/>
    <w:rsid w:val="009E484E"/>
    <w:rsid w:val="009F10FB"/>
    <w:rsid w:val="009F219C"/>
    <w:rsid w:val="009F32DA"/>
    <w:rsid w:val="009F40FB"/>
    <w:rsid w:val="009F4F60"/>
    <w:rsid w:val="009F7A0E"/>
    <w:rsid w:val="00A016E0"/>
    <w:rsid w:val="00A03D2E"/>
    <w:rsid w:val="00A04AA9"/>
    <w:rsid w:val="00A114C0"/>
    <w:rsid w:val="00A12A26"/>
    <w:rsid w:val="00A14966"/>
    <w:rsid w:val="00A17A30"/>
    <w:rsid w:val="00A17E19"/>
    <w:rsid w:val="00A21A4F"/>
    <w:rsid w:val="00A22FCB"/>
    <w:rsid w:val="00A23291"/>
    <w:rsid w:val="00A26ACD"/>
    <w:rsid w:val="00A3017B"/>
    <w:rsid w:val="00A30345"/>
    <w:rsid w:val="00A31751"/>
    <w:rsid w:val="00A32331"/>
    <w:rsid w:val="00A327D2"/>
    <w:rsid w:val="00A360AF"/>
    <w:rsid w:val="00A37EE2"/>
    <w:rsid w:val="00A430DB"/>
    <w:rsid w:val="00A43383"/>
    <w:rsid w:val="00A45B82"/>
    <w:rsid w:val="00A472F1"/>
    <w:rsid w:val="00A51E69"/>
    <w:rsid w:val="00A5237D"/>
    <w:rsid w:val="00A53019"/>
    <w:rsid w:val="00A53328"/>
    <w:rsid w:val="00A54FBF"/>
    <w:rsid w:val="00A554A3"/>
    <w:rsid w:val="00A55CBB"/>
    <w:rsid w:val="00A5745B"/>
    <w:rsid w:val="00A60914"/>
    <w:rsid w:val="00A64B2E"/>
    <w:rsid w:val="00A64F55"/>
    <w:rsid w:val="00A651A4"/>
    <w:rsid w:val="00A6665E"/>
    <w:rsid w:val="00A673D9"/>
    <w:rsid w:val="00A71E6D"/>
    <w:rsid w:val="00A72D61"/>
    <w:rsid w:val="00A72DE0"/>
    <w:rsid w:val="00A73F4C"/>
    <w:rsid w:val="00A74CE6"/>
    <w:rsid w:val="00A758EA"/>
    <w:rsid w:val="00A80EAD"/>
    <w:rsid w:val="00A81872"/>
    <w:rsid w:val="00A83F22"/>
    <w:rsid w:val="00A8551D"/>
    <w:rsid w:val="00A8697D"/>
    <w:rsid w:val="00A87487"/>
    <w:rsid w:val="00A87AE5"/>
    <w:rsid w:val="00A91B16"/>
    <w:rsid w:val="00A9527E"/>
    <w:rsid w:val="00A95C50"/>
    <w:rsid w:val="00A9663C"/>
    <w:rsid w:val="00AA654D"/>
    <w:rsid w:val="00AA7178"/>
    <w:rsid w:val="00AB080B"/>
    <w:rsid w:val="00AB4036"/>
    <w:rsid w:val="00AB46AA"/>
    <w:rsid w:val="00AB76C1"/>
    <w:rsid w:val="00AB79A6"/>
    <w:rsid w:val="00AC0E10"/>
    <w:rsid w:val="00AC12AB"/>
    <w:rsid w:val="00AC465D"/>
    <w:rsid w:val="00AC4850"/>
    <w:rsid w:val="00AC5747"/>
    <w:rsid w:val="00AC5DA4"/>
    <w:rsid w:val="00AC6344"/>
    <w:rsid w:val="00AC6B3A"/>
    <w:rsid w:val="00AC73D8"/>
    <w:rsid w:val="00AC7A86"/>
    <w:rsid w:val="00AC7FD5"/>
    <w:rsid w:val="00AD0585"/>
    <w:rsid w:val="00AD13B5"/>
    <w:rsid w:val="00AD1D34"/>
    <w:rsid w:val="00AD2424"/>
    <w:rsid w:val="00AD28BF"/>
    <w:rsid w:val="00AD4A97"/>
    <w:rsid w:val="00AD50B2"/>
    <w:rsid w:val="00AD54E4"/>
    <w:rsid w:val="00AD56A7"/>
    <w:rsid w:val="00AD5D94"/>
    <w:rsid w:val="00AE4A48"/>
    <w:rsid w:val="00AF17BA"/>
    <w:rsid w:val="00AF2F00"/>
    <w:rsid w:val="00AF365B"/>
    <w:rsid w:val="00B0045E"/>
    <w:rsid w:val="00B004C9"/>
    <w:rsid w:val="00B061D4"/>
    <w:rsid w:val="00B10C25"/>
    <w:rsid w:val="00B11886"/>
    <w:rsid w:val="00B1297F"/>
    <w:rsid w:val="00B24DC7"/>
    <w:rsid w:val="00B3166E"/>
    <w:rsid w:val="00B334F8"/>
    <w:rsid w:val="00B33767"/>
    <w:rsid w:val="00B3486E"/>
    <w:rsid w:val="00B3530D"/>
    <w:rsid w:val="00B37445"/>
    <w:rsid w:val="00B4216C"/>
    <w:rsid w:val="00B47B59"/>
    <w:rsid w:val="00B53F81"/>
    <w:rsid w:val="00B54EDF"/>
    <w:rsid w:val="00B56C2B"/>
    <w:rsid w:val="00B57D1E"/>
    <w:rsid w:val="00B62347"/>
    <w:rsid w:val="00B65BD3"/>
    <w:rsid w:val="00B70469"/>
    <w:rsid w:val="00B72DD8"/>
    <w:rsid w:val="00B72E09"/>
    <w:rsid w:val="00B74715"/>
    <w:rsid w:val="00B7765A"/>
    <w:rsid w:val="00B77E26"/>
    <w:rsid w:val="00B8144A"/>
    <w:rsid w:val="00B82F17"/>
    <w:rsid w:val="00B844E2"/>
    <w:rsid w:val="00B84E99"/>
    <w:rsid w:val="00B86A07"/>
    <w:rsid w:val="00B86C41"/>
    <w:rsid w:val="00B90A44"/>
    <w:rsid w:val="00B93999"/>
    <w:rsid w:val="00B955D6"/>
    <w:rsid w:val="00B955E6"/>
    <w:rsid w:val="00BA1F7E"/>
    <w:rsid w:val="00BA559D"/>
    <w:rsid w:val="00BB061C"/>
    <w:rsid w:val="00BB1957"/>
    <w:rsid w:val="00BB2897"/>
    <w:rsid w:val="00BB42C4"/>
    <w:rsid w:val="00BB447B"/>
    <w:rsid w:val="00BB4DB8"/>
    <w:rsid w:val="00BB5938"/>
    <w:rsid w:val="00BB6248"/>
    <w:rsid w:val="00BB7938"/>
    <w:rsid w:val="00BC2FC1"/>
    <w:rsid w:val="00BD0812"/>
    <w:rsid w:val="00BD08BC"/>
    <w:rsid w:val="00BD41C5"/>
    <w:rsid w:val="00BD44A2"/>
    <w:rsid w:val="00BE4400"/>
    <w:rsid w:val="00BE54C7"/>
    <w:rsid w:val="00BE6B2F"/>
    <w:rsid w:val="00BF0C69"/>
    <w:rsid w:val="00BF0DAD"/>
    <w:rsid w:val="00BF445F"/>
    <w:rsid w:val="00BF462F"/>
    <w:rsid w:val="00BF629B"/>
    <w:rsid w:val="00BF655C"/>
    <w:rsid w:val="00BF676D"/>
    <w:rsid w:val="00BF70C7"/>
    <w:rsid w:val="00BF7B2C"/>
    <w:rsid w:val="00C054F6"/>
    <w:rsid w:val="00C06DC5"/>
    <w:rsid w:val="00C075EF"/>
    <w:rsid w:val="00C10A79"/>
    <w:rsid w:val="00C10FD1"/>
    <w:rsid w:val="00C1190B"/>
    <w:rsid w:val="00C11E83"/>
    <w:rsid w:val="00C1332B"/>
    <w:rsid w:val="00C14702"/>
    <w:rsid w:val="00C2378A"/>
    <w:rsid w:val="00C2495E"/>
    <w:rsid w:val="00C34C9B"/>
    <w:rsid w:val="00C35B3A"/>
    <w:rsid w:val="00C36176"/>
    <w:rsid w:val="00C378A1"/>
    <w:rsid w:val="00C40A00"/>
    <w:rsid w:val="00C613EB"/>
    <w:rsid w:val="00C621D6"/>
    <w:rsid w:val="00C62D5F"/>
    <w:rsid w:val="00C675A6"/>
    <w:rsid w:val="00C679A0"/>
    <w:rsid w:val="00C77059"/>
    <w:rsid w:val="00C81588"/>
    <w:rsid w:val="00C82584"/>
    <w:rsid w:val="00C82D86"/>
    <w:rsid w:val="00C87963"/>
    <w:rsid w:val="00C910C1"/>
    <w:rsid w:val="00C916E5"/>
    <w:rsid w:val="00C93CF2"/>
    <w:rsid w:val="00C94632"/>
    <w:rsid w:val="00C94E10"/>
    <w:rsid w:val="00C952A7"/>
    <w:rsid w:val="00C9715C"/>
    <w:rsid w:val="00CA0A47"/>
    <w:rsid w:val="00CA23D8"/>
    <w:rsid w:val="00CA5204"/>
    <w:rsid w:val="00CB3CEB"/>
    <w:rsid w:val="00CB4B8D"/>
    <w:rsid w:val="00CC0CA7"/>
    <w:rsid w:val="00CC0DDA"/>
    <w:rsid w:val="00CD0EFF"/>
    <w:rsid w:val="00CD4119"/>
    <w:rsid w:val="00CD4745"/>
    <w:rsid w:val="00CD684F"/>
    <w:rsid w:val="00CE1D32"/>
    <w:rsid w:val="00CE25B1"/>
    <w:rsid w:val="00CE2F2B"/>
    <w:rsid w:val="00CE651B"/>
    <w:rsid w:val="00CE6E4E"/>
    <w:rsid w:val="00CF63BD"/>
    <w:rsid w:val="00CF7B0C"/>
    <w:rsid w:val="00D06623"/>
    <w:rsid w:val="00D10275"/>
    <w:rsid w:val="00D14C09"/>
    <w:rsid w:val="00D14C6B"/>
    <w:rsid w:val="00D2069A"/>
    <w:rsid w:val="00D2300E"/>
    <w:rsid w:val="00D332FE"/>
    <w:rsid w:val="00D3785F"/>
    <w:rsid w:val="00D40226"/>
    <w:rsid w:val="00D4027F"/>
    <w:rsid w:val="00D41F82"/>
    <w:rsid w:val="00D443FD"/>
    <w:rsid w:val="00D5536F"/>
    <w:rsid w:val="00D562AD"/>
    <w:rsid w:val="00D56340"/>
    <w:rsid w:val="00D56935"/>
    <w:rsid w:val="00D56E6C"/>
    <w:rsid w:val="00D622FD"/>
    <w:rsid w:val="00D62F02"/>
    <w:rsid w:val="00D639DE"/>
    <w:rsid w:val="00D722DC"/>
    <w:rsid w:val="00D727F3"/>
    <w:rsid w:val="00D736B5"/>
    <w:rsid w:val="00D758C6"/>
    <w:rsid w:val="00D77777"/>
    <w:rsid w:val="00D77C8D"/>
    <w:rsid w:val="00D8282C"/>
    <w:rsid w:val="00D82C57"/>
    <w:rsid w:val="00D830CC"/>
    <w:rsid w:val="00D83316"/>
    <w:rsid w:val="00D8634F"/>
    <w:rsid w:val="00D86DE1"/>
    <w:rsid w:val="00D906B9"/>
    <w:rsid w:val="00D90C10"/>
    <w:rsid w:val="00D90F4C"/>
    <w:rsid w:val="00D91D1E"/>
    <w:rsid w:val="00D92E96"/>
    <w:rsid w:val="00D9342E"/>
    <w:rsid w:val="00D9608D"/>
    <w:rsid w:val="00D974DF"/>
    <w:rsid w:val="00D978D6"/>
    <w:rsid w:val="00DA258C"/>
    <w:rsid w:val="00DA4E99"/>
    <w:rsid w:val="00DA5885"/>
    <w:rsid w:val="00DB0F6C"/>
    <w:rsid w:val="00DB1CAA"/>
    <w:rsid w:val="00DB7992"/>
    <w:rsid w:val="00DC0FAC"/>
    <w:rsid w:val="00DC16B9"/>
    <w:rsid w:val="00DC22E7"/>
    <w:rsid w:val="00DC2D82"/>
    <w:rsid w:val="00DC5FBA"/>
    <w:rsid w:val="00DC7AA5"/>
    <w:rsid w:val="00DD2C8A"/>
    <w:rsid w:val="00DD7360"/>
    <w:rsid w:val="00DD7762"/>
    <w:rsid w:val="00DD7F4F"/>
    <w:rsid w:val="00DE07FA"/>
    <w:rsid w:val="00DE3432"/>
    <w:rsid w:val="00DE3B82"/>
    <w:rsid w:val="00DE5948"/>
    <w:rsid w:val="00DE6A4A"/>
    <w:rsid w:val="00DE7680"/>
    <w:rsid w:val="00DF096C"/>
    <w:rsid w:val="00DF179E"/>
    <w:rsid w:val="00DF2919"/>
    <w:rsid w:val="00DF2DDE"/>
    <w:rsid w:val="00DF49B8"/>
    <w:rsid w:val="00DF4BFA"/>
    <w:rsid w:val="00DF626A"/>
    <w:rsid w:val="00DF6722"/>
    <w:rsid w:val="00DF7E9F"/>
    <w:rsid w:val="00E013CF"/>
    <w:rsid w:val="00E01667"/>
    <w:rsid w:val="00E04C1E"/>
    <w:rsid w:val="00E07A6E"/>
    <w:rsid w:val="00E10380"/>
    <w:rsid w:val="00E12401"/>
    <w:rsid w:val="00E126CF"/>
    <w:rsid w:val="00E1553F"/>
    <w:rsid w:val="00E16BEC"/>
    <w:rsid w:val="00E212CF"/>
    <w:rsid w:val="00E22B61"/>
    <w:rsid w:val="00E25A53"/>
    <w:rsid w:val="00E27AC1"/>
    <w:rsid w:val="00E32F38"/>
    <w:rsid w:val="00E33092"/>
    <w:rsid w:val="00E36209"/>
    <w:rsid w:val="00E37FD8"/>
    <w:rsid w:val="00E41B28"/>
    <w:rsid w:val="00E420BB"/>
    <w:rsid w:val="00E4371F"/>
    <w:rsid w:val="00E4792C"/>
    <w:rsid w:val="00E508A8"/>
    <w:rsid w:val="00E50DF6"/>
    <w:rsid w:val="00E53869"/>
    <w:rsid w:val="00E615DF"/>
    <w:rsid w:val="00E61AF0"/>
    <w:rsid w:val="00E6288D"/>
    <w:rsid w:val="00E633EC"/>
    <w:rsid w:val="00E6438A"/>
    <w:rsid w:val="00E660D9"/>
    <w:rsid w:val="00E73CE4"/>
    <w:rsid w:val="00E73F8B"/>
    <w:rsid w:val="00E8116E"/>
    <w:rsid w:val="00E8151C"/>
    <w:rsid w:val="00E81DDD"/>
    <w:rsid w:val="00E84CB5"/>
    <w:rsid w:val="00E96157"/>
    <w:rsid w:val="00E965C5"/>
    <w:rsid w:val="00E96A3A"/>
    <w:rsid w:val="00E97402"/>
    <w:rsid w:val="00E97B99"/>
    <w:rsid w:val="00EA3549"/>
    <w:rsid w:val="00EA4BDF"/>
    <w:rsid w:val="00EA643E"/>
    <w:rsid w:val="00EA6513"/>
    <w:rsid w:val="00EA76A4"/>
    <w:rsid w:val="00EB0D5D"/>
    <w:rsid w:val="00EB2E9D"/>
    <w:rsid w:val="00EB3F98"/>
    <w:rsid w:val="00EC18E1"/>
    <w:rsid w:val="00EC2264"/>
    <w:rsid w:val="00EC3DAF"/>
    <w:rsid w:val="00EC4468"/>
    <w:rsid w:val="00EC50B7"/>
    <w:rsid w:val="00ED3C77"/>
    <w:rsid w:val="00ED6F11"/>
    <w:rsid w:val="00ED76A0"/>
    <w:rsid w:val="00ED76DF"/>
    <w:rsid w:val="00EE0A1B"/>
    <w:rsid w:val="00EE23B0"/>
    <w:rsid w:val="00EE6DA6"/>
    <w:rsid w:val="00EE6FFC"/>
    <w:rsid w:val="00EF10A0"/>
    <w:rsid w:val="00EF10AC"/>
    <w:rsid w:val="00EF3110"/>
    <w:rsid w:val="00EF39B0"/>
    <w:rsid w:val="00EF4701"/>
    <w:rsid w:val="00EF564E"/>
    <w:rsid w:val="00EF68ED"/>
    <w:rsid w:val="00F00DB7"/>
    <w:rsid w:val="00F01019"/>
    <w:rsid w:val="00F036AB"/>
    <w:rsid w:val="00F03A82"/>
    <w:rsid w:val="00F0736F"/>
    <w:rsid w:val="00F1058F"/>
    <w:rsid w:val="00F132C6"/>
    <w:rsid w:val="00F15281"/>
    <w:rsid w:val="00F178E7"/>
    <w:rsid w:val="00F22198"/>
    <w:rsid w:val="00F22C27"/>
    <w:rsid w:val="00F232BD"/>
    <w:rsid w:val="00F23ABB"/>
    <w:rsid w:val="00F24721"/>
    <w:rsid w:val="00F32A33"/>
    <w:rsid w:val="00F33D49"/>
    <w:rsid w:val="00F340D1"/>
    <w:rsid w:val="00F3481E"/>
    <w:rsid w:val="00F40EED"/>
    <w:rsid w:val="00F4174F"/>
    <w:rsid w:val="00F43738"/>
    <w:rsid w:val="00F44495"/>
    <w:rsid w:val="00F46073"/>
    <w:rsid w:val="00F5113E"/>
    <w:rsid w:val="00F521F4"/>
    <w:rsid w:val="00F52E61"/>
    <w:rsid w:val="00F56672"/>
    <w:rsid w:val="00F577F6"/>
    <w:rsid w:val="00F62275"/>
    <w:rsid w:val="00F6351D"/>
    <w:rsid w:val="00F65266"/>
    <w:rsid w:val="00F700B7"/>
    <w:rsid w:val="00F732A3"/>
    <w:rsid w:val="00F7418C"/>
    <w:rsid w:val="00F74D3C"/>
    <w:rsid w:val="00F751E1"/>
    <w:rsid w:val="00F83A02"/>
    <w:rsid w:val="00F91F66"/>
    <w:rsid w:val="00F926F0"/>
    <w:rsid w:val="00F968AC"/>
    <w:rsid w:val="00F97ADA"/>
    <w:rsid w:val="00F97B1C"/>
    <w:rsid w:val="00FA7CF9"/>
    <w:rsid w:val="00FB6FFC"/>
    <w:rsid w:val="00FC0453"/>
    <w:rsid w:val="00FC0983"/>
    <w:rsid w:val="00FC3F89"/>
    <w:rsid w:val="00FC496C"/>
    <w:rsid w:val="00FC4DE1"/>
    <w:rsid w:val="00FC5530"/>
    <w:rsid w:val="00FC5AAB"/>
    <w:rsid w:val="00FD23F7"/>
    <w:rsid w:val="00FD347F"/>
    <w:rsid w:val="00FD5DDB"/>
    <w:rsid w:val="00FE3FA6"/>
    <w:rsid w:val="00FF02BC"/>
    <w:rsid w:val="00FF1646"/>
    <w:rsid w:val="00FF364A"/>
    <w:rsid w:val="00FF5D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62AFA1"/>
  <w15:docId w15:val="{8AAECB99-3384-4494-8C56-7ABBF0FD7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42A0"/>
  </w:style>
  <w:style w:type="paragraph" w:styleId="1">
    <w:name w:val="heading 1"/>
    <w:basedOn w:val="a"/>
    <w:next w:val="a"/>
    <w:link w:val="10"/>
    <w:uiPriority w:val="9"/>
    <w:qFormat/>
    <w:rsid w:val="001E42A0"/>
    <w:pPr>
      <w:keepNext/>
      <w:numPr>
        <w:numId w:val="1"/>
      </w:numPr>
      <w:spacing w:before="240" w:after="80"/>
      <w:jc w:val="center"/>
      <w:outlineLvl w:val="0"/>
    </w:pPr>
    <w:rPr>
      <w:smallCaps/>
      <w:kern w:val="28"/>
    </w:rPr>
  </w:style>
  <w:style w:type="paragraph" w:styleId="2">
    <w:name w:val="heading 2"/>
    <w:basedOn w:val="a"/>
    <w:next w:val="a"/>
    <w:link w:val="20"/>
    <w:uiPriority w:val="9"/>
    <w:qFormat/>
    <w:rsid w:val="001E42A0"/>
    <w:pPr>
      <w:keepNext/>
      <w:numPr>
        <w:ilvl w:val="1"/>
        <w:numId w:val="1"/>
      </w:numPr>
      <w:spacing w:before="120" w:after="60"/>
      <w:outlineLvl w:val="1"/>
    </w:pPr>
    <w:rPr>
      <w:i/>
      <w:iCs/>
    </w:rPr>
  </w:style>
  <w:style w:type="paragraph" w:styleId="3">
    <w:name w:val="heading 3"/>
    <w:basedOn w:val="a"/>
    <w:next w:val="a"/>
    <w:uiPriority w:val="9"/>
    <w:qFormat/>
    <w:rsid w:val="001E42A0"/>
    <w:pPr>
      <w:keepNext/>
      <w:numPr>
        <w:ilvl w:val="2"/>
        <w:numId w:val="1"/>
      </w:numPr>
      <w:outlineLvl w:val="2"/>
    </w:pPr>
    <w:rPr>
      <w:i/>
      <w:iCs/>
    </w:rPr>
  </w:style>
  <w:style w:type="paragraph" w:styleId="4">
    <w:name w:val="heading 4"/>
    <w:basedOn w:val="a"/>
    <w:next w:val="a"/>
    <w:uiPriority w:val="9"/>
    <w:qFormat/>
    <w:rsid w:val="001E42A0"/>
    <w:pPr>
      <w:keepNext/>
      <w:numPr>
        <w:ilvl w:val="3"/>
        <w:numId w:val="1"/>
      </w:numPr>
      <w:spacing w:before="240" w:after="60"/>
      <w:outlineLvl w:val="3"/>
    </w:pPr>
    <w:rPr>
      <w:i/>
      <w:iCs/>
      <w:sz w:val="18"/>
      <w:szCs w:val="18"/>
    </w:rPr>
  </w:style>
  <w:style w:type="paragraph" w:styleId="5">
    <w:name w:val="heading 5"/>
    <w:basedOn w:val="a"/>
    <w:next w:val="a"/>
    <w:uiPriority w:val="9"/>
    <w:qFormat/>
    <w:rsid w:val="001E42A0"/>
    <w:pPr>
      <w:numPr>
        <w:ilvl w:val="4"/>
        <w:numId w:val="1"/>
      </w:numPr>
      <w:spacing w:before="240" w:after="60"/>
      <w:outlineLvl w:val="4"/>
    </w:pPr>
    <w:rPr>
      <w:sz w:val="18"/>
      <w:szCs w:val="18"/>
    </w:rPr>
  </w:style>
  <w:style w:type="paragraph" w:styleId="6">
    <w:name w:val="heading 6"/>
    <w:basedOn w:val="a"/>
    <w:next w:val="a"/>
    <w:uiPriority w:val="9"/>
    <w:qFormat/>
    <w:rsid w:val="001E42A0"/>
    <w:pPr>
      <w:numPr>
        <w:ilvl w:val="5"/>
        <w:numId w:val="1"/>
      </w:numPr>
      <w:spacing w:before="240" w:after="60"/>
      <w:outlineLvl w:val="5"/>
    </w:pPr>
    <w:rPr>
      <w:i/>
      <w:iCs/>
      <w:sz w:val="16"/>
      <w:szCs w:val="16"/>
    </w:rPr>
  </w:style>
  <w:style w:type="paragraph" w:styleId="7">
    <w:name w:val="heading 7"/>
    <w:basedOn w:val="a"/>
    <w:next w:val="a"/>
    <w:uiPriority w:val="9"/>
    <w:qFormat/>
    <w:rsid w:val="001E42A0"/>
    <w:pPr>
      <w:numPr>
        <w:ilvl w:val="6"/>
        <w:numId w:val="1"/>
      </w:numPr>
      <w:spacing w:before="240" w:after="60"/>
      <w:outlineLvl w:val="6"/>
    </w:pPr>
    <w:rPr>
      <w:sz w:val="16"/>
      <w:szCs w:val="16"/>
    </w:rPr>
  </w:style>
  <w:style w:type="paragraph" w:styleId="8">
    <w:name w:val="heading 8"/>
    <w:basedOn w:val="a"/>
    <w:next w:val="a"/>
    <w:uiPriority w:val="9"/>
    <w:qFormat/>
    <w:rsid w:val="001E42A0"/>
    <w:pPr>
      <w:numPr>
        <w:ilvl w:val="7"/>
        <w:numId w:val="1"/>
      </w:numPr>
      <w:spacing w:before="240" w:after="60"/>
      <w:outlineLvl w:val="7"/>
    </w:pPr>
    <w:rPr>
      <w:i/>
      <w:iCs/>
      <w:sz w:val="16"/>
      <w:szCs w:val="16"/>
    </w:rPr>
  </w:style>
  <w:style w:type="paragraph" w:styleId="9">
    <w:name w:val="heading 9"/>
    <w:basedOn w:val="a"/>
    <w:next w:val="a"/>
    <w:uiPriority w:val="9"/>
    <w:qFormat/>
    <w:rsid w:val="001E42A0"/>
    <w:pPr>
      <w:numPr>
        <w:ilvl w:val="8"/>
        <w:numId w:val="1"/>
      </w:numPr>
      <w:spacing w:before="240" w:after="60"/>
      <w:outlineLvl w:val="8"/>
    </w:pPr>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stract">
    <w:name w:val="Abstract"/>
    <w:basedOn w:val="a"/>
    <w:next w:val="a"/>
    <w:rsid w:val="001E42A0"/>
    <w:pPr>
      <w:spacing w:before="20"/>
      <w:ind w:firstLine="202"/>
      <w:jc w:val="both"/>
    </w:pPr>
    <w:rPr>
      <w:b/>
      <w:bCs/>
      <w:sz w:val="18"/>
      <w:szCs w:val="18"/>
    </w:rPr>
  </w:style>
  <w:style w:type="paragraph" w:customStyle="1" w:styleId="Authors">
    <w:name w:val="Authors"/>
    <w:basedOn w:val="a"/>
    <w:next w:val="a"/>
    <w:rsid w:val="001E42A0"/>
    <w:pPr>
      <w:framePr w:w="9072" w:hSpace="187" w:vSpace="187" w:wrap="notBeside" w:vAnchor="text" w:hAnchor="page" w:xAlign="center" w:y="1"/>
      <w:spacing w:after="320"/>
      <w:jc w:val="center"/>
    </w:pPr>
    <w:rPr>
      <w:sz w:val="22"/>
      <w:szCs w:val="22"/>
    </w:rPr>
  </w:style>
  <w:style w:type="character" w:customStyle="1" w:styleId="MemberType">
    <w:name w:val="MemberType"/>
    <w:basedOn w:val="a0"/>
    <w:rsid w:val="001E42A0"/>
    <w:rPr>
      <w:rFonts w:ascii="Times New Roman" w:hAnsi="Times New Roman" w:cs="Times New Roman"/>
      <w:i/>
      <w:iCs/>
      <w:sz w:val="22"/>
      <w:szCs w:val="22"/>
    </w:rPr>
  </w:style>
  <w:style w:type="paragraph" w:styleId="a3">
    <w:name w:val="Title"/>
    <w:basedOn w:val="a"/>
    <w:next w:val="a"/>
    <w:qFormat/>
    <w:rsid w:val="001E42A0"/>
    <w:pPr>
      <w:framePr w:w="9360" w:hSpace="187" w:vSpace="187" w:wrap="notBeside" w:vAnchor="text" w:hAnchor="page" w:xAlign="center" w:y="1"/>
      <w:jc w:val="center"/>
    </w:pPr>
    <w:rPr>
      <w:kern w:val="28"/>
      <w:sz w:val="48"/>
      <w:szCs w:val="48"/>
    </w:rPr>
  </w:style>
  <w:style w:type="paragraph" w:styleId="a4">
    <w:name w:val="footnote text"/>
    <w:basedOn w:val="a"/>
    <w:link w:val="a5"/>
    <w:semiHidden/>
    <w:rsid w:val="001E42A0"/>
    <w:pPr>
      <w:ind w:firstLine="202"/>
      <w:jc w:val="both"/>
    </w:pPr>
    <w:rPr>
      <w:sz w:val="16"/>
      <w:szCs w:val="16"/>
    </w:rPr>
  </w:style>
  <w:style w:type="paragraph" w:customStyle="1" w:styleId="References">
    <w:name w:val="References"/>
    <w:basedOn w:val="a"/>
    <w:rsid w:val="001E42A0"/>
    <w:pPr>
      <w:jc w:val="both"/>
    </w:pPr>
    <w:rPr>
      <w:sz w:val="16"/>
      <w:szCs w:val="16"/>
    </w:rPr>
  </w:style>
  <w:style w:type="paragraph" w:customStyle="1" w:styleId="IndexTerms">
    <w:name w:val="IndexTerms"/>
    <w:basedOn w:val="a"/>
    <w:next w:val="a"/>
    <w:rsid w:val="001E42A0"/>
    <w:pPr>
      <w:ind w:firstLine="202"/>
      <w:jc w:val="both"/>
    </w:pPr>
    <w:rPr>
      <w:b/>
      <w:bCs/>
      <w:sz w:val="18"/>
      <w:szCs w:val="18"/>
    </w:rPr>
  </w:style>
  <w:style w:type="character" w:styleId="a6">
    <w:name w:val="footnote reference"/>
    <w:basedOn w:val="a0"/>
    <w:semiHidden/>
    <w:rsid w:val="001E42A0"/>
    <w:rPr>
      <w:vertAlign w:val="superscript"/>
    </w:rPr>
  </w:style>
  <w:style w:type="paragraph" w:styleId="a7">
    <w:name w:val="footer"/>
    <w:basedOn w:val="a"/>
    <w:link w:val="a8"/>
    <w:uiPriority w:val="99"/>
    <w:rsid w:val="001E42A0"/>
    <w:pPr>
      <w:tabs>
        <w:tab w:val="center" w:pos="4320"/>
        <w:tab w:val="right" w:pos="8640"/>
      </w:tabs>
    </w:pPr>
  </w:style>
  <w:style w:type="paragraph" w:customStyle="1" w:styleId="Text">
    <w:name w:val="Text"/>
    <w:basedOn w:val="a"/>
    <w:rsid w:val="001E42A0"/>
    <w:pPr>
      <w:widowControl w:val="0"/>
      <w:spacing w:line="252" w:lineRule="auto"/>
      <w:ind w:firstLine="202"/>
      <w:jc w:val="both"/>
    </w:pPr>
  </w:style>
  <w:style w:type="paragraph" w:customStyle="1" w:styleId="FigureCaption">
    <w:name w:val="Figure Caption"/>
    <w:basedOn w:val="a"/>
    <w:rsid w:val="001E42A0"/>
    <w:pPr>
      <w:jc w:val="both"/>
    </w:pPr>
    <w:rPr>
      <w:sz w:val="16"/>
      <w:szCs w:val="16"/>
    </w:rPr>
  </w:style>
  <w:style w:type="paragraph" w:customStyle="1" w:styleId="TableTitle">
    <w:name w:val="Table Title"/>
    <w:basedOn w:val="a"/>
    <w:rsid w:val="001E42A0"/>
    <w:pPr>
      <w:jc w:val="center"/>
    </w:pPr>
    <w:rPr>
      <w:smallCaps/>
      <w:sz w:val="16"/>
      <w:szCs w:val="16"/>
    </w:rPr>
  </w:style>
  <w:style w:type="paragraph" w:customStyle="1" w:styleId="ReferenceHead">
    <w:name w:val="Reference Head"/>
    <w:basedOn w:val="1"/>
    <w:link w:val="ReferenceHeadChar"/>
    <w:rsid w:val="001E42A0"/>
    <w:pPr>
      <w:numPr>
        <w:numId w:val="0"/>
      </w:numPr>
    </w:pPr>
  </w:style>
  <w:style w:type="paragraph" w:styleId="a9">
    <w:name w:val="header"/>
    <w:basedOn w:val="a"/>
    <w:link w:val="aa"/>
    <w:uiPriority w:val="99"/>
    <w:rsid w:val="001E42A0"/>
    <w:pPr>
      <w:tabs>
        <w:tab w:val="center" w:pos="4320"/>
        <w:tab w:val="right" w:pos="8640"/>
      </w:tabs>
    </w:pPr>
  </w:style>
  <w:style w:type="paragraph" w:customStyle="1" w:styleId="Equation">
    <w:name w:val="Equation"/>
    <w:basedOn w:val="a"/>
    <w:next w:val="a"/>
    <w:rsid w:val="001E42A0"/>
    <w:pPr>
      <w:widowControl w:val="0"/>
      <w:tabs>
        <w:tab w:val="right" w:pos="5040"/>
      </w:tabs>
      <w:spacing w:line="252" w:lineRule="auto"/>
      <w:jc w:val="both"/>
    </w:pPr>
  </w:style>
  <w:style w:type="character" w:styleId="ab">
    <w:name w:val="Hyperlink"/>
    <w:basedOn w:val="a0"/>
    <w:rsid w:val="001E42A0"/>
    <w:rPr>
      <w:color w:val="0000FF"/>
      <w:u w:val="single"/>
    </w:rPr>
  </w:style>
  <w:style w:type="character" w:styleId="ac">
    <w:name w:val="FollowedHyperlink"/>
    <w:basedOn w:val="a0"/>
    <w:rsid w:val="001E42A0"/>
    <w:rPr>
      <w:color w:val="800080"/>
      <w:u w:val="single"/>
    </w:rPr>
  </w:style>
  <w:style w:type="paragraph" w:styleId="ad">
    <w:name w:val="Body Text Indent"/>
    <w:basedOn w:val="a"/>
    <w:link w:val="ae"/>
    <w:rsid w:val="001E42A0"/>
    <w:pPr>
      <w:ind w:left="630" w:hanging="630"/>
    </w:pPr>
    <w:rPr>
      <w:szCs w:val="24"/>
    </w:rPr>
  </w:style>
  <w:style w:type="paragraph" w:styleId="af">
    <w:name w:val="Document Map"/>
    <w:basedOn w:val="a"/>
    <w:semiHidden/>
    <w:rsid w:val="00DC5FC7"/>
    <w:pPr>
      <w:shd w:val="clear" w:color="auto" w:fill="000080"/>
    </w:pPr>
    <w:rPr>
      <w:rFonts w:ascii="Tahoma" w:hAnsi="Tahoma" w:cs="Tahoma"/>
    </w:rPr>
  </w:style>
  <w:style w:type="paragraph" w:customStyle="1" w:styleId="Pa0">
    <w:name w:val="Pa0"/>
    <w:basedOn w:val="a"/>
    <w:next w:val="a"/>
    <w:rsid w:val="00426966"/>
    <w:pPr>
      <w:widowControl w:val="0"/>
      <w:adjustRightInd w:val="0"/>
      <w:spacing w:line="241" w:lineRule="atLeast"/>
    </w:pPr>
    <w:rPr>
      <w:rFonts w:ascii="Baskerville" w:hAnsi="Baskerville"/>
      <w:sz w:val="24"/>
      <w:szCs w:val="24"/>
    </w:rPr>
  </w:style>
  <w:style w:type="character" w:customStyle="1" w:styleId="A50">
    <w:name w:val="A5"/>
    <w:rsid w:val="00426966"/>
    <w:rPr>
      <w:color w:val="00529F"/>
      <w:sz w:val="20"/>
      <w:szCs w:val="20"/>
    </w:rPr>
  </w:style>
  <w:style w:type="paragraph" w:styleId="af0">
    <w:name w:val="Balloon Text"/>
    <w:basedOn w:val="a"/>
    <w:link w:val="af1"/>
    <w:rsid w:val="00F33D49"/>
    <w:rPr>
      <w:rFonts w:ascii="Tahoma" w:hAnsi="Tahoma" w:cs="Tahoma"/>
      <w:sz w:val="16"/>
      <w:szCs w:val="16"/>
    </w:rPr>
  </w:style>
  <w:style w:type="character" w:customStyle="1" w:styleId="af1">
    <w:name w:val="批注框文本 字符"/>
    <w:basedOn w:val="a0"/>
    <w:link w:val="af0"/>
    <w:rsid w:val="00F33D49"/>
    <w:rPr>
      <w:rFonts w:ascii="Tahoma" w:hAnsi="Tahoma" w:cs="Tahoma"/>
      <w:sz w:val="16"/>
      <w:szCs w:val="16"/>
    </w:rPr>
  </w:style>
  <w:style w:type="character" w:styleId="af2">
    <w:name w:val="Placeholder Text"/>
    <w:basedOn w:val="a0"/>
    <w:uiPriority w:val="99"/>
    <w:semiHidden/>
    <w:rsid w:val="009A1F6E"/>
    <w:rPr>
      <w:color w:val="808080"/>
    </w:rPr>
  </w:style>
  <w:style w:type="paragraph" w:customStyle="1" w:styleId="ParagraphStyle1">
    <w:name w:val="Paragraph Style 1"/>
    <w:basedOn w:val="a"/>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a0"/>
    <w:uiPriority w:val="99"/>
    <w:rsid w:val="00C82D86"/>
    <w:rPr>
      <w:rFonts w:ascii="Verdana" w:hAnsi="Verdana" w:cs="Verdana"/>
      <w:color w:val="000000"/>
      <w:sz w:val="22"/>
      <w:szCs w:val="22"/>
    </w:rPr>
  </w:style>
  <w:style w:type="character" w:customStyle="1" w:styleId="bodytype">
    <w:name w:val="body type"/>
    <w:basedOn w:val="a0"/>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10">
    <w:name w:val="标题 1 字符"/>
    <w:basedOn w:val="a0"/>
    <w:link w:val="1"/>
    <w:uiPriority w:val="9"/>
    <w:rsid w:val="003F52AD"/>
    <w:rPr>
      <w:smallCaps/>
      <w:kern w:val="28"/>
    </w:rPr>
  </w:style>
  <w:style w:type="character" w:customStyle="1" w:styleId="ReferenceHeadChar">
    <w:name w:val="Reference Head Char"/>
    <w:basedOn w:val="10"/>
    <w:link w:val="ReferenceHead"/>
    <w:rsid w:val="003F52AD"/>
    <w:rPr>
      <w:smallCaps/>
      <w:kern w:val="28"/>
    </w:rPr>
  </w:style>
  <w:style w:type="character" w:customStyle="1" w:styleId="Style1Char">
    <w:name w:val="Style1 Char"/>
    <w:basedOn w:val="ReferenceHeadChar"/>
    <w:link w:val="Style1"/>
    <w:rsid w:val="003F52AD"/>
    <w:rPr>
      <w:smallCaps/>
      <w:kern w:val="28"/>
    </w:rPr>
  </w:style>
  <w:style w:type="paragraph" w:styleId="af3">
    <w:name w:val="Revision"/>
    <w:hidden/>
    <w:uiPriority w:val="99"/>
    <w:semiHidden/>
    <w:rsid w:val="001B36B1"/>
  </w:style>
  <w:style w:type="character" w:customStyle="1" w:styleId="BodyText2">
    <w:name w:val="Body Text2"/>
    <w:basedOn w:val="a0"/>
    <w:uiPriority w:val="99"/>
    <w:rsid w:val="001B36B1"/>
    <w:rPr>
      <w:rFonts w:ascii="Verdana" w:hAnsi="Verdana" w:cs="Verdana"/>
      <w:color w:val="000000"/>
      <w:sz w:val="22"/>
      <w:szCs w:val="22"/>
    </w:rPr>
  </w:style>
  <w:style w:type="character" w:customStyle="1" w:styleId="20">
    <w:name w:val="标题 2 字符"/>
    <w:basedOn w:val="a0"/>
    <w:link w:val="2"/>
    <w:uiPriority w:val="9"/>
    <w:rsid w:val="001B36B1"/>
    <w:rPr>
      <w:i/>
      <w:iCs/>
    </w:rPr>
  </w:style>
  <w:style w:type="paragraph" w:customStyle="1" w:styleId="TextL-MAG">
    <w:name w:val="Text L-MAG"/>
    <w:basedOn w:val="a"/>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basedOn w:val="a0"/>
    <w:link w:val="TextL-MAG"/>
    <w:rsid w:val="009C7D17"/>
    <w:rPr>
      <w:rFonts w:ascii="Arial" w:eastAsia="MS Mincho" w:hAnsi="Arial"/>
      <w:sz w:val="18"/>
      <w:szCs w:val="22"/>
      <w:lang w:eastAsia="ja-JP"/>
    </w:rPr>
  </w:style>
  <w:style w:type="character" w:customStyle="1" w:styleId="a8">
    <w:name w:val="页脚 字符"/>
    <w:basedOn w:val="a0"/>
    <w:link w:val="a7"/>
    <w:uiPriority w:val="99"/>
    <w:rsid w:val="00D90C10"/>
  </w:style>
  <w:style w:type="character" w:customStyle="1" w:styleId="a5">
    <w:name w:val="脚注文本 字符"/>
    <w:basedOn w:val="a0"/>
    <w:link w:val="a4"/>
    <w:semiHidden/>
    <w:rsid w:val="00C075EF"/>
    <w:rPr>
      <w:sz w:val="16"/>
      <w:szCs w:val="16"/>
    </w:rPr>
  </w:style>
  <w:style w:type="character" w:customStyle="1" w:styleId="ae">
    <w:name w:val="正文文本缩进 字符"/>
    <w:basedOn w:val="a0"/>
    <w:link w:val="ad"/>
    <w:rsid w:val="003F26BD"/>
    <w:rPr>
      <w:szCs w:val="24"/>
    </w:rPr>
  </w:style>
  <w:style w:type="character" w:customStyle="1" w:styleId="aa">
    <w:name w:val="页眉 字符"/>
    <w:basedOn w:val="a0"/>
    <w:link w:val="a9"/>
    <w:uiPriority w:val="99"/>
    <w:rsid w:val="0090176F"/>
  </w:style>
  <w:style w:type="character" w:styleId="af4">
    <w:name w:val="annotation reference"/>
    <w:basedOn w:val="a0"/>
    <w:semiHidden/>
    <w:unhideWhenUsed/>
    <w:rsid w:val="009F219C"/>
    <w:rPr>
      <w:sz w:val="21"/>
      <w:szCs w:val="21"/>
    </w:rPr>
  </w:style>
  <w:style w:type="paragraph" w:styleId="af5">
    <w:name w:val="annotation text"/>
    <w:basedOn w:val="a"/>
    <w:link w:val="af6"/>
    <w:semiHidden/>
    <w:unhideWhenUsed/>
    <w:rsid w:val="009F219C"/>
  </w:style>
  <w:style w:type="character" w:customStyle="1" w:styleId="af6">
    <w:name w:val="批注文字 字符"/>
    <w:basedOn w:val="a0"/>
    <w:link w:val="af5"/>
    <w:semiHidden/>
    <w:rsid w:val="009F219C"/>
  </w:style>
  <w:style w:type="paragraph" w:styleId="af7">
    <w:name w:val="annotation subject"/>
    <w:basedOn w:val="af5"/>
    <w:next w:val="af5"/>
    <w:link w:val="af8"/>
    <w:semiHidden/>
    <w:unhideWhenUsed/>
    <w:rsid w:val="009F219C"/>
    <w:rPr>
      <w:b/>
      <w:bCs/>
    </w:rPr>
  </w:style>
  <w:style w:type="character" w:customStyle="1" w:styleId="af8">
    <w:name w:val="批注主题 字符"/>
    <w:basedOn w:val="af6"/>
    <w:link w:val="af7"/>
    <w:semiHidden/>
    <w:rsid w:val="009F219C"/>
    <w:rPr>
      <w:b/>
      <w:bCs/>
    </w:rPr>
  </w:style>
  <w:style w:type="character" w:customStyle="1" w:styleId="labellist">
    <w:name w:val="label_list"/>
    <w:basedOn w:val="a0"/>
    <w:rsid w:val="002B2EBF"/>
  </w:style>
  <w:style w:type="character" w:styleId="af9">
    <w:name w:val="Book Title"/>
    <w:basedOn w:val="a0"/>
    <w:uiPriority w:val="33"/>
    <w:qFormat/>
    <w:rsid w:val="00DE3432"/>
    <w:rPr>
      <w:b/>
      <w:bCs/>
      <w:smallCaps/>
      <w:spacing w:val="5"/>
    </w:rPr>
  </w:style>
  <w:style w:type="character" w:customStyle="1" w:styleId="11">
    <w:name w:val="未处理的提及1"/>
    <w:basedOn w:val="a0"/>
    <w:uiPriority w:val="99"/>
    <w:semiHidden/>
    <w:unhideWhenUsed/>
    <w:rsid w:val="007A4B36"/>
    <w:rPr>
      <w:color w:val="605E5C"/>
      <w:shd w:val="clear" w:color="auto" w:fill="E1DFDD"/>
    </w:rPr>
  </w:style>
  <w:style w:type="character" w:styleId="afa">
    <w:name w:val="Strong"/>
    <w:basedOn w:val="a0"/>
    <w:uiPriority w:val="22"/>
    <w:qFormat/>
    <w:rsid w:val="001B6C20"/>
    <w:rPr>
      <w:b/>
      <w:bCs/>
    </w:rPr>
  </w:style>
  <w:style w:type="paragraph" w:styleId="afb">
    <w:name w:val="List Paragraph"/>
    <w:basedOn w:val="a"/>
    <w:uiPriority w:val="34"/>
    <w:qFormat/>
    <w:rsid w:val="00563FC8"/>
    <w:pPr>
      <w:ind w:firstLineChars="200" w:firstLine="420"/>
    </w:pPr>
  </w:style>
  <w:style w:type="character" w:styleId="afc">
    <w:name w:val="Unresolved Mention"/>
    <w:basedOn w:val="a0"/>
    <w:uiPriority w:val="99"/>
    <w:semiHidden/>
    <w:unhideWhenUsed/>
    <w:rsid w:val="00F6351D"/>
    <w:rPr>
      <w:color w:val="605E5C"/>
      <w:shd w:val="clear" w:color="auto" w:fill="E1DFDD"/>
    </w:rPr>
  </w:style>
  <w:style w:type="table" w:styleId="afd">
    <w:name w:val="Table Grid"/>
    <w:basedOn w:val="a1"/>
    <w:uiPriority w:val="59"/>
    <w:rsid w:val="002E0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TEquationSection">
    <w:name w:val="MTEquationSection"/>
    <w:basedOn w:val="a0"/>
    <w:rsid w:val="00903EDE"/>
    <w:rPr>
      <w:vanish/>
      <w:color w:val="FF0000"/>
    </w:rPr>
  </w:style>
  <w:style w:type="paragraph" w:customStyle="1" w:styleId="MTDisplayEquation">
    <w:name w:val="MTDisplayEquation"/>
    <w:basedOn w:val="a"/>
    <w:next w:val="a"/>
    <w:link w:val="MTDisplayEquation0"/>
    <w:rsid w:val="00903EDE"/>
    <w:pPr>
      <w:tabs>
        <w:tab w:val="center" w:pos="2520"/>
        <w:tab w:val="right" w:pos="5040"/>
      </w:tabs>
      <w:snapToGrid w:val="0"/>
      <w:ind w:right="200"/>
      <w:textAlignment w:val="center"/>
    </w:pPr>
  </w:style>
  <w:style w:type="character" w:customStyle="1" w:styleId="MTDisplayEquation0">
    <w:name w:val="MTDisplayEquation 字符"/>
    <w:basedOn w:val="a0"/>
    <w:link w:val="MTDisplayEquation"/>
    <w:rsid w:val="00903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1.emf"/><Relationship Id="rId16" Type="http://schemas.openxmlformats.org/officeDocument/2006/relationships/image" Target="media/image5.wmf"/><Relationship Id="rId11" Type="http://schemas.openxmlformats.org/officeDocument/2006/relationships/oleObject" Target="embeddings/oleObject2.bin"/><Relationship Id="rId32" Type="http://schemas.openxmlformats.org/officeDocument/2006/relationships/image" Target="media/image13.emf"/><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6.wmf"/><Relationship Id="rId74" Type="http://schemas.openxmlformats.org/officeDocument/2006/relationships/image" Target="media/image34.emf"/><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oleObject" Target="embeddings/oleObject26.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emf"/><Relationship Id="rId69" Type="http://schemas.openxmlformats.org/officeDocument/2006/relationships/package" Target="embeddings/Microsoft_Visio___3.vsdx"/><Relationship Id="rId77" Type="http://schemas.openxmlformats.org/officeDocument/2006/relationships/header" Target="header2.xml"/><Relationship Id="rId8" Type="http://schemas.openxmlformats.org/officeDocument/2006/relationships/image" Target="media/image1.wmf"/><Relationship Id="rId51" Type="http://schemas.openxmlformats.org/officeDocument/2006/relationships/oleObject" Target="embeddings/oleObject21.bin"/><Relationship Id="rId72" Type="http://schemas.openxmlformats.org/officeDocument/2006/relationships/image" Target="media/image33.emf"/><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package" Target="embeddings/Microsoft_Visio___.vsdx"/><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5.bin"/><Relationship Id="rId67" Type="http://schemas.openxmlformats.org/officeDocument/2006/relationships/package" Target="embeddings/Microsoft_Visio___2.vsdx"/><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emf"/><Relationship Id="rId75" Type="http://schemas.openxmlformats.org/officeDocument/2006/relationships/oleObject" Target="embeddings/oleObject2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package" Target="embeddings/Microsoft_Visio___1.vsdx"/><Relationship Id="rId73" Type="http://schemas.openxmlformats.org/officeDocument/2006/relationships/package" Target="embeddings/Microsoft_Visio___5.vsdx"/><Relationship Id="rId78" Type="http://schemas.openxmlformats.org/officeDocument/2006/relationships/header" Target="header3.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5.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3.bin"/><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package" Target="embeddings/Microsoft_Visio___4.vsdx"/><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8.bin"/><Relationship Id="rId66" Type="http://schemas.openxmlformats.org/officeDocument/2006/relationships/image" Target="media/image30.emf"/></Relationships>
</file>

<file path=word/_rels/footnotes.xml.rels><?xml version="1.0" encoding="UTF-8" standalone="yes"?>
<Relationships xmlns="http://schemas.openxmlformats.org/package/2006/relationships"><Relationship Id="rId3" Type="http://schemas.openxmlformats.org/officeDocument/2006/relationships/hyperlink" Target="mailto:qshi@ncepu.edu.cn" TargetMode="External"/><Relationship Id="rId2" Type="http://schemas.openxmlformats.org/officeDocument/2006/relationships/hyperlink" Target="mailto:liuwenxia001@163.com" TargetMode="External"/><Relationship Id="rId1" Type="http://schemas.openxmlformats.org/officeDocument/2006/relationships/hyperlink" Target="mailto:gengmliuee@ncepu.edu.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3F88E-C0D3-48CE-B8D1-13A5CD1C6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10</Pages>
  <Words>6696</Words>
  <Characters>38169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44776</CharactersWithSpaces>
  <SharedDoc>false</SharedDoc>
  <HLinks>
    <vt:vector size="72" baseType="variant">
      <vt:variant>
        <vt:i4>6160457</vt:i4>
      </vt:variant>
      <vt:variant>
        <vt:i4>39</vt:i4>
      </vt:variant>
      <vt:variant>
        <vt:i4>0</vt:i4>
      </vt:variant>
      <vt:variant>
        <vt:i4>5</vt:i4>
      </vt:variant>
      <vt:variant>
        <vt:lpwstr>http://www.(URL/</vt:lpwstr>
      </vt:variant>
      <vt:variant>
        <vt:lpwstr/>
      </vt:variant>
      <vt:variant>
        <vt:i4>2687077</vt:i4>
      </vt:variant>
      <vt:variant>
        <vt:i4>36</vt:i4>
      </vt:variant>
      <vt:variant>
        <vt:i4>0</vt:i4>
      </vt:variant>
      <vt:variant>
        <vt:i4>5</vt:i4>
      </vt:variant>
      <vt:variant>
        <vt:lpwstr>http://www.atm.com/</vt:lpwstr>
      </vt:variant>
      <vt:variant>
        <vt:lpwstr/>
      </vt:variant>
      <vt:variant>
        <vt:i4>6160457</vt:i4>
      </vt:variant>
      <vt:variant>
        <vt:i4>33</vt:i4>
      </vt:variant>
      <vt:variant>
        <vt:i4>0</vt:i4>
      </vt:variant>
      <vt:variant>
        <vt:i4>5</vt:i4>
      </vt:variant>
      <vt:variant>
        <vt:lpwstr>http://www.(url/</vt:lpwstr>
      </vt:variant>
      <vt:variant>
        <vt:lpwstr/>
      </vt:variant>
      <vt:variant>
        <vt:i4>2031701</vt:i4>
      </vt:variant>
      <vt:variant>
        <vt:i4>30</vt:i4>
      </vt:variant>
      <vt:variant>
        <vt:i4>0</vt:i4>
      </vt:variant>
      <vt:variant>
        <vt:i4>5</vt:i4>
      </vt:variant>
      <vt:variant>
        <vt:lpwstr>http://www.ieee.org/web/publications/authors/transjnl/index.html</vt:lpwstr>
      </vt:variant>
      <vt:variant>
        <vt:lpwstr/>
      </vt:variant>
      <vt:variant>
        <vt:i4>4391006</vt:i4>
      </vt:variant>
      <vt:variant>
        <vt:i4>21</vt:i4>
      </vt:variant>
      <vt:variant>
        <vt:i4>0</vt:i4>
      </vt:variant>
      <vt:variant>
        <vt:i4>5</vt:i4>
      </vt:variant>
      <vt:variant>
        <vt:lpwstr>http://www.ieee.org/copyright</vt:lpwstr>
      </vt:variant>
      <vt:variant>
        <vt:lpwstr/>
      </vt:variant>
      <vt:variant>
        <vt:i4>2555906</vt:i4>
      </vt:variant>
      <vt:variant>
        <vt:i4>18</vt:i4>
      </vt:variant>
      <vt:variant>
        <vt:i4>0</vt:i4>
      </vt:variant>
      <vt:variant>
        <vt:i4>5</vt:i4>
      </vt:variant>
      <vt:variant>
        <vt:lpwstr>mailto:graphics@ieee.org</vt:lpwstr>
      </vt:variant>
      <vt:variant>
        <vt:lpwstr/>
      </vt:variant>
      <vt:variant>
        <vt:i4>7405602</vt:i4>
      </vt:variant>
      <vt:variant>
        <vt:i4>15</vt:i4>
      </vt:variant>
      <vt:variant>
        <vt:i4>0</vt:i4>
      </vt:variant>
      <vt:variant>
        <vt:i4>5</vt:i4>
      </vt:variant>
      <vt:variant>
        <vt:lpwstr>http://graphicsqc.ieee.org/</vt:lpwstr>
      </vt:variant>
      <vt:variant>
        <vt:lpwstr/>
      </vt:variant>
      <vt:variant>
        <vt:i4>3866730</vt:i4>
      </vt:variant>
      <vt:variant>
        <vt:i4>12</vt:i4>
      </vt:variant>
      <vt:variant>
        <vt:i4>0</vt:i4>
      </vt:variant>
      <vt:variant>
        <vt:i4>5</vt:i4>
      </vt:variant>
      <vt:variant>
        <vt:lpwstr>http://www.adobe.com/support/downloads/</vt:lpwstr>
      </vt:variant>
      <vt:variant>
        <vt:lpwstr/>
      </vt:variant>
      <vt:variant>
        <vt:i4>2424932</vt:i4>
      </vt:variant>
      <vt:variant>
        <vt:i4>9</vt:i4>
      </vt:variant>
      <vt:variant>
        <vt:i4>0</vt:i4>
      </vt:variant>
      <vt:variant>
        <vt:i4>5</vt:i4>
      </vt:variant>
      <vt:variant>
        <vt:lpwstr>http://www.adobe.com/support/downloads/pdrvwin.htm</vt:lpwstr>
      </vt:variant>
      <vt:variant>
        <vt:lpwstr/>
      </vt:variant>
      <vt:variant>
        <vt:i4>2031701</vt:i4>
      </vt:variant>
      <vt:variant>
        <vt:i4>6</vt:i4>
      </vt:variant>
      <vt:variant>
        <vt:i4>0</vt:i4>
      </vt:variant>
      <vt:variant>
        <vt:i4>5</vt:i4>
      </vt:variant>
      <vt:variant>
        <vt:lpwstr>http://www.ieee.org/web/publications/authors/transjnl/index.html</vt:lpwstr>
      </vt:variant>
      <vt:variant>
        <vt:lpwstr/>
      </vt:variant>
      <vt:variant>
        <vt:i4>1507385</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dc:creator>
  <cp:lastModifiedBy>耕铭</cp:lastModifiedBy>
  <cp:revision>12</cp:revision>
  <cp:lastPrinted>2012-08-02T18:53:00Z</cp:lastPrinted>
  <dcterms:created xsi:type="dcterms:W3CDTF">2022-09-05T11:46:00Z</dcterms:created>
  <dcterms:modified xsi:type="dcterms:W3CDTF">2022-11-02T06:35:00Z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ies>
</file>