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FAC107" w14:textId="10FC3470" w:rsidR="00985D5B" w:rsidRPr="0046087C" w:rsidRDefault="009471C4" w:rsidP="00985D5B">
      <w:pPr>
        <w:pStyle w:val="Title"/>
      </w:pPr>
      <w:r w:rsidRPr="009471C4">
        <w:t xml:space="preserve">Mesoscale and Large-Eddy Simulation of </w:t>
      </w:r>
      <w:r w:rsidR="00242A6C">
        <w:t xml:space="preserve">the Boundary Layer Process of </w:t>
      </w:r>
      <w:r w:rsidRPr="009471C4">
        <w:t xml:space="preserve">Cumulus Development over Naqu, </w:t>
      </w:r>
      <w:r w:rsidRPr="0046087C">
        <w:t>Tibetan Plateau</w:t>
      </w:r>
    </w:p>
    <w:p w14:paraId="4343AACA" w14:textId="681EE316" w:rsidR="00985D5B" w:rsidRPr="0046087C" w:rsidRDefault="00985D5B" w:rsidP="00985D5B">
      <w:pPr>
        <w:pStyle w:val="Title"/>
      </w:pPr>
      <w:r w:rsidRPr="00985D5B">
        <w:t>Part A: Comparison Between Simulation and Observation</w:t>
      </w:r>
    </w:p>
    <w:p w14:paraId="32E6B0CF" w14:textId="058DE563" w:rsidR="00C94AA5" w:rsidRPr="0046087C" w:rsidRDefault="00B054E4" w:rsidP="00D85BF9">
      <w:pPr>
        <w:pStyle w:val="Authors"/>
      </w:pPr>
      <w:r w:rsidRPr="0046087C">
        <w:t xml:space="preserve">B. </w:t>
      </w:r>
      <w:r w:rsidR="00C37D47" w:rsidRPr="0046087C">
        <w:t>Kpaikpai</w:t>
      </w:r>
      <w:r w:rsidR="00C37D47" w:rsidRPr="0046087C">
        <w:rPr>
          <w:vertAlign w:val="superscript"/>
        </w:rPr>
        <w:t>1, 3, 5</w:t>
      </w:r>
      <w:r w:rsidRPr="0046087C">
        <w:t>,</w:t>
      </w:r>
      <w:r w:rsidR="00C37D47" w:rsidRPr="0046087C">
        <w:t xml:space="preserve"> J</w:t>
      </w:r>
      <w:r w:rsidRPr="0046087C">
        <w:t>. Sun</w:t>
      </w:r>
      <w:r w:rsidR="00C37D47" w:rsidRPr="0046087C">
        <w:rPr>
          <w:vertAlign w:val="superscript"/>
        </w:rPr>
        <w:t>1</w:t>
      </w:r>
      <w:r w:rsidR="00BD7892">
        <w:rPr>
          <w:vertAlign w:val="superscript"/>
        </w:rPr>
        <w:t>,2</w:t>
      </w:r>
      <w:r w:rsidR="00C37D47" w:rsidRPr="0046087C">
        <w:rPr>
          <w:vertAlign w:val="superscript"/>
        </w:rPr>
        <w:t>*</w:t>
      </w:r>
      <w:r w:rsidR="00C37D47" w:rsidRPr="0046087C">
        <w:t xml:space="preserve">, </w:t>
      </w:r>
      <w:r w:rsidRPr="0046087C">
        <w:t xml:space="preserve">J. </w:t>
      </w:r>
      <w:r w:rsidR="00C37D47" w:rsidRPr="0046087C">
        <w:t>Zhu</w:t>
      </w:r>
      <w:r w:rsidR="00C37D47" w:rsidRPr="0046087C">
        <w:rPr>
          <w:vertAlign w:val="superscript"/>
        </w:rPr>
        <w:t>2, 3</w:t>
      </w:r>
      <w:r w:rsidR="00C37D47" w:rsidRPr="0046087C">
        <w:t xml:space="preserve">, </w:t>
      </w:r>
      <w:r w:rsidRPr="0046087C">
        <w:t xml:space="preserve">X. </w:t>
      </w:r>
      <w:r w:rsidR="00C37D47" w:rsidRPr="0046087C">
        <w:t>Huai</w:t>
      </w:r>
      <w:r w:rsidR="00C37D47" w:rsidRPr="0046087C">
        <w:rPr>
          <w:vertAlign w:val="superscript"/>
        </w:rPr>
        <w:t>4</w:t>
      </w:r>
      <w:r w:rsidR="00C37D47" w:rsidRPr="0046087C">
        <w:t xml:space="preserve">, </w:t>
      </w:r>
      <w:r w:rsidRPr="0046087C">
        <w:t xml:space="preserve">F. </w:t>
      </w:r>
      <w:r w:rsidR="00C37D47" w:rsidRPr="0046087C">
        <w:t>Vuguziga</w:t>
      </w:r>
      <w:r w:rsidR="00C37D47" w:rsidRPr="0046087C">
        <w:rPr>
          <w:vertAlign w:val="superscript"/>
        </w:rPr>
        <w:t>6</w:t>
      </w:r>
      <w:r w:rsidR="006F662E" w:rsidRPr="0046087C">
        <w:t xml:space="preserve"> </w:t>
      </w:r>
    </w:p>
    <w:p w14:paraId="22C57777" w14:textId="6D0F36DD" w:rsidR="002C1742" w:rsidRPr="002C1742" w:rsidRDefault="002C1742" w:rsidP="00D85BF9">
      <w:pPr>
        <w:pStyle w:val="Note"/>
      </w:pPr>
      <w:r w:rsidRPr="00E94346">
        <w:rPr>
          <w:color w:val="auto"/>
          <w:vertAlign w:val="superscript"/>
        </w:rPr>
        <w:t>1</w:t>
      </w:r>
      <w:r w:rsidRPr="00E94346">
        <w:rPr>
          <w:color w:val="auto"/>
        </w:rPr>
        <w:t xml:space="preserve">Key Laboratory of Cloud-Precipitation Physics and Severe Storms (LACS), Institute of Atmospheric Physics (IAP), Chinese Academy of Sciences (CAS), 100029, Beijing, China, </w:t>
      </w:r>
      <w:hyperlink r:id="rId8" w:history="1">
        <w:r w:rsidRPr="00A95384">
          <w:rPr>
            <w:rStyle w:val="Hyperlink"/>
            <w:rFonts w:eastAsia="Times New Roman"/>
          </w:rPr>
          <w:t>emilkpaikpai@mails.ucas.ac.cn</w:t>
        </w:r>
      </w:hyperlink>
      <w:r>
        <w:t xml:space="preserve">, </w:t>
      </w:r>
      <w:hyperlink r:id="rId9" w:history="1">
        <w:r w:rsidRPr="00A95384">
          <w:rPr>
            <w:rStyle w:val="Hyperlink"/>
            <w:rFonts w:eastAsia="Times New Roman"/>
          </w:rPr>
          <w:t>jimings@mail.iap.ac.cn</w:t>
        </w:r>
      </w:hyperlink>
      <w:r>
        <w:t xml:space="preserve">, </w:t>
      </w:r>
      <w:hyperlink r:id="rId10" w:history="1">
        <w:r w:rsidRPr="00A95384">
          <w:rPr>
            <w:rStyle w:val="Hyperlink"/>
            <w:rFonts w:eastAsia="Times New Roman"/>
          </w:rPr>
          <w:t>jzhu@mail.iap.ac.cn</w:t>
        </w:r>
      </w:hyperlink>
      <w:r>
        <w:t xml:space="preserve"> </w:t>
      </w:r>
      <w:r w:rsidRPr="002C1742">
        <w:t xml:space="preserve"> </w:t>
      </w:r>
    </w:p>
    <w:p w14:paraId="1237267D" w14:textId="77777777" w:rsidR="002C1742" w:rsidRDefault="002C1742" w:rsidP="00D85BF9">
      <w:pPr>
        <w:pStyle w:val="Note"/>
        <w:rPr>
          <w:color w:val="auto"/>
        </w:rPr>
      </w:pPr>
      <w:r w:rsidRPr="002C1742">
        <w:rPr>
          <w:color w:val="auto"/>
          <w:vertAlign w:val="superscript"/>
        </w:rPr>
        <w:t>2</w:t>
      </w:r>
      <w:r w:rsidRPr="002C1742">
        <w:rPr>
          <w:color w:val="auto"/>
        </w:rPr>
        <w:t xml:space="preserve">Key Laboratory of Geophysical Fluid Dynamics, IAP, CAS, </w:t>
      </w:r>
      <w:hyperlink r:id="rId11" w:history="1">
        <w:r w:rsidRPr="00A95384">
          <w:rPr>
            <w:rStyle w:val="Hyperlink"/>
            <w:rFonts w:eastAsia="Times New Roman"/>
          </w:rPr>
          <w:t>jzhu@mail.iap.ac.cn</w:t>
        </w:r>
      </w:hyperlink>
      <w:r>
        <w:rPr>
          <w:color w:val="auto"/>
        </w:rPr>
        <w:t xml:space="preserve">, </w:t>
      </w:r>
      <w:r w:rsidRPr="002C1742">
        <w:rPr>
          <w:color w:val="auto"/>
        </w:rPr>
        <w:t xml:space="preserve"> </w:t>
      </w:r>
      <w:hyperlink r:id="rId12" w:history="1">
        <w:r w:rsidRPr="00A95384">
          <w:rPr>
            <w:rStyle w:val="Hyperlink"/>
            <w:rFonts w:eastAsia="Times New Roman"/>
          </w:rPr>
          <w:t>emilkpaikpai@mails.ucas.ac.cn</w:t>
        </w:r>
      </w:hyperlink>
      <w:r>
        <w:rPr>
          <w:color w:val="auto"/>
        </w:rPr>
        <w:t xml:space="preserve"> </w:t>
      </w:r>
    </w:p>
    <w:p w14:paraId="5D183FA1" w14:textId="65A02D77" w:rsidR="002C1742" w:rsidRPr="002C1742" w:rsidRDefault="002C1742" w:rsidP="00D85BF9">
      <w:pPr>
        <w:pStyle w:val="Note"/>
        <w:rPr>
          <w:color w:val="auto"/>
        </w:rPr>
      </w:pPr>
      <w:r w:rsidRPr="002C1742">
        <w:rPr>
          <w:color w:val="auto"/>
          <w:vertAlign w:val="superscript"/>
        </w:rPr>
        <w:t>3</w:t>
      </w:r>
      <w:r w:rsidRPr="002C1742">
        <w:rPr>
          <w:color w:val="auto"/>
        </w:rPr>
        <w:t xml:space="preserve">University of Chinese Academy of Sciences (UCAS), 100864, Beijing, China, </w:t>
      </w:r>
      <w:hyperlink r:id="rId13" w:history="1">
        <w:r w:rsidRPr="00A95384">
          <w:rPr>
            <w:rStyle w:val="Hyperlink"/>
            <w:rFonts w:eastAsia="Times New Roman"/>
          </w:rPr>
          <w:t>emilkpaikpai@mails.ucas.ac.cn</w:t>
        </w:r>
      </w:hyperlink>
      <w:r>
        <w:rPr>
          <w:color w:val="auto"/>
        </w:rPr>
        <w:t xml:space="preserve">, </w:t>
      </w:r>
      <w:hyperlink r:id="rId14" w:history="1">
        <w:r w:rsidRPr="00A95384">
          <w:rPr>
            <w:rStyle w:val="Hyperlink"/>
            <w:rFonts w:eastAsia="Times New Roman"/>
          </w:rPr>
          <w:t>jzhu@mail.iap.ac.cn</w:t>
        </w:r>
      </w:hyperlink>
      <w:r>
        <w:rPr>
          <w:color w:val="auto"/>
        </w:rPr>
        <w:t xml:space="preserve"> </w:t>
      </w:r>
    </w:p>
    <w:p w14:paraId="064DF78E" w14:textId="23CB4061" w:rsidR="002C1742" w:rsidRPr="002C1742" w:rsidRDefault="002C1742" w:rsidP="00D85BF9">
      <w:pPr>
        <w:pStyle w:val="Note"/>
      </w:pPr>
      <w:r w:rsidRPr="00E94346">
        <w:rPr>
          <w:color w:val="auto"/>
          <w:vertAlign w:val="superscript"/>
        </w:rPr>
        <w:t>4</w:t>
      </w:r>
      <w:r w:rsidRPr="00E94346">
        <w:rPr>
          <w:color w:val="auto"/>
        </w:rPr>
        <w:t>State Key Laboratory of Disaster Prevention and Reduction for Power Grid Transmission and Distribution Equipment (SKL)</w:t>
      </w:r>
      <w:r w:rsidRPr="00E94346">
        <w:rPr>
          <w:rFonts w:ascii="MS Mincho" w:eastAsia="MS Mincho" w:hAnsi="MS Mincho" w:cs="MS Mincho" w:hint="eastAsia"/>
          <w:color w:val="auto"/>
        </w:rPr>
        <w:t>，</w:t>
      </w:r>
      <w:r w:rsidRPr="00E94346">
        <w:rPr>
          <w:color w:val="auto"/>
        </w:rPr>
        <w:t xml:space="preserve">410129, Changsha, China, </w:t>
      </w:r>
      <w:hyperlink r:id="rId15" w:history="1">
        <w:r w:rsidRPr="00A95384">
          <w:rPr>
            <w:rStyle w:val="Hyperlink"/>
            <w:rFonts w:eastAsia="Times New Roman"/>
          </w:rPr>
          <w:t>huaixw@foxmail.com</w:t>
        </w:r>
      </w:hyperlink>
      <w:r>
        <w:t xml:space="preserve"> </w:t>
      </w:r>
      <w:r w:rsidRPr="002C1742">
        <w:t xml:space="preserve"> </w:t>
      </w:r>
    </w:p>
    <w:p w14:paraId="781EC3EC" w14:textId="6317C1A0" w:rsidR="002C1742" w:rsidRPr="002C1742" w:rsidRDefault="002C1742" w:rsidP="00D85BF9">
      <w:pPr>
        <w:pStyle w:val="Note"/>
      </w:pPr>
      <w:r w:rsidRPr="003F41F2">
        <w:rPr>
          <w:color w:val="auto"/>
          <w:vertAlign w:val="superscript"/>
        </w:rPr>
        <w:t>5</w:t>
      </w:r>
      <w:r w:rsidRPr="003F41F2">
        <w:rPr>
          <w:color w:val="auto"/>
        </w:rPr>
        <w:t>Togo National Meteorological Authority, P.O. Box 1505, Lomé, Togo,</w:t>
      </w:r>
      <w:r w:rsidRPr="002C1742">
        <w:t xml:space="preserve"> </w:t>
      </w:r>
      <w:hyperlink r:id="rId16" w:history="1">
        <w:r w:rsidRPr="00A95384">
          <w:rPr>
            <w:rStyle w:val="Hyperlink"/>
            <w:rFonts w:eastAsia="Times New Roman"/>
          </w:rPr>
          <w:t>emilkpaikpai@yahoo.fr</w:t>
        </w:r>
      </w:hyperlink>
      <w:r>
        <w:t xml:space="preserve"> </w:t>
      </w:r>
      <w:r w:rsidRPr="002C1742">
        <w:t xml:space="preserve"> </w:t>
      </w:r>
    </w:p>
    <w:p w14:paraId="4F4F1D8F" w14:textId="67494464" w:rsidR="002C1742" w:rsidRPr="002C1742" w:rsidRDefault="002C1742" w:rsidP="00D85BF9">
      <w:pPr>
        <w:pStyle w:val="Note"/>
      </w:pPr>
      <w:r w:rsidRPr="003F41F2">
        <w:rPr>
          <w:color w:val="auto"/>
          <w:vertAlign w:val="superscript"/>
        </w:rPr>
        <w:t>6</w:t>
      </w:r>
      <w:r w:rsidRPr="003F41F2">
        <w:rPr>
          <w:color w:val="auto"/>
        </w:rPr>
        <w:t xml:space="preserve">Key Laboratory of Meteorological Disaster of Ministry of Education (KLME), Collaborative Innovation Center on Forecast and Evaluation of Meteorological Disasters (CIC-FEMD), Nanjing University of Information Science and Technology, Nanjing 210044, China, </w:t>
      </w:r>
      <w:hyperlink r:id="rId17" w:history="1">
        <w:r w:rsidR="00F86B8B" w:rsidRPr="00A95384">
          <w:rPr>
            <w:rStyle w:val="Hyperlink"/>
            <w:rFonts w:eastAsia="Times New Roman"/>
          </w:rPr>
          <w:t>vfloribert@nuist.edu.cn</w:t>
        </w:r>
      </w:hyperlink>
      <w:r w:rsidR="00F86B8B">
        <w:t xml:space="preserve"> </w:t>
      </w:r>
      <w:r>
        <w:t xml:space="preserve"> </w:t>
      </w:r>
      <w:r w:rsidRPr="002C1742">
        <w:t xml:space="preserve"> </w:t>
      </w:r>
    </w:p>
    <w:p w14:paraId="5614852F" w14:textId="68F2BB61" w:rsidR="00DE3F91" w:rsidRDefault="008A6077" w:rsidP="00D85BF9">
      <w:pPr>
        <w:pStyle w:val="Affiliation"/>
      </w:pPr>
      <w:r>
        <w:t>Correspond</w:t>
      </w:r>
      <w:r w:rsidR="00DE3F91">
        <w:t>ing</w:t>
      </w:r>
      <w:r>
        <w:t xml:space="preserve"> </w:t>
      </w:r>
      <w:r w:rsidR="006F662E">
        <w:t>author:</w:t>
      </w:r>
      <w:r>
        <w:t xml:space="preserve"> </w:t>
      </w:r>
      <w:r w:rsidR="00F86B8B">
        <w:t>Jiming Sun</w:t>
      </w:r>
      <w:r w:rsidR="00DE3F91">
        <w:t xml:space="preserve"> ( </w:t>
      </w:r>
      <w:hyperlink r:id="rId18" w:history="1">
        <w:r w:rsidR="00F86B8B" w:rsidRPr="00A95384">
          <w:rPr>
            <w:rStyle w:val="Hyperlink"/>
          </w:rPr>
          <w:t>jimings@mail.iap.ac.cn</w:t>
        </w:r>
      </w:hyperlink>
      <w:r w:rsidR="00F86B8B">
        <w:t xml:space="preserve">) </w:t>
      </w:r>
      <w:r w:rsidR="00F86B8B" w:rsidRPr="00F86B8B">
        <w:t xml:space="preserve">  </w:t>
      </w:r>
    </w:p>
    <w:p w14:paraId="52EAA876" w14:textId="0F4D9CB3" w:rsidR="00C94AA5" w:rsidRDefault="00C94AA5" w:rsidP="00D85BF9">
      <w:pPr>
        <w:pStyle w:val="Heading-Main"/>
      </w:pPr>
      <w:r>
        <w:t>Key Points:</w:t>
      </w:r>
    </w:p>
    <w:p w14:paraId="02BB4FFB" w14:textId="104D50E8" w:rsidR="00C94AA5" w:rsidRDefault="00F677EB" w:rsidP="00D85BF9">
      <w:pPr>
        <w:pStyle w:val="KeyPoints"/>
        <w:numPr>
          <w:ilvl w:val="0"/>
          <w:numId w:val="9"/>
        </w:numPr>
      </w:pPr>
      <w:r>
        <w:t xml:space="preserve">The ability </w:t>
      </w:r>
      <w:r w:rsidR="00D61C08">
        <w:t xml:space="preserve">of </w:t>
      </w:r>
      <w:r w:rsidR="007E7DD0">
        <w:t xml:space="preserve">the </w:t>
      </w:r>
      <w:r w:rsidR="00D61C08">
        <w:t>WRF</w:t>
      </w:r>
      <w:r w:rsidR="003B5702">
        <w:t>-LES</w:t>
      </w:r>
      <w:r w:rsidR="00D61C08">
        <w:t xml:space="preserve"> model to reproduce the </w:t>
      </w:r>
      <w:r w:rsidR="007E7DD0">
        <w:t>a</w:t>
      </w:r>
      <w:r w:rsidR="00F41864">
        <w:t xml:space="preserve">tmospheric </w:t>
      </w:r>
      <w:r w:rsidR="007E7DD0">
        <w:t>b</w:t>
      </w:r>
      <w:r w:rsidR="00F41864">
        <w:t>oundary-layer process</w:t>
      </w:r>
      <w:r w:rsidR="003F41F2">
        <w:t>es</w:t>
      </w:r>
      <w:r w:rsidR="00D61C08">
        <w:t xml:space="preserve"> </w:t>
      </w:r>
      <w:r w:rsidR="000C44F4">
        <w:t xml:space="preserve">of cumulus development </w:t>
      </w:r>
      <w:r w:rsidR="00D61C08">
        <w:t>over</w:t>
      </w:r>
      <w:r w:rsidR="00AD206A">
        <w:t xml:space="preserve"> complex orography;</w:t>
      </w:r>
    </w:p>
    <w:p w14:paraId="405A84B1" w14:textId="742F0132" w:rsidR="00C94AA5" w:rsidRDefault="003B5702" w:rsidP="00B93534">
      <w:pPr>
        <w:pStyle w:val="KeyPoints"/>
        <w:numPr>
          <w:ilvl w:val="0"/>
          <w:numId w:val="9"/>
        </w:numPr>
      </w:pPr>
      <w:r w:rsidRPr="003B5702">
        <w:t>Simulated ABL, reflectivity, and Liquid water content compared with observed Lidar measurements, radar reflectivity, and satellite image</w:t>
      </w:r>
      <w:r w:rsidR="00A177F9">
        <w:t>;</w:t>
      </w:r>
    </w:p>
    <w:p w14:paraId="5C03B4CB" w14:textId="6A96AB02" w:rsidR="00B719C8" w:rsidRPr="00830EAC" w:rsidRDefault="003B5702" w:rsidP="00D85BF9">
      <w:pPr>
        <w:pStyle w:val="KeyPoints"/>
        <w:numPr>
          <w:ilvl w:val="0"/>
          <w:numId w:val="9"/>
        </w:numPr>
      </w:pPr>
      <w:r w:rsidRPr="003B5702">
        <w:t>WRF-LES simulations with observation nudging and one-way nesting strategies better replicated the observed clouds pattern</w:t>
      </w:r>
      <w:r w:rsidR="00830EAC">
        <w:t>.</w:t>
      </w:r>
      <w:r w:rsidR="00B719C8">
        <w:br w:type="page"/>
      </w:r>
    </w:p>
    <w:p w14:paraId="2659CCE1" w14:textId="77777777" w:rsidR="002F3B11" w:rsidRDefault="008A6077" w:rsidP="00D85BF9">
      <w:pPr>
        <w:pStyle w:val="Heading-Main"/>
      </w:pPr>
      <w:r w:rsidRPr="00987EE5">
        <w:lastRenderedPageBreak/>
        <w:t>Abstract</w:t>
      </w:r>
    </w:p>
    <w:p w14:paraId="0076CE25" w14:textId="4276CEC0" w:rsidR="00052274" w:rsidRDefault="003836F8" w:rsidP="003836F8">
      <w:pPr>
        <w:ind w:firstLine="540"/>
        <w:rPr>
          <w:rFonts w:eastAsiaTheme="majorEastAsia"/>
        </w:rPr>
      </w:pPr>
      <w:r w:rsidRPr="003836F8">
        <w:rPr>
          <w:rFonts w:eastAsia="Times New Roman"/>
        </w:rPr>
        <w:t xml:space="preserve">Cumulus clouds are of great interest in numerical weather prediction. However, the scarcity of observed data on the Tibetan Plateau (TP) has not allowed correct interpretation of their development. The Third TP Atmospheric Science Experiment provided experimental data to address this challenge. This study used a combined weather research and forecasting large-eddy simulation (WRF-LES) model and final reanalysis data from the Global Forecast System to simulate cumulus clouds over southern TP on July 19, 2014. We applied observation nudging and one-way nesting strategies to influence the optimality of WRF-LES runs. The study performed simulations with six different scenarios in comparison with observations data. Results showed that cumulus clouds locally initiated and grew upscale but were however influenced by large-scale forcing. Compared to the observations, simulations with observation nudging provided more accurate and reliable results than the simulations without nudging. LES with mesoscale forcing yielded a relatively good atmospheric boundary-layer (ABL) water vapor profile and a similar microphysical evolution to the observations but misled the observed surface variables. Without mesoscale forcing, LES provided the best ABL water vapor and sensible heat flux, however, failed to provide a good microphysics field. In this aspect large-scale forcing played an important role in cumulus development on July 19, 2014. The study recommended observation nudging and one-way nesting strategies in separate iterations to be improved by focusing on the model's response to the terrain and boundary conditions. </w:t>
      </w:r>
      <w:r w:rsidR="00052274">
        <w:br w:type="page"/>
      </w:r>
    </w:p>
    <w:p w14:paraId="16752E20" w14:textId="2B373847" w:rsidR="002F3B11" w:rsidRPr="00052274" w:rsidRDefault="002F3B11" w:rsidP="008C7C75">
      <w:pPr>
        <w:pStyle w:val="Heading1"/>
        <w:numPr>
          <w:ilvl w:val="0"/>
          <w:numId w:val="27"/>
        </w:numPr>
      </w:pPr>
      <w:r w:rsidRPr="00052274">
        <w:lastRenderedPageBreak/>
        <w:t>Introduction</w:t>
      </w:r>
    </w:p>
    <w:p w14:paraId="4A0A1FED" w14:textId="7E8016B4" w:rsidR="00C3492A" w:rsidRPr="00C3492A" w:rsidRDefault="00C3492A" w:rsidP="00A144CE">
      <w:pPr>
        <w:pStyle w:val="Text"/>
        <w:ind w:firstLine="540"/>
      </w:pPr>
      <w:bookmarkStart w:id="0" w:name="_Hlk69958113"/>
      <w:r w:rsidRPr="00C3492A">
        <w:t>The atmospheric boundary layer (ABL) processes of Cumulus Cloud (C</w:t>
      </w:r>
      <w:r w:rsidR="004B7B5F">
        <w:rPr>
          <w:rFonts w:eastAsia="SimSun" w:hint="eastAsia"/>
          <w:lang w:eastAsia="zh-CN"/>
        </w:rPr>
        <w:t>C</w:t>
      </w:r>
      <w:r w:rsidRPr="00C3492A">
        <w:t xml:space="preserve">) development are small-scale unresolved motions and have significant effects on larger-scale resolved signals. These processes have particular consideration in numerical weather prediction (NWP) </w:t>
      </w:r>
      <w:r w:rsidRPr="00C3492A">
        <w:fldChar w:fldCharType="begin"/>
      </w:r>
      <w:r w:rsidR="00A44B66">
        <w:instrText xml:space="preserve"> ADDIN ZOTERO_ITEM CSL_CITATION {"citationID":"a7gbltfhso","properties":{"formattedCitation":"(Emanuel, 1997; Ravichandran &amp; Narasimha, 2020)","plainCitation":"(Emanuel, 1997; Ravichandran &amp; Narasimha, 2020)","noteIndex":0},"citationItems":[{"id":584,"uris":["http://zotero.org/users/7904379/items/YR8EA3WU"],"itemData":{"id":584,"type":"chapter","abstract":"Winston Churchill’s description of Russia—a mystery inside a riddle, wrapped in an enigma—might equally apply to moist convection. Almost one hundred and fifty years have passed since James Pollard Espy [1] first correctly inferred that cumulus clouds are driven by the release of latent heat when water vapor condenses, yet very fundamental aspects of moist convection—for example, the profiles of temperature and water vapor in moist convecting atmospheres—remain poorly understood. A satisfying description of the ensemble and individual properties of convective clouds remains an elusive but compelling frontier in atmospheric research, and one with profound consequences for weather and climate prediction.","collection-title":"NATO ASI Series","container-title":"The Physics and Parameterization of Moist Atmospheric Convection","event-place":"Dordrecht","ISBN":"978-94-015-8828-7","language":"en","note":"DOI: 10.1007/978-94-015-8828-7_1","page":"1-28","publisher":"Springer Netherlands","publisher-place":"Dordrecht","source":"Springer Link","title":"Overview of Atmospheric Convection","URL":"https://doi.org/10.1007/978-94-015-8828-7_1","author":[{"family":"Emanuel","given":"Kerry A."}],"editor":[{"family":"Smith","given":"Roger K."}],"accessed":{"date-parts":[["2021",5,31]]},"issued":{"date-parts":[["1997"]]}},"label":"book"},{"id":751,"uris":["http://zotero.org/users/7904379/items/K4IDJ4BH"],"itemData":{"id":751,"type":"article-journal","abstract":"We model cumulus clouds as transient diabatic plumes, and present a single-fluid formulation for the study of the dynamics of developing shallow cumulus clouds. The fluid, air, carries water vapour and liquid water as scalars that are advected with the flow. We employ the Boussinesq approximation and a simplified form of the Clausius-Clapeyron law for phase changes. We use this formulation to study the ambient conditions required for the formation of cumulus clouds. We show that the temperature lapse rate in the ambient and the relative humidity of the ambient are crucial in deciding when cumulus clouds form. In the phase-space of these two parameters, we determine the boundary that separates the regions where cumulus clouds can form and where they cannot.","container-title":"arXiv:2004.09631 [physics]","note":"arXiv: 2004.09631","source":"arXiv.org","title":"Non-Precipitating Shallow Cumulus Clouds: Theory and Direct Numerical Simulation","title-short":"Non-Precipitating Shallow Cumulus Clouds","URL":"http://arxiv.org/abs/2004.09631","author":[{"family":"Ravichandran","given":"S."},{"family":"Narasimha","given":"Roddam"}],"accessed":{"date-parts":[["2021",7,5]]},"issued":{"date-parts":[["2020",4,20]]}}}],"schema":"https://github.com/citation-style-language/schema/raw/master/csl-citation.json"} </w:instrText>
      </w:r>
      <w:r w:rsidRPr="00C3492A">
        <w:fldChar w:fldCharType="separate"/>
      </w:r>
      <w:r w:rsidR="00A44B66" w:rsidRPr="00A44B66">
        <w:t>(Emanuel, 1997; Ravichandran &amp; Narasimha, 2020)</w:t>
      </w:r>
      <w:r w:rsidRPr="00C3492A">
        <w:fldChar w:fldCharType="end"/>
      </w:r>
      <w:r w:rsidRPr="00C3492A">
        <w:t>. Meso</w:t>
      </w:r>
      <m:oMath>
        <m:r>
          <w:rPr>
            <w:rFonts w:ascii="Cambria Math" w:hAnsi="Cambria Math"/>
          </w:rPr>
          <m:t>-</m:t>
        </m:r>
      </m:oMath>
      <w:r w:rsidRPr="00C3492A">
        <w:t xml:space="preserve"> and micro</w:t>
      </w:r>
      <m:oMath>
        <m:r>
          <w:rPr>
            <w:rFonts w:ascii="Cambria Math" w:hAnsi="Cambria Math"/>
          </w:rPr>
          <m:t>-</m:t>
        </m:r>
      </m:oMath>
      <w:r w:rsidRPr="00C3492A">
        <w:t>scales modeling (MMM) is being actively used to solve the physics of the ABL processes of C</w:t>
      </w:r>
      <w:r w:rsidR="004B7B5F">
        <w:rPr>
          <w:rFonts w:eastAsia="SimSun" w:hint="eastAsia"/>
          <w:lang w:eastAsia="zh-CN"/>
        </w:rPr>
        <w:t>C</w:t>
      </w:r>
      <w:r w:rsidRPr="00C3492A">
        <w:t xml:space="preserve"> development over complex terrains </w:t>
      </w:r>
      <w:r w:rsidRPr="00C3492A">
        <w:fldChar w:fldCharType="begin"/>
      </w:r>
      <w:r w:rsidR="00A44B66">
        <w:instrText xml:space="preserve"> ADDIN ZOTERO_ITEM CSL_CITATION {"citationID":"aepnv5jaqc","properties":{"formattedCitation":"(Kane &amp; Klein, 2005; Krueger, 1988; Mechem &amp; Oberthaler, 2013)","plainCitation":"(Kane &amp; Klein, 2005; Krueger, 1988; Mechem &amp; Oberthaler, 2013)","noteIndex":0},"citationItems":[{"id":742,"uris":["http://zotero.org/users/7904379/items/X52H4L43"],"itemData":{"id":742,"type":"article-journal","abstract":"&lt;section class=\"abstract\"&gt;&lt;h2 class=\"abstractTitle text-title my-1\" id=\"d4906523e50\"&gt;Abstract&lt;/h2&gt;&lt;p&gt;A two-dimensional numerical model suitable for simulating an ensemble of cumulus clouds has been developed. It differs from similar models in its greater emphasis on turbulent processes in the boundary layer and in clouds. In the model, cloud-scale dynamics are coupled with a third-moment turbulence closure. A turbulence-scale condensation scheme is used to parameterize the cloud water mixing ratio.&lt;/p&gt;&lt;p&gt;We studied the response of tropical cumulus clouds to imposed large-scale vertical advection by doing two simulations: one with upward large-scale vertical velocity (the “disturbed” case) and one without any (the “undisturbed” case) but otherwise identical. Deep cumulus clouds formed in the disturbed case, while only shallow clouds formed in the undisturbed case.&lt;/p&gt;&lt;p&gt;Time-averaged and horizontally averaged heat and moisture budgets from the simulations show that the subcloud layer (SCL) in the disturbed case was strongly affected by cumulus circulations and rain evaporation. Both cumulus updrafts and downdrafts were important contributors to the SCL sensible and latent heat fluxes. Seventy percent of the fluxes were due to the strongest drafts, which covered only 24% of the area at 500 m. The strongest downdrafts formed in rainshafts and carried air from the updrafts and from the environment at midlevels (1–4 km) into the SCL. These downdrafts were driven by rain water loading above the SCL; only within the SCL were they ever negatively buoyant. Such downdraft created gust fronts and cool outflow regions. In the cloud-free regions, the SCL warmed and dried due to compensating subsidence, which occurred despite the large-scale upward motion. Cumulus-scale circulations in the disturbed SCL determined where new clouds formed by creating convergence zones and moisture anomalies. These circulations also strongly affected the surface fluxes of sensible and latent heat.&lt;/p&gt;&lt;/section&gt;","container-title":"Journal of the Atmospheric Sciences","DOI":"10.1175/1520-0469(1988)045&lt;2221:NSOTCC&gt;2.0.CO;2","ISSN":"0022-4928, 1520-0469","issue":"16","language":"EN","note":"publisher: American Meteorological Society\nsection: Journal of the Atmospheric Sciences","page":"2221-2250","source":"journals.ametsoc.org","title":"Numerical Simulation of Tropical Cumulus Clouds and Their Interaction with the Subcloud Layer","URL":"https://journals.ametsoc.org/view/journals/atsc/45/16/1520-0469_1988_045_2221_nsotcc_2_0_co_2.xml","volume":"45","author":[{"family":"Krueger","given":"Steven K."}],"accessed":{"date-parts":[["2021",7,5]]},"issued":{"date-parts":[["1988",8,15]]}}},{"id":748,"uris":["http://zotero.org/users/7904379/items/6N7XLUWB"],"itemData":{"id":748,"type":"article-journal","abstract":"Recent observational studies of tropical deep convection typically include some mention of cumulus congestus, a third mode of tropical convection, in addition to shallow trade cumulus and deep convection. This study analyzes congestus behavior in a multiday cloud-resolving model simulation based on the Tropical Ocean-Global Atmosphere Coupled Ocean-Atmosphere Response Experiment (TOGA COARE) field campaign. Simulation results exhibit a pronounced congestus cloud mode, present during both suppressed and active phases of the intraseasonal oscillation (ISO), with a unique signature consistent with cloudy-air detrainment near the 0°C isotherm. Congestus clouds in the simulation contribute 34% of the total precipitation during a 10 day transition period from suppressed to active phases, a number which corresponds well with previous estimates of the congestus contribution to precipitation. Domain-mean profiles and statistics from conditionally sampled buoyant cloud cores are compared with similar quantities from a recent model intercomparison of RICO trade cumulus. In many respects, cumulus congestus act like overgrown trade cumulus clouds. Both cloud types demonstrate multiple cloud fraction maxima associated with cloud base and detrainment layers. Profiles of buoyancy flux and vertical velocity variance suggest that the buoyancy production of turbulence behaves similarly in both cloud types. The greater precipitation production in the simulated congestus clouds nearly balances the surface latent heat flux, and thus the congestus contribution to moistening the atmosphere is limited. The computational configuration is a compromise between providing both sufficient resolution to represent shallow cumulus and sufficient domain size to handle broader, deep convective clouds.","container-title":"Journal of Advances in Modeling Earth Systems","DOI":"10.1002/jame.20043","ISSN":"1942-2466","issue":"3","language":"en","note":"_eprint: https://agupubs.onlinelibrary.wiley.com/doi/pdf/10.1002/jame.20043","page":"623-637","source":"Wiley Online Library","title":"Numerical simulation of tropical cumulus congestus during TOGA COARE","URL":"https://agupubs.onlinelibrary.wiley.com/doi/abs/10.1002/jame.20043","volume":"5","author":[{"family":"Mechem","given":"D. B."},{"family":"Oberthaler","given":"A. J."}],"accessed":{"date-parts":[["2021",7,5]]},"issued":{"date-parts":[["2013"]]}}},{"id":671,"uris":["http://zotero.org/users/7904379/items/EJB5UZIS"],"itemData":{"id":671,"type":"chapter","abstract":"“Carbon sequestration” refers to a portfolio of activities for the capture, separation and storage or reuse of carbon or CO2. Carbon sequestration technologies encompass both the prevention of CO2 emissions into the atmosphere as well as the removal of CO2 already in the atmosphere.","collection-title":"Handbook of Environmental Engineering","container-title":"Advanced Air and Noise Pollution Control","event-place":"Totowa, NJ","ISBN":"978-1-59259-779-6","language":"en","note":"DOI: 10.1007/978-1-59259-779-6_3","page":"97-112","publisher":"Humana Press","publisher-place":"Totowa, NJ","source":"Springer Link","title":"Carbon Sequestration","URL":"https://doi.org/10.1007/978-1-59259-779-6_3","author":[{"family":"Kane","given":"Robert L."},{"family":"Klein","given":"Daniel E."}],"editor":[{"family":"Wang","given":"Lawrence K."},{"family":"Pereira","given":"Norman C."},{"family":"Hung","given":"Yung-Tse"}],"accessed":{"date-parts":[["2021",6,28]]},"issued":{"date-parts":[["2005"]]}}}],"schema":"https://github.com/citation-style-language/schema/raw/master/csl-citation.json"} </w:instrText>
      </w:r>
      <w:r w:rsidRPr="00C3492A">
        <w:fldChar w:fldCharType="separate"/>
      </w:r>
      <w:r w:rsidR="00A44B66" w:rsidRPr="00A44B66">
        <w:t>(Kane &amp; Klein, 2005; Krueger, 1988; Mechem &amp; Oberthaler, 2013)</w:t>
      </w:r>
      <w:r w:rsidRPr="00C3492A">
        <w:fldChar w:fldCharType="end"/>
      </w:r>
      <w:r w:rsidRPr="00C3492A">
        <w:t xml:space="preserve">, with </w:t>
      </w:r>
      <w:r w:rsidR="00F677EB">
        <w:t xml:space="preserve">the </w:t>
      </w:r>
      <w:r w:rsidRPr="00C3492A">
        <w:t xml:space="preserve">purpose to enrich the phenomenological basis for MMM. Unfortunately,  despite an increase in computing power, the latter modeling strategy comes with a host of other challenges, such as the scarcity of observation data over complex </w:t>
      </w:r>
      <w:r w:rsidR="00896444">
        <w:t>orography</w:t>
      </w:r>
      <w:r w:rsidRPr="00C3492A">
        <w:t xml:space="preserve"> to </w:t>
      </w:r>
      <w:r w:rsidR="00E80A0C">
        <w:rPr>
          <w:rFonts w:eastAsia="SimSun" w:hint="eastAsia"/>
          <w:lang w:eastAsia="zh-CN"/>
        </w:rPr>
        <w:t>simulate the development mechanism of C</w:t>
      </w:r>
      <w:r w:rsidR="00896444">
        <w:rPr>
          <w:rFonts w:eastAsia="SimSun"/>
          <w:lang w:eastAsia="zh-CN"/>
        </w:rPr>
        <w:t>C</w:t>
      </w:r>
      <w:r w:rsidRPr="00C3492A">
        <w:t>. Ultimately, the availability of appropriate boundary conditions to replicate the development of the ABL processes</w:t>
      </w:r>
      <w:r w:rsidR="00741DDB">
        <w:t xml:space="preserve"> </w:t>
      </w:r>
      <w:r w:rsidR="004B20C0">
        <w:fldChar w:fldCharType="begin"/>
      </w:r>
      <w:r w:rsidR="00B230CC">
        <w:instrText xml:space="preserve"> ADDIN ZOTERO_ITEM CSL_CITATION {"citationID":"a2gat0kga4a","properties":{"formattedCitation":"(P. Ray, 2015)","plainCitation":"(P. Ray, 2015)","noteIndex":0},"citationItems":[{"id":638,"uris":["http://zotero.org/users/7904379/items/2J9RFNF8"],"itemData":{"id":638,"type":"book","abstract":"This book is a collection of selected lectures presented at the ‘Intensive Course on Mesoscale Meteorology and Forecasting’ in Boulder, USA, in 1984. It includes mesoscale classifications, observing techniques and systems, internally generated circulations, mesoscale convective systems, externally forced circulations, modeling and short-range forecasting techniques. This is a highly illustrated book and comprehensive work, including extensive bibliographic references. It is aimed at graduates in meteorology and for professionals working in the field.","ISBN":"978-1-935704-20-1","language":"en","number-of-pages":"803","publisher":"Springer","source":"Google Books","title":"Mesoscale Meteorology and Forecasting","author":[{"family":"Ray","given":"Peter"}],"issued":{"date-parts":[["2015",3,30]]}}}],"schema":"https://github.com/citation-style-language/schema/raw/master/csl-citation.json"} </w:instrText>
      </w:r>
      <w:r w:rsidR="004B20C0">
        <w:fldChar w:fldCharType="separate"/>
      </w:r>
      <w:r w:rsidR="00B230CC" w:rsidRPr="00B230CC">
        <w:t>(P. Ray, 2015)</w:t>
      </w:r>
      <w:r w:rsidR="004B20C0">
        <w:fldChar w:fldCharType="end"/>
      </w:r>
      <w:r w:rsidRPr="00C3492A">
        <w:t xml:space="preserve">  is a limit to MMM. </w:t>
      </w:r>
    </w:p>
    <w:p w14:paraId="0177A3DD" w14:textId="15C4BE53" w:rsidR="00C3492A" w:rsidRPr="00C3492A" w:rsidRDefault="00C3492A" w:rsidP="00375201">
      <w:pPr>
        <w:pStyle w:val="Text"/>
        <w:ind w:firstLine="540"/>
      </w:pPr>
      <w:r w:rsidRPr="00C3492A">
        <w:t xml:space="preserve">As such, Tibetan Plateau (TP) region is one of the </w:t>
      </w:r>
      <w:r w:rsidR="00252E15">
        <w:t xml:space="preserve">most </w:t>
      </w:r>
      <w:r w:rsidRPr="00C3492A">
        <w:t xml:space="preserve">complex terrains in the world. Human life and the ecosystem of South East Asia (SEA) depend on water from the major rivers such as the Brahmaputra, Ganges, Irrawaddy, Mekong, Salween, Yangtze, and Yellow River, which headwaters are located on TP. The water supply in these rivers is strongly related to </w:t>
      </w:r>
      <w:r w:rsidR="00252E15">
        <w:t xml:space="preserve">the </w:t>
      </w:r>
      <w:r w:rsidRPr="00C3492A">
        <w:t xml:space="preserve">ABL processes of the cumulus convection that further produces precipitation fall </w:t>
      </w:r>
      <w:r w:rsidRPr="00C3492A">
        <w:fldChar w:fldCharType="begin"/>
      </w:r>
      <w:r w:rsidR="00A44B66">
        <w:instrText xml:space="preserve"> ADDIN ZOTERO_ITEM CSL_CITATION {"citationID":"a2i1amq0mpr","properties":{"formattedCitation":"(Zhao et al., 2018, 2019)","plainCitation":"(Zhao et al., 2018, 2019)","noteIndex":0},"citationItems":[{"id":305,"uris":["http://zotero.org/users/7904379/items/6WY3XTV3"],"itemData":{"id":305,"type":"article-journal","container-title":"Journal of Meteorological Research","DOI":"10.1007/s13351-019-8602-3","ISSN":"2095-6037, 2198-0934","issue":"3","journalAbbreviation":"J Meteorol Res","language":"en","page":"375-399","source":"DOI.org (Crossref)","title":"The Tibetan Plateau Surface-Atmosphere Coupling System and Its Weather and Climate Effects: The Third Tibetan Plateau Atmospheric Science Experiment","title-short":"The Tibetan Plateau Surface-Atmosphere Coupling System and Its Weather and Climate Effects","URL":"http://link.springer.com/10.1007/s13351-019-8602-3","volume":"33","author":[{"family":"Zhao","given":"Ping"},{"family":"Li","given":"Yueqing"},{"family":"Guo","given":"Xueliang"},{"family":"Xu","given":"Xiangde"},{"family":"Liu","given":"Yimin"},{"family":"Tang","given":"Shihao"},{"family":"Xiao","given":"Wenming"},{"family":"Shi","given":"Chunxiang"},{"family":"Ma","given":"Yaoming"},{"family":"Yu","given":"Xing"},{"family":"Liu","given":"Huizhi"},{"family":"Jia","given":"La"},{"family":"Chen","given":"Yun"},{"family":"Liu","given":"Yanju"},{"family":"Li","given":"Jian"},{"family":"Luo","given":"Dabiao"},{"family":"Cao","given":"Yunchang"},{"family":"Zheng","given":"Xiangdong"},{"family":"Chen","given":"Junming"},{"family":"Xiao","given":"An"},{"family":"Yuan","given":"Fang"},{"family":"Chen","given":"Donghui"},{"family":"Pang","given":"Yang"},{"family":"Hu","given":"Zhiqun"},{"family":"Zhang","given":"Shengjun"},{"family":"Dong","given":"Lixin"},{"family":"Hu","given":"Juyang"},{"family":"Han","given":"Shuai"},{"family":"Zhou","given":"Xiuji"}],"accessed":{"date-parts":[["2021",4,16]]},"issued":{"date-parts":[["2019",6]]}}},{"id":298,"uris":["http://zotero.org/users/7904379/items/558PUX3B"],"itemData":{"id":298,"type":"article-journal","abstract":"&lt;section class=\"abstract\"&gt;&lt;h2 class=\"abstractTitle text-title my-1\" id=\"d4001e2\"&gt;Abstract&lt;/h2&gt;&lt;p&gt;This paper presents the background, scientific objectives, experimental design, and preliminary achievements of the Third Tibetan Plateau (TP) Atmospheric Scientific Experiment (TIPEX-III) for 8–10 years. It began in 2013 and has expanded plateau-scale observation networks by adding observation stations in data-scarce areas; executed integrated observation missions for the land surface, planetary boundary layer, cloud–precipitation, and troposphere–stratosphere exchange processes by coordinating ground-based, air-based, and satellite facilities; and achieved noticeable progress in data applications. A new estimation gives a smaller bulk transfer coefficient of surface sensible heat over the TP, which results in a reduction of the possibly overestimated heat intensity found in previous studies. Summer cloud–precipitation microphysical characteristics and cloud radiative effects over the TP are distinguished from those over the downstream plains. Warm rain processes play important roles in the development of cloud and precipitation over the TP. The lower-tropospheric ozone maximum over the northeastern TP is attributed to the regional photochemistry and long-range ozone transports, and the heterogeneous chemical processes of depleting ozone near the tropopause might not be a dominant mechanism for the summer upper-tropospheric–lower-stratospheric ozone valley over the southeastern TP. The TP thermodynamic function not only affects the local atmospheric water maintenance and the downstream precipitation and haze events but also modifies extratropical atmospheric teleconnections like the Asia–Pacific Oscillation, subtropical anticyclones over the North Pacific and Atlantic, and temperature and precipitation over Africa, Asia, and North America. These findings provide new insights into understanding land–atmosphere coupled processes over the TP and their effects, improving model parameterization schemes, and enhancing weather and climate forecast skills.&lt;/p&gt;&lt;/section&gt;","container-title":"Bulletin of the American Meteorological Society","DOI":"10.1175/BAMS-D-16-0050.1","ISSN":"0003-0007, 1520-0477","issue":"4","language":"EN","note":"publisher: American Meteorological Society\nsection: Bulletin of the American Meteorological Society","page":"757-776","source":"journals.ametsoc.org","title":"The Third Atmospheric Scientific Experiment for Understanding the Earth–Atmosphere Coupled System over the Tibetan Plateau and Its Effects","URL":"https://journals.ametsoc.org/view/journals/bams/99/4/bams-d-16-0050.1.xml","volume":"99","author":[{"family":"Zhao","given":"Ping"},{"family":"Xu","given":"Xiangde"},{"family":"Chen","given":"Fei"},{"family":"Guo","given":"Xueliang"},{"family":"Zheng","given":"Xiangdong"},{"family":"Liu","given":"Liping"},{"family":"Hong","given":"Yang"},{"family":"Li","given":"Yueqing"},{"family":"La","given":"Zuo"},{"family":"Peng","given":"Hao"},{"family":"Zhong","given":"Linzhi"},{"family":"Ma","given":"Yaoming"},{"family":"Tang","given":"Shihao"},{"family":"Liu","given":"Yimin"},{"family":"Liu","given":"Huizhi"},{"family":"Li","given":"Yaohui"},{"family":"Zhang","given":"Qiang"},{"family":"Hu","given":"Zeyong"},{"family":"Sun","given":"Jihua"},{"family":"Zhang","given":"Shengjun"},{"family":"Dong","given":"Lixin"},{"family":"Zhang","given":"Hezhen"},{"family":"Zhao","given":"Yang"},{"family":"Yan","given":"Xiaolu"},{"family":"Xiao","given":"An"},{"family":"Wan","given":"Wei"},{"family":"Liu","given":"Yu"},{"family":"Chen","given":"Junming"},{"family":"Liu","given":"Ge"},{"family":"Zhaxi","given":"Yangzong"},{"family":"Zhou","given":"Xiuji"}],"accessed":{"date-parts":[["2021",4,16]]},"issued":{"date-parts":[["2018",4,1]]}}}],"schema":"https://github.com/citation-style-language/schema/raw/master/csl-citation.json"} </w:instrText>
      </w:r>
      <w:r w:rsidRPr="00C3492A">
        <w:fldChar w:fldCharType="separate"/>
      </w:r>
      <w:r w:rsidR="00A44B66" w:rsidRPr="00A44B66">
        <w:t>(Zhao et al., 2018, 2019)</w:t>
      </w:r>
      <w:r w:rsidRPr="00C3492A">
        <w:fldChar w:fldCharType="end"/>
      </w:r>
      <w:r w:rsidRPr="00C3492A">
        <w:t xml:space="preserve">. In addition, the ABL processes over TP are well known to hydrating the global atmosphere </w:t>
      </w:r>
      <w:r w:rsidRPr="00C3492A">
        <w:fldChar w:fldCharType="begin"/>
      </w:r>
      <w:r w:rsidR="00A44B66">
        <w:instrText xml:space="preserve"> ADDIN ZOTERO_ITEM CSL_CITATION {"citationID":"VOadV5x5","properties":{"formattedCitation":"(R. Fu et al., 2006; IPCC, 2014)","plainCitation":"(R. Fu et al., 2006; IPCC, 2014)","noteIndex":0},"citationItems":[{"id":485,"uris":["http://zotero.org/users/7904379/items/AVCHR66G"],"itemData":{"id":485,"type":"article-journal","abstract":"During boreal summer, much of the water vapor and CO entering the global tropical stratosphere is transported over the Asian monsoon/Tibetan Plateau (TP) region. Studies have suggested that most of this transport is carried out either by tropical convection over the South Asian monsoon region or by extratropical convection over southern China. By using measurements from the newly available National Aeronautics and Space Administration Aura Microwave Limb Sounder, along with observations from the Aqua and Tropical Rainfall-Measuring Mission satellites, we establish that the TP provides the main pathway for cross-tropopause transport in this region. Tropospheric moist convection driven by elevated surface heating over the TP is deeper and detrains more water vapor, CO, and ice at the tropopause than over the monsoon area. Warmer tropopause temperatures and slower-falling, smaller cirrus cloud particles in less saturated ambient air at the tropopause also allow more water vapor to travel into the lower stratosphere over the TP, effectively short-circuiting the slower ascent of water vapor across the cold tropical tropopause over the monsoon area. Air that is high in water vapor and CO over the Asian monsoon/TP region enters the lower stratosphere primarily over the TP, and it is then transported toward the Asian monsoon area and disperses into the large-scale upward motion of the global stratospheric circulation. Thus, hydration of the global stratosphere could be especially sensitive to changes of convection over the TP.","container-title":"Proceedings of the National Academy of Sciences","DOI":"10.1073/pnas.0601584103","ISSN":"0027-8424, 1091-6490","issue":"15","journalAbbreviation":"PNAS","language":"en","note":"publisher: National Academy of Sciences\nsection: Physical Sciences\nPMID: 16585523","page":"5664-5669","source":"www.pnas.org","title":"Short circuit of water vapor and polluted air to the global stratosphere by convective transport over the Tibetan Plateau","URL":"https://www.pnas.org/content/103/15/5664","volume":"103","author":[{"family":"Fu","given":"Rong"},{"family":"Hu","given":"Yuanlong"},{"family":"Wright","given":"Jonathon S."},{"family":"Jiang","given":"Jonathan H."},{"family":"Dickinson","given":"Robert E."},{"family":"Chen","given":"Mingxuan"},{"family":"Filipiak","given":"Mark"},{"family":"Read","given":"William G."},{"family":"Waters","given":"Joe W."},{"family":"Wu","given":"Dong L."}],"accessed":{"date-parts":[["2021",5,2]]},"issued":{"date-parts":[["2006",4,11]]}}},{"id":474,"uris":["http://zotero.org/users/7904379/items/SQ973QEE"],"itemData":{"id":474,"type":"report","event-place":"Cambridge","note":"DOI: 10.1017/CBO9781107415324","publisher":"Cambridge University Press","publisher-place":"Cambridge","source":"DOI.org (Crossref)","title":"Climate Change 2013 - The Physical Science Basis: Working Group I Contribution to the Fifth Assessment Report of the Intergovernmental Panel on Climate Change","title-short":"Climate Change 2013 - The Physical Science Basis","URL":"http://ebooks.cambridge.org/ref/id/CBO9781107415324","author":[{"family":"IPCC","given":"Intergovernmental Panel on Climate Change"}],"accessed":{"date-parts":[["2021",4,28]]},"issued":{"date-parts":[["2014"]]}}}],"schema":"https://github.com/citation-style-language/schema/raw/master/csl-citation.json"} </w:instrText>
      </w:r>
      <w:r w:rsidRPr="00C3492A">
        <w:fldChar w:fldCharType="separate"/>
      </w:r>
      <w:r w:rsidR="00EC3304" w:rsidRPr="00EC3304">
        <w:t>(R. Fu et al., 2006; IPCC, 2014)</w:t>
      </w:r>
      <w:r w:rsidRPr="00C3492A">
        <w:fldChar w:fldCharType="end"/>
      </w:r>
      <w:r w:rsidRPr="00C3492A">
        <w:t xml:space="preserve">. However, the predictability of the latter process on TP relied on sparse and scarce observations that did not provide the required accuracy, spatial density, and temporal frequency </w:t>
      </w:r>
      <w:r w:rsidRPr="00C3492A">
        <w:fldChar w:fldCharType="begin"/>
      </w:r>
      <w:r w:rsidR="00C62A9A">
        <w:instrText xml:space="preserve"> ADDIN ZOTERO_ITEM CSL_CITATION {"citationID":"WpP3ntxY","properties":{"formattedCitation":"(Y. Liu et al., 2020; Zhao et al., 2019)","plainCitation":"(Y. Liu et al., 2020; Zhao et al., 2019)","noteIndex":0},"citationItems":[{"id":381,"uris":["http://zotero.org/users/7904379/items/95QS9UH3"],"itemData":{"id":381,"type":"article-journal","abstract":"&lt;section class=\"abstract\"&gt;&lt;h2 class=\"abstractTitle text-title my-1\" id=\"d1742e2\"&gt;Abstract&lt;/h2&gt;&lt;p&gt;A multiscale modeling study of a real case has been conducted to explore the capability of the large-eddy simulation version of the Weather Research and Forecasting Model (WRF-LES) over Xiaohaituo Mountain (a game zone for the Beijing, China, 2022 Winter Olympic Games). In comparing WRF-LES results with observations collected during the Mountain Terrain Atmospheric Observations and Modeling (MOUNTAOM) field campaign, it is found that at 37-m resolution with LES settings, the model can reasonably capture both large-scale events and microscale atmospheric circulation characteristics. Employing the Shuttle Radar Topography Mission 1 arc s dataset (SRTM1; ~30 m) high-resolution topographic dataset instead of the traditional USGS_30s (~900 m) dataset effectively improves the model capability for reproducing fluctuations and turbulent features of surface winds. Five sensitivity experiments are conducted to investigate the impact of different PBL treatments, including YSU/Shin and Hong (SH) PBL schemes and LES with 1.5-order turbulence kinetic energy closure model (1.5TKE), Smagorinsky (SMAG), and nonlinear backscatter and anisotropy (NBA) subgrid-scale (SGS) stress models. In this case, at gray-zone scales, differences between YSU and SH are negligible. LES outperform two PBL schemes that generate smaller turbulence kinetic energy and increase the model errors for mean wind speed, energy spectra, and probability density functions of velocity. Another key finding is that wind field features in the boundary layer over complex terrain are more sensitive to the choice of SGS models than above the boundary layer. With the increase of model resolution, the effects of the SGS model become more significant, especially for the statistical characteristics of turbulence. Among these three SGS models, NBA has the best performance. Overall, this study demonstrates that WRF-LES is a promising tool for simulating real weather flows over complex terrain.&lt;/p&gt;&lt;/section&gt;","container-title":"Journal of Applied Meteorology and Climatology","DOI":"10.1175/JAMC-D-19-0304.1","ISSN":"1558-8424, 1558-8432","issue":"9","language":"EN","note":"publisher: American Meteorological Society\nsection: Journal of Applied Meteorology and Climatology","page":"1481-1501","source":"journals.ametsoc.org","title":"Simulation of Flow Fields in Complex Terrain with WRF-LES: Sensitivity Assessment of Different PBL Treatments","title-short":"Simulation of Flow Fields in Complex Terrain with WRF-LES","URL":"https://journals.ametsoc.org/view/journals/apme/59/9/jamcD190304.xml","volume":"59","author":[{"family":"Liu","given":"Yubao"},{"family":"Muñoz-Esparza","given":"Domingo"},{"family":"Hu","given":"Fei"},{"family":"Yan","given":"Chao"},{"family":"Miao","given":"Shiguang"}],"accessed":{"date-parts":[["2021",4,20]]},"issued":{"date-parts":[["2020",9,18]]}}},{"id":305,"uris":["http://zotero.org/users/7904379/items/6WY3XTV3"],"itemData":{"id":305,"type":"article-journal","container-title":"Journal of Meteorological Research","DOI":"10.1007/s13351-019-8602-3","ISSN":"2095-6037, 2198-0934","issue":"3","journalAbbreviation":"J Meteorol Res","language":"en","page":"375-399","source":"DOI.org (Crossref)","title":"The Tibetan Plateau Surface-Atmosphere Coupling System and Its Weather and Climate Effects: The Third Tibetan Plateau Atmospheric Science Experiment","title-short":"The Tibetan Plateau Surface-Atmosphere Coupling System and Its Weather and Climate Effects","URL":"http://link.springer.com/10.1007/s13351-019-8602-3","volume":"33","author":[{"family":"Zhao","given":"Ping"},{"family":"Li","given":"Yueqing"},{"family":"Guo","given":"Xueliang"},{"family":"Xu","given":"Xiangde"},{"family":"Liu","given":"Yimin"},{"family":"Tang","given":"Shihao"},{"family":"Xiao","given":"Wenming"},{"family":"Shi","given":"Chunxiang"},{"family":"Ma","given":"Yaoming"},{"family":"Yu","given":"Xing"},{"family":"Liu","given":"Huizhi"},{"family":"Jia","given":"La"},{"family":"Chen","given":"Yun"},{"family":"Liu","given":"Yanju"},{"family":"Li","given":"Jian"},{"family":"Luo","given":"Dabiao"},{"family":"Cao","given":"Yunchang"},{"family":"Zheng","given":"Xiangdong"},{"family":"Chen","given":"Junming"},{"family":"Xiao","given":"An"},{"family":"Yuan","given":"Fang"},{"family":"Chen","given":"Donghui"},{"family":"Pang","given":"Yang"},{"family":"Hu","given":"Zhiqun"},{"family":"Zhang","given":"Shengjun"},{"family":"Dong","given":"Lixin"},{"family":"Hu","given":"Juyang"},{"family":"Han","given":"Shuai"},{"family":"Zhou","given":"Xiuji"}],"accessed":{"date-parts":[["2021",4,16]]},"issued":{"date-parts":[["2019",6]]}}}],"schema":"https://github.com/citation-style-language/schema/raw/master/csl-citation.json"} </w:instrText>
      </w:r>
      <w:r w:rsidRPr="00C3492A">
        <w:fldChar w:fldCharType="separate"/>
      </w:r>
      <w:r w:rsidR="00C62A9A" w:rsidRPr="00C62A9A">
        <w:t>(Y. Liu et al., 2020; Zhao et al., 2019)</w:t>
      </w:r>
      <w:r w:rsidRPr="00C3492A">
        <w:fldChar w:fldCharType="end"/>
      </w:r>
      <w:r w:rsidRPr="00C3492A">
        <w:t>, posing difficult challenges when applying numerical modeling to understand the C</w:t>
      </w:r>
      <w:r w:rsidR="004B7B5F">
        <w:rPr>
          <w:rFonts w:eastAsia="SimSun" w:hint="eastAsia"/>
          <w:lang w:eastAsia="zh-CN"/>
        </w:rPr>
        <w:t>C</w:t>
      </w:r>
      <w:r w:rsidRPr="00C3492A">
        <w:t xml:space="preserve"> development in that region. The latest campaign work, the Third TP Atmospheric Science Experiment (TIPEX-III), conducted from July 1 to August 31, 2014 </w:t>
      </w:r>
      <w:r w:rsidRPr="00C3492A">
        <w:fldChar w:fldCharType="begin"/>
      </w:r>
      <w:r w:rsidR="00A44B66">
        <w:instrText xml:space="preserve"> ADDIN ZOTERO_ITEM CSL_CITATION {"citationID":"a2nah2rd4t8","properties":{"formattedCitation":"(L. Liu et al., 2015; Zhao et al., 2018, 2019)","plainCitation":"(L. Liu et al., 2015; Zhao et al., 2018, 2019)","noteIndex":0},"citationItems":[{"id":48,"uris":["http://zotero.org/users/7904379/items/VVQXIK9C"],"itemData":{"id":48,"type":"article-journal","container-title":"Journal of Meteorological Research","DOI":"10.1007/s13351-015-4208-6","ISSN":"2095-6037, 2198-0934","issue":"4","journalAbbreviation":"J Meteorol Res","language":"en","page":"546-561","source":"DOI.org (Crossref)","title":"Comprehensive radar observations of clouds and precipitation over the Tibetan Plateau and preliminary analysis of cloud properties","URL":"http://link.springer.com/10.1007/s13351-015-4208-6","volume":"29","author":[{"family":"Liu","given":"Liping"},{"family":"Zheng","given":"Jiafeng"},{"family":"Ruan","given":"Zheng"},{"family":"Cui","given":"Zhehu"},{"family":"Hu","given":"Zhiqun"},{"family":"Wu","given":"Songhua"},{"family":"Dai","given":"Guangyao"},{"family":"Wu","given":"Yahao"}],"accessed":{"date-parts":[["2021",3,25]]},"issued":{"date-parts":[["2015",8]]}}},{"id":298,"uris":["http://zotero.org/users/7904379/items/558PUX3B"],"itemData":{"id":298,"type":"article-journal","abstract":"&lt;section class=\"abstract\"&gt;&lt;h2 class=\"abstractTitle text-title my-1\" id=\"d4001e2\"&gt;Abstract&lt;/h2&gt;&lt;p&gt;This paper presents the background, scientific objectives, experimental design, and preliminary achievements of the Third Tibetan Plateau (TP) Atmospheric Scientific Experiment (TIPEX-III) for 8–10 years. It began in 2013 and has expanded plateau-scale observation networks by adding observation stations in data-scarce areas; executed integrated observation missions for the land surface, planetary boundary layer, cloud–precipitation, and troposphere–stratosphere exchange processes by coordinating ground-based, air-based, and satellite facilities; and achieved noticeable progress in data applications. A new estimation gives a smaller bulk transfer coefficient of surface sensible heat over the TP, which results in a reduction of the possibly overestimated heat intensity found in previous studies. Summer cloud–precipitation microphysical characteristics and cloud radiative effects over the TP are distinguished from those over the downstream plains. Warm rain processes play important roles in the development of cloud and precipitation over the TP. The lower-tropospheric ozone maximum over the northeastern TP is attributed to the regional photochemistry and long-range ozone transports, and the heterogeneous chemical processes of depleting ozone near the tropopause might not be a dominant mechanism for the summer upper-tropospheric–lower-stratospheric ozone valley over the southeastern TP. The TP thermodynamic function not only affects the local atmospheric water maintenance and the downstream precipitation and haze events but also modifies extratropical atmospheric teleconnections like the Asia–Pacific Oscillation, subtropical anticyclones over the North Pacific and Atlantic, and temperature and precipitation over Africa, Asia, and North America. These findings provide new insights into understanding land–atmosphere coupled processes over the TP and their effects, improving model parameterization schemes, and enhancing weather and climate forecast skills.&lt;/p&gt;&lt;/section&gt;","container-title":"Bulletin of the American Meteorological Society","DOI":"10.1175/BAMS-D-16-0050.1","ISSN":"0003-0007, 1520-0477","issue":"4","language":"EN","note":"publisher: American Meteorological Society\nsection: Bulletin of the American Meteorological Society","page":"757-776","source":"journals.ametsoc.org","title":"The Third Atmospheric Scientific Experiment for Understanding the Earth–Atmosphere Coupled System over the Tibetan Plateau and Its Effects","URL":"https://journals.ametsoc.org/view/journals/bams/99/4/bams-d-16-0050.1.xml","volume":"99","author":[{"family":"Zhao","given":"Ping"},{"family":"Xu","given":"Xiangde"},{"family":"Chen","given":"Fei"},{"family":"Guo","given":"Xueliang"},{"family":"Zheng","given":"Xiangdong"},{"family":"Liu","given":"Liping"},{"family":"Hong","given":"Yang"},{"family":"Li","given":"Yueqing"},{"family":"La","given":"Zuo"},{"family":"Peng","given":"Hao"},{"family":"Zhong","given":"Linzhi"},{"family":"Ma","given":"Yaoming"},{"family":"Tang","given":"Shihao"},{"family":"Liu","given":"Yimin"},{"family":"Liu","given":"Huizhi"},{"family":"Li","given":"Yaohui"},{"family":"Zhang","given":"Qiang"},{"family":"Hu","given":"Zeyong"},{"family":"Sun","given":"Jihua"},{"family":"Zhang","given":"Shengjun"},{"family":"Dong","given":"Lixin"},{"family":"Zhang","given":"Hezhen"},{"family":"Zhao","given":"Yang"},{"family":"Yan","given":"Xiaolu"},{"family":"Xiao","given":"An"},{"family":"Wan","given":"Wei"},{"family":"Liu","given":"Yu"},{"family":"Chen","given":"Junming"},{"family":"Liu","given":"Ge"},{"family":"Zhaxi","given":"Yangzong"},{"family":"Zhou","given":"Xiuji"}],"accessed":{"date-parts":[["2021",4,16]]},"issued":{"date-parts":[["2018",4,1]]}}},{"id":305,"uris":["http://zotero.org/users/7904379/items/6WY3XTV3"],"itemData":{"id":305,"type":"article-journal","container-title":"Journal of Meteorological Research","DOI":"10.1007/s13351-019-8602-3","ISSN":"2095-6037, 2198-0934","issue":"3","journalAbbreviation":"J Meteorol Res","language":"en","page":"375-399","source":"DOI.org (Crossref)","title":"The Tibetan Plateau Surface-Atmosphere Coupling System and Its Weather and Climate Effects: The Third Tibetan Plateau Atmospheric Science Experiment","title-short":"The Tibetan Plateau Surface-Atmosphere Coupling System and Its Weather and Climate Effects","URL":"http://link.springer.com/10.1007/s13351-019-8602-3","volume":"33","author":[{"family":"Zhao","given":"Ping"},{"family":"Li","given":"Yueqing"},{"family":"Guo","given":"Xueliang"},{"family":"Xu","given":"Xiangde"},{"family":"Liu","given":"Yimin"},{"family":"Tang","given":"Shihao"},{"family":"Xiao","given":"Wenming"},{"family":"Shi","given":"Chunxiang"},{"family":"Ma","given":"Yaoming"},{"family":"Yu","given":"Xing"},{"family":"Liu","given":"Huizhi"},{"family":"Jia","given":"La"},{"family":"Chen","given":"Yun"},{"family":"Liu","given":"Yanju"},{"family":"Li","given":"Jian"},{"family":"Luo","given":"Dabiao"},{"family":"Cao","given":"Yunchang"},{"family":"Zheng","given":"Xiangdong"},{"family":"Chen","given":"Junming"},{"family":"Xiao","given":"An"},{"family":"Yuan","given":"Fang"},{"family":"Chen","given":"Donghui"},{"family":"Pang","given":"Yang"},{"family":"Hu","given":"Zhiqun"},{"family":"Zhang","given":"Shengjun"},{"family":"Dong","given":"Lixin"},{"family":"Hu","given":"Juyang"},{"family":"Han","given":"Shuai"},{"family":"Zhou","given":"Xiuji"}],"accessed":{"date-parts":[["2021",4,16]]},"issued":{"date-parts":[["2019",6]]}}}],"schema":"https://github.com/citation-style-language/schema/raw/master/csl-citation.json"} </w:instrText>
      </w:r>
      <w:r w:rsidRPr="00C3492A">
        <w:fldChar w:fldCharType="separate"/>
      </w:r>
      <w:r w:rsidR="00EC3304" w:rsidRPr="00EC3304">
        <w:t>(L. Liu et al., 2015; Zhao et al., 2018, 2019)</w:t>
      </w:r>
      <w:r w:rsidRPr="00C3492A">
        <w:fldChar w:fldCharType="end"/>
      </w:r>
      <w:r w:rsidRPr="00C3492A">
        <w:t>, provided comprehensive experimental data, which motivated our interest in studying ABL process of C</w:t>
      </w:r>
      <w:r w:rsidR="004B7B5F">
        <w:rPr>
          <w:rFonts w:eastAsia="SimSun" w:hint="eastAsia"/>
          <w:lang w:eastAsia="zh-CN"/>
        </w:rPr>
        <w:t>C</w:t>
      </w:r>
      <w:r w:rsidRPr="00C3492A">
        <w:t xml:space="preserve"> development over Naqu in south TP (STP).</w:t>
      </w:r>
    </w:p>
    <w:p w14:paraId="5E5D3B0C" w14:textId="732ED53A" w:rsidR="00C3492A" w:rsidRPr="00C3492A" w:rsidRDefault="00C3492A" w:rsidP="00375201">
      <w:pPr>
        <w:pStyle w:val="Text"/>
        <w:ind w:firstLine="540"/>
      </w:pPr>
      <w:r w:rsidRPr="00C3492A">
        <w:t>Typically, C</w:t>
      </w:r>
      <w:r w:rsidR="004B7B5F">
        <w:rPr>
          <w:rFonts w:eastAsia="SimSun" w:hint="eastAsia"/>
          <w:lang w:eastAsia="zh-CN"/>
        </w:rPr>
        <w:t>Cs</w:t>
      </w:r>
      <w:r w:rsidRPr="00C3492A">
        <w:t xml:space="preserve"> are detached and dense, with sharp outlines. They develop vertically in the form of rising towers. </w:t>
      </w:r>
      <w:bookmarkEnd w:id="0"/>
      <w:r w:rsidRPr="00C3492A">
        <w:t>C</w:t>
      </w:r>
      <w:r w:rsidR="004B7B5F">
        <w:rPr>
          <w:rFonts w:eastAsia="SimSun" w:hint="eastAsia"/>
          <w:lang w:eastAsia="zh-CN"/>
        </w:rPr>
        <w:t>Cs</w:t>
      </w:r>
      <w:r w:rsidRPr="00C3492A">
        <w:t xml:space="preserve"> often begin to form in sunny and fair weather as soon as the ascending air cools to the point where vapor becomes supersaturated. Subsequently, the water vapor condenses into liquid water droplets or solid ice crystals.  </w:t>
      </w:r>
      <w:r w:rsidR="004B7B5F">
        <w:rPr>
          <w:rFonts w:eastAsia="SimSun" w:hint="eastAsia"/>
          <w:lang w:eastAsia="zh-CN"/>
        </w:rPr>
        <w:t>C</w:t>
      </w:r>
      <w:r w:rsidRPr="00C3492A">
        <w:t xml:space="preserve">ongestus </w:t>
      </w:r>
      <w:r w:rsidR="004B7B5F">
        <w:rPr>
          <w:rFonts w:eastAsia="SimSun" w:hint="eastAsia"/>
          <w:lang w:eastAsia="zh-CN"/>
        </w:rPr>
        <w:t>CCs</w:t>
      </w:r>
      <w:r w:rsidRPr="00C3492A">
        <w:t xml:space="preserve"> may turn into cumulonimbus and produce thunderstorms when influenced by mesoscale instability, humidity, and temperature gradient. Cumulonimbus grows vertically and may penetrate at greater heights from 300 to 12,000 m AGL </w:t>
      </w:r>
      <w:r w:rsidRPr="00C3492A">
        <w:fldChar w:fldCharType="begin"/>
      </w:r>
      <w:r w:rsidR="00A44B66">
        <w:instrText xml:space="preserve"> ADDIN ZOTERO_ITEM CSL_CITATION {"citationID":"a2eghhs2bd8","properties":{"formattedCitation":"(Cotton &amp; Anthes, 1992)","plainCitation":"(Cotton &amp; Anthes, 1992)","noteIndex":0},"citationItems":[{"id":336,"uris":["http://zotero.org/users/7904379/items/LWIM6PRA"],"itemData":{"id":336,"type":"chapter","abstract":"This chapter discusses the dynamic characteristics of cumuli, ranging from boundary layer cumuli to towering cumuli. It examines boundary layer or fair-weather cumuli as an ensemble of cloud elements that can be thought of as an extension of the cloud-free boundary layer. The organization of cumulus clouds is also presented. The chapter focuses on the properties of individual cumuli by exploring the processes of entrainment in cumuli and the initiation and maintenance of convective-scale updrafts and downdrafts and the interaction of clouds. Boundary-layer cumuli are cumulus clouds whose vertical extent is limited by a pronounced capping inversion, often viewed as the top of the atmospheric boundary layer. The breakup of a stratocumulus layer by entrainment instability or some other mechanism often results in the formation of a layer of boundary-layer-confined cumuli. Boundary-layer cumuli are often composed of an ensemble of forced, active, and passive clouds. The active cells, however, do not ascend more than a few kilometers above the capping inversion. Boundary-layer-confined cumuli differ significantly from more active, inversion-penetrating cumulus clouds, such as towering cumuli or cumulonimbi.","collection-title":"Storm and Cloud Dynamics","container-title":"International Geophysics","language":"en","note":"DOI: 10.1016/S0074-6142(08)60547-1","page":"368-454","publisher":"Academic Press","source":"ScienceDirect","title":"Chapter 8 Cumulus Clouds","URL":"https://www.sciencedirect.com/science/article/pii/S0074614208605471","volume":"44","editor":[{"family":"Cotton","given":"William R."},{"family":"Anthes","given":"Richard A."}],"accessed":{"date-parts":[["2021",4,17]]},"issued":{"date-parts":[["1992",1,1]]}}}],"schema":"https://github.com/citation-style-language/schema/raw/master/csl-citation.json"} </w:instrText>
      </w:r>
      <w:r w:rsidRPr="00C3492A">
        <w:fldChar w:fldCharType="separate"/>
      </w:r>
      <w:r w:rsidR="00A44B66" w:rsidRPr="00A44B66">
        <w:t>(Cotton &amp; Anthes, 1992)</w:t>
      </w:r>
      <w:r w:rsidRPr="00C3492A">
        <w:fldChar w:fldCharType="end"/>
      </w:r>
      <w:r w:rsidRPr="00C3492A">
        <w:t>. The large C</w:t>
      </w:r>
      <w:r w:rsidR="004B7B5F">
        <w:rPr>
          <w:rFonts w:eastAsia="SimSun" w:hint="eastAsia"/>
          <w:lang w:eastAsia="zh-CN"/>
        </w:rPr>
        <w:t>Cs</w:t>
      </w:r>
      <w:r w:rsidRPr="00C3492A">
        <w:t xml:space="preserve"> and thunderstorms are classified into meso-</w:t>
      </w:r>
      <m:oMath>
        <m:r>
          <w:rPr>
            <w:rFonts w:ascii="Cambria Math" w:hAnsi="Cambria Math"/>
          </w:rPr>
          <m:t>γ</m:t>
        </m:r>
      </m:oMath>
      <w:r w:rsidRPr="00C3492A">
        <w:t xml:space="preserve"> atmospheric processes </w:t>
      </w:r>
      <w:r w:rsidRPr="00C3492A">
        <w:fldChar w:fldCharType="begin"/>
      </w:r>
      <w:r w:rsidR="00EC3304">
        <w:instrText xml:space="preserve"> ADDIN ZOTERO_ITEM CSL_CITATION {"citationID":"a2ditm7bsd2","properties":{"formattedCitation":"(Anthes, 1986; Cotton &amp; Anthes, 1992; Emanuel, 1993; Fujita, 1986)","plainCitation":"(Anthes, 1986; Cotton &amp; Anthes, 1992; Emanuel, 1993; Fujita, 1986)","noteIndex":0},"citationItems":[{"id":583,"uris":["http://zotero.org/users/7904379/items/9VWSDEGG"],"itemData":{"id":583,"type":"chapter","abstract":"In general usage, “predict” is defined as “to declare in advance; foretell on the basis of observation, experience, or scientific reason” (Webster’s Seventh New Collegiate Dictionary). This general definition underlies the scientific concept of atmospheric predictability, which has been the subject of a large number of scientific studies in the last 25 years.","container-title":"Mesoscale Meteorology and Forecasting","event-place":"Boston, MA","ISBN":"978-1-935704-20-1","language":"en","note":"DOI: 10.1007/978-1-935704-20-1_27","page":"636-656","publisher":"American Meteorological Society","publisher-place":"Boston, MA","source":"Springer Link","title":"The General Question of Predictability","URL":"https://doi.org/10.1007/978-1-935704-20-1_27","author":[{"family":"Anthes","given":"Richard A."}],"editor":[{"family":"Ray","given":"Peter S."}],"accessed":{"date-parts":[["2021",5,31]]},"issued":{"date-parts":[["1986"]]}}},{"id":336,"uris":["http://zotero.org/users/7904379/items/LWIM6PRA"],"itemData":{"id":336,"type":"chapter","abstract":"This chapter discusses the dynamic characteristics of cumuli, ranging from boundary layer cumuli to towering cumuli. It examines boundary layer or fair-weather cumuli as an ensemble of cloud elements that can be thought of as an extension of the cloud-free boundary layer. The organization of cumulus clouds is also presented. The chapter focuses on the properties of individual cumuli by exploring the processes of entrainment in cumuli and the initiation and maintenance of convective-scale updrafts and downdrafts and the interaction of clouds. Boundary-layer cumuli are cumulus clouds whose vertical extent is limited by a pronounced capping inversion, often viewed as the top of the atmospheric boundary layer. The breakup of a stratocumulus layer by entrainment instability or some other mechanism often results in the formation of a layer of boundary-layer-confined cumuli. Boundary-layer cumuli are often composed of an ensemble of forced, active, and passive clouds. The active cells, however, do not ascend more than a few kilometers above the capping inversion. Boundary-layer-confined cumuli differ significantly from more active, inversion-penetrating cumulus clouds, such as towering cumuli or cumulonimbi.","collection-title":"Storm and Cloud Dynamics","container-title":"International Geophysics","language":"en","note":"DOI: 10.1016/S0074-6142(08)60547-1","page":"368-454","publisher":"Academic Press","source":"ScienceDirect","title":"Chapter 8 Cumulus Clouds","URL":"https://www.sciencedirect.com/science/article/pii/S0074614208605471","volume":"44","editor":[{"family":"Cotton","given":"William R."},{"family":"Anthes","given":"Richard A."}],"accessed":{"date-parts":[["2021",4,17]]},"issued":{"date-parts":[["1992",1,1]]}}},{"id":754,"uris":["http://zotero.org/users/7904379/items/G5JLZXGS"],"itemData":{"id":754,"type":"book","abstract":"This book presents descriptions of numerical models for testing cumulus in cloud fields. It is divided into six parts. Part I provides an overview of the problem, including descriptions of cumulus clouds and the effects of ensembles of cumulus clouds on mass, momentum, and vorticity distributions. A review of closure assumptions is also provided. A review of \"classical\" convection schemes in widespread use is provided in Part II. The special problems associated with the representation of convection in mesoscale models are discussed in Part III, along with descriptions of some of the commonly used mesoscale schemes. Part IV covers some of the problems associated with the representation of convection in climate models, while the parameterization of slantwise convection is the subject of Part V.","collection-title":"Meteorological Monographs","ISBN":"978-1-935704-13-3","language":"en","note":"DOI: 10.1007/978-1-935704-13-3","publisher":"American Meteorological Society","source":"www.springer.com","title":"The Representation of Cumulus Convection in Numerical Models","URL":"https://www.springer.com/gp/book/9781935704133","editor":[{"family":"Emanuel","given":"Kerry A."}],"accessed":{"date-parts":[["2021",7,5]]},"issued":{"date-parts":[["1993"]]}}},{"id":"j94seLCz/Z6NuMshH","uris":["http://zotero.org/users/7904379/items/TMQSQ97K"],"itemData":{"id":511,"type":"chapter","abstract":"So-called synoptic meteorology is the study of meteorological data collected and transmitted by a network of weather stations. The Glossary of Meteorology (Huschke, 1959) defines “synoptic” as referring to “meteorological data obtained simultaneously over a wide area for the purpose of presenting a comprehensive and nearly instantaneous picture of the state of the atmosphere.” Thus, to be synoptic, weather observations must be made simultaneously; the areal extent or horizontal scale of the station network is not specified.","container-title":"Mesoscale Meteorology and Forecasting","event-place":"Boston, MA","ISBN":"978-1-935704-20-1","language":"en","note":"DOI: 10.1007/978-1-935704-20-1_2","page":"18-35","publisher":"American Meteorological Society","publisher-place":"Boston, MA","source":"Springer Link","title":"Mesoscale Classifications: Their History and Their Application to Forecasting","title-short":"Mesoscale Classifications","URL":"https://doi.org/10.1007/978-1-935704-20-1_2","author":[{"family":"Fujita","given":"T. T."}],"editor":[{"family":"Ray","given":"Peter S."}],"accessed":{"date-parts":[["2021",5,5]]},"issued":{"date-parts":[["1986"]]}}}],"schema":"https://github.com/citation-style-language/schema/raw/master/csl-citation.json"} </w:instrText>
      </w:r>
      <w:r w:rsidRPr="00C3492A">
        <w:fldChar w:fldCharType="separate"/>
      </w:r>
      <w:r w:rsidR="00A44B66" w:rsidRPr="00A44B66">
        <w:t>(Anthes, 1986; Cotton &amp; Anthes, 1992; Emanuel, 1993; Fujita, 1986)</w:t>
      </w:r>
      <w:r w:rsidRPr="00C3492A">
        <w:fldChar w:fldCharType="end"/>
      </w:r>
      <w:r w:rsidRPr="00C3492A">
        <w:t>. C</w:t>
      </w:r>
      <w:r w:rsidR="004B7B5F">
        <w:rPr>
          <w:rFonts w:eastAsia="SimSun" w:hint="eastAsia"/>
          <w:lang w:eastAsia="zh-CN"/>
        </w:rPr>
        <w:t>Cs</w:t>
      </w:r>
      <w:r w:rsidRPr="00C3492A">
        <w:t xml:space="preserve"> are precursors of other cloud types, while meteorologists may refer to C</w:t>
      </w:r>
      <w:r w:rsidR="004B7B5F">
        <w:rPr>
          <w:rFonts w:eastAsia="SimSun" w:hint="eastAsia"/>
          <w:lang w:eastAsia="zh-CN"/>
        </w:rPr>
        <w:t>Cs</w:t>
      </w:r>
      <w:r w:rsidRPr="00C3492A">
        <w:t xml:space="preserve"> underway to determine the kind of weather that will occur. However, the ABL processes of C</w:t>
      </w:r>
      <w:r w:rsidR="004B7B5F">
        <w:rPr>
          <w:rFonts w:eastAsia="SimSun" w:hint="eastAsia"/>
          <w:lang w:eastAsia="zh-CN"/>
        </w:rPr>
        <w:t>C</w:t>
      </w:r>
      <w:r w:rsidRPr="00C3492A">
        <w:t xml:space="preserve"> developments have limited predictability due to uncertainty associated with the initial conditions. According to the Fifth Assessment Report of the Intergovernmental Panel on Climate Change </w:t>
      </w:r>
      <w:r w:rsidRPr="00C3492A">
        <w:fldChar w:fldCharType="begin"/>
      </w:r>
      <w:r w:rsidR="00A44B66">
        <w:instrText xml:space="preserve"> ADDIN ZOTERO_ITEM CSL_CITATION {"citationID":"a1l9otdd0ra","properties":{"formattedCitation":"(IPCC, 2014)","plainCitation":"(IPCC, 2014)","noteIndex":0},"citationItems":[{"id":474,"uris":["http://zotero.org/users/7904379/items/SQ973QEE"],"itemData":{"id":474,"type":"report","event-place":"Cambridge","note":"DOI: 10.1017/CBO9781107415324","publisher":"Cambridge University Press","publisher-place":"Cambridge","source":"DOI.org (Crossref)","title":"Climate Change 2013 - The Physical Science Basis: Working Group I Contribution to the Fifth Assessment Report of the Intergovernmental Panel on Climate Change","title-short":"Climate Change 2013 - The Physical Science Basis","URL":"http://ebooks.cambridge.org/ref/id/CBO9781107415324","author":[{"family":"IPCC","given":"Intergovernmental Panel on Climate Change"}],"accessed":{"date-parts":[["2021",4,28]]},"issued":{"date-parts":[["2014"]]}}}],"schema":"https://github.com/citation-style-language/schema/raw/master/csl-citation.json"} </w:instrText>
      </w:r>
      <w:r w:rsidRPr="00C3492A">
        <w:fldChar w:fldCharType="separate"/>
      </w:r>
      <w:r w:rsidR="00A44B66" w:rsidRPr="00A44B66">
        <w:t>(IPCC, 2014)</w:t>
      </w:r>
      <w:r w:rsidRPr="00C3492A">
        <w:fldChar w:fldCharType="end"/>
      </w:r>
      <w:r w:rsidRPr="00C3492A">
        <w:t xml:space="preserve">, the numerical representation of the ABL clouds is an open problem in cloud modeling. This points out a need </w:t>
      </w:r>
      <w:bookmarkStart w:id="1" w:name="_Hlk69850334"/>
      <w:r w:rsidR="00F677EB">
        <w:t>for</w:t>
      </w:r>
      <w:r w:rsidR="00F677EB" w:rsidRPr="00C3492A">
        <w:t xml:space="preserve"> </w:t>
      </w:r>
      <w:r w:rsidRPr="00C3492A">
        <w:t>the numerical study of ABL clouds development.</w:t>
      </w:r>
    </w:p>
    <w:p w14:paraId="39AF23A9" w14:textId="5FADC129" w:rsidR="00C3492A" w:rsidRPr="00EC3304" w:rsidRDefault="00C3492A" w:rsidP="00C515DE">
      <w:pPr>
        <w:pStyle w:val="Text"/>
        <w:ind w:firstLine="540"/>
        <w:rPr>
          <w:bCs/>
          <w:lang w:val="fr-FR"/>
        </w:rPr>
      </w:pPr>
      <w:r w:rsidRPr="00C3492A">
        <w:t>The broad classes of mesoscale phenomena influencing the ABL processes of C</w:t>
      </w:r>
      <w:r w:rsidR="003625BA">
        <w:rPr>
          <w:rFonts w:eastAsia="SimSun" w:hint="eastAsia"/>
          <w:lang w:eastAsia="zh-CN"/>
        </w:rPr>
        <w:t>C</w:t>
      </w:r>
      <w:r w:rsidRPr="00C3492A">
        <w:t xml:space="preserve"> development are the internally and externally forced</w:t>
      </w:r>
      <m:oMath>
        <m:r>
          <w:rPr>
            <w:rFonts w:ascii="Cambria Math" w:hAnsi="Cambria Math"/>
          </w:rPr>
          <m:t>-</m:t>
        </m:r>
      </m:oMath>
      <w:r w:rsidRPr="00C3492A">
        <w:t xml:space="preserve">mesoscale processes. The former class derives structure and circulation within the atmosphere. The latter class results from the </w:t>
      </w:r>
      <w:bookmarkStart w:id="2" w:name="_Hlk78963931"/>
      <w:r w:rsidRPr="00C3492A">
        <w:t xml:space="preserve">earth's </w:t>
      </w:r>
      <w:r w:rsidRPr="00C3492A">
        <w:lastRenderedPageBreak/>
        <w:t>surface</w:t>
      </w:r>
      <m:oMath>
        <m:r>
          <w:rPr>
            <w:rFonts w:ascii="Cambria Math" w:hAnsi="Cambria Math"/>
          </w:rPr>
          <m:t>-</m:t>
        </m:r>
      </m:oMath>
      <w:r w:rsidRPr="00C3492A">
        <w:t>atmosphere interaction</w:t>
      </w:r>
      <w:bookmarkEnd w:id="2"/>
      <w:r w:rsidRPr="00C3492A">
        <w:t>, including either thermal forcing due to the differential heating of the coupled earth’s surface</w:t>
      </w:r>
      <m:oMath>
        <m:r>
          <w:rPr>
            <w:rFonts w:ascii="Cambria Math" w:hAnsi="Cambria Math"/>
          </w:rPr>
          <m:t>-</m:t>
        </m:r>
      </m:oMath>
      <w:r w:rsidRPr="00C3492A">
        <w:t xml:space="preserve">atmosphere, or mechanical forcing due to the atmospheric response to the irregular topography </w:t>
      </w:r>
      <w:r w:rsidRPr="00C3492A">
        <w:fldChar w:fldCharType="begin"/>
      </w:r>
      <w:r w:rsidR="00A44B66">
        <w:instrText xml:space="preserve"> ADDIN ZOTERO_ITEM CSL_CITATION {"citationID":"av7beucsf6","properties":{"formattedCitation":"(Arya, 2001; T. Wang et al., 2002; Wu et al., 2007)","plainCitation":"(Arya, 2001; T. Wang et al., 2002; Wu et al., 2007)","noteIndex":0},"citationItems":[{"id":678,"uris":["http://zotero.org/users/7904379/items/YIJ6TKTF"],"itemData":{"id":678,"type":"chapter","abstract":"This chapter is an introduction to the book of micrometeorology. Micrometeorology is a branch of meteorology that deals with the atmospheric phenomena and processes at the lower end of the spectrum of atmospheric scales, which are variously characterized as microscale, small-scale, or local-scale processes. The scope of micrometeorology is further limited to only those phenomena that originate in and are dominated by the shallow layer of frictional influence adjoining the earth's surface, commonly known as the atmospheric boundary layer (ABL) or the planetary boundary layer (PBL). In particular, micrometeorology deals with the exchanges of heat (energy), mass, and momentum occurring continuously between the atmosphere and the earth's surface, including the subsurface medium. Vertical distributions of meteorological variables such as wind, temperature, and humidity, as well as trace gas concentrations and their role in the energy balance near the surface, also come under the scope of micrometeorology. In addition to the short-term averaged values of meteorological variables, random fluctuations of the same in time and space around their respective average values are of considerable interest.","collection-title":"Introduction to Micrometeorology","container-title":"International Geophysics","language":"en","note":"DOI: 10.1016/S0074-6142(01)80017-6","page":"1-10","publisher":"Academic Press","source":"ScienceDirect","title":"Chapter 1 Introduction","URL":"https://www.sciencedirect.com/science/article/pii/S0074614201800176","volume":"79","editor":[{"family":"Arya","given":"S. Pal"}],"accessed":{"date-parts":[["2021",6,28]]},"issued":{"date-parts":[["2001",1,1]]}}},{"id":480,"uris":["http://zotero.org/users/7904379/items/RUV83VAX"],"itemData":{"id":480,"type":"article-journal","abstract":"On the basis of the existing theories such as permafrost, thermodynamics and fluid mechanics, as well as the climate features on the Qinghai-Tibet Plateau and the data collected from both laboratory and the on-the-spot test, this paper puts forward a set of analytical methods and a numerical module for ground thermal regime with consideration of engineering surface features and various natural elements such as wind speed, radiation, evaporation. This paper also probes into the defining method for physical thermal parameter of the silty clay and gravelly sand soil, which widely pervades on the Qinghai-Tibet Plateau. The numerical analysis indicates that the ground thermal regime is a comprehensive reflection of various external elements. It is suggested that the variation of external elements should be fully taken into consideration in engineering design. Furthermore, the analysis of the frozen soil subgrade indicates that the transverse thermal difference in subgrade, which affects the subgrade stability, is caused by transverse difference in external elements along the subgrade surface.","container-title":"Science in China Series E: Technolgical Science","DOI":"10.1360/02ye9050","ISSN":"1862-281X","issue":"4","journalAbbreviation":"Sci. China Ser. E-Technol. Sci.","language":"en","page":"433-443","source":"Springer Link","title":"Numerical analysis of ground temperature in Qinghai-Tibet Plateau","URL":"https://doi.org/10.1360/02ye9050","volume":"45","author":[{"family":"Wang","given":"Tiehang"},{"family":"Hu","given":"Changshun"},{"family":"Li","given":"Ning"},{"family":"Hou","given":"Zhongjie"}],"accessed":{"date-parts":[["2021",4,29]]},"issued":{"date-parts":[["2002",8,1]]}}},{"id":802,"uris":["http://zotero.org/users/7904379/items/UG8P3PXG"],"itemData":{"id":802,"type":"article-journal","abstract":"&lt;section class=\"abstract\"&gt;&lt;h2 class=\"abstractTitle text-title my-1\" id=\"d8486090e133\"&gt;Abstract&lt;/h2&gt;&lt;p&gt;This paper attempts to provide some new understanding of the mechanical as well as thermal effects of the Tibetan Plateau (TP) on the circulation and climate in Asia through diagnosis and numerical experiments. The air column over the TP descends in winter and ascends in summer and regulates the surface Asian monsoon flow. Sensible heating on the sloping lateral surfaces appears from the authors’ experiments to be the major driving source. The retarding and deflecting effects of the TP in winter generate an asymmetric dipole zonal-deviation circulation, with a large anticyclone gyre to the north and a cyclonic gyre to the south. Such a dipole deviation circulation enhances the cold outbreaks from the north over East Asia, results in a dry climate in south Asia and a moist climate over the Indochina peninsula and south China, and forms the persistent rainfall in early spring (PRES) in south China. In summer the TP heating generates a cyclonic spiral zonal-deviation circulation in the lower troposphere, which converges toward and rises over the TP. It is shown that because the TP is located east of the Eurasian continent, in summertime the meridional winds and vertical motions forced by the Eurasian continental-scale heating and the TP local heating are in phase over the eastern and central parts of the continent. The monsoon in East Asia and the dry climate in middle Asia are therefore intensified.&lt;/p&gt;&lt;/section&gt;","container-title":"Journal of Hydrometeorology","DOI":"10.1175/JHM609.1","ISSN":"1525-7541, 1525-755X","issue":"4","language":"EN","note":"publisher: American Meteorological Society\nsection: Journal of Hydrometeorology","page":"770-789","source":"journals.ametsoc.org","title":"The Influence of Mechanical and Thermal Forcing by the Tibetan Plateau on Asian Climate","URL":"https://journals.ametsoc.org/view/journals/hydr/8/4/jhm609_1.xml","volume":"8","author":[{"family":"Wu","given":"Guoxiong"},{"family":"Liu","given":"Yimin"},{"family":"Zhang","given":"Qiong"},{"family":"Duan","given":"Anmin"},{"family":"Wang","given":"Tongmei"},{"family":"Wan","given":"Rijin"},{"family":"Liu","given":"Xin"},{"family":"Li","given":"Weiping"},{"family":"Wang","given":"Zaizhi"},{"family":"Liang","given":"Xiaoyun"}],"accessed":{"date-parts":[["2021",7,18]]},"issued":{"date-parts":[["2007",8,1]]}}}],"schema":"https://github.com/citation-style-language/schema/raw/master/csl-citation.json"} </w:instrText>
      </w:r>
      <w:r w:rsidRPr="00C3492A">
        <w:fldChar w:fldCharType="separate"/>
      </w:r>
      <w:r w:rsidR="00EC3304" w:rsidRPr="00EC3304">
        <w:t>(Arya, 2001; T. Wang et al., 2002; Wu et al., 2007)</w:t>
      </w:r>
      <w:r w:rsidRPr="00C3492A">
        <w:fldChar w:fldCharType="end"/>
      </w:r>
      <w:r w:rsidRPr="003F64C8">
        <w:t xml:space="preserve">.  </w:t>
      </w:r>
      <w:r w:rsidR="00F677EB">
        <w:t xml:space="preserve"> E</w:t>
      </w:r>
      <w:r w:rsidRPr="00C3492A">
        <w:t>ach area of TP, including STP, has particular ABL processes of C</w:t>
      </w:r>
      <w:r w:rsidR="003625BA">
        <w:rPr>
          <w:rFonts w:eastAsia="SimSun" w:hint="eastAsia"/>
          <w:lang w:eastAsia="zh-CN"/>
        </w:rPr>
        <w:t>C</w:t>
      </w:r>
      <w:r w:rsidRPr="00C3492A">
        <w:t xml:space="preserve"> development, interacting with large</w:t>
      </w:r>
      <m:oMath>
        <m:r>
          <w:rPr>
            <w:rFonts w:ascii="Cambria Math" w:hAnsi="Cambria Math"/>
          </w:rPr>
          <m:t>-</m:t>
        </m:r>
      </m:oMath>
      <w:r w:rsidRPr="00C3492A">
        <w:t>scale forcing</w:t>
      </w:r>
      <w:bookmarkEnd w:id="1"/>
      <w:r w:rsidRPr="00C3492A">
        <w:t xml:space="preserve">. </w:t>
      </w:r>
      <w:bookmarkStart w:id="3" w:name="_Hlk69958888"/>
      <w:r w:rsidRPr="00C3492A">
        <w:t xml:space="preserve">The diurnal surface heating over TP in summer reflects </w:t>
      </w:r>
      <w:r w:rsidR="00252E15">
        <w:t xml:space="preserve">an </w:t>
      </w:r>
      <w:r w:rsidRPr="00C3492A">
        <w:t>external forcing element, which interact</w:t>
      </w:r>
      <w:r w:rsidR="00252E15">
        <w:t>s</w:t>
      </w:r>
      <w:r w:rsidRPr="00C3492A">
        <w:t xml:space="preserve"> with a large</w:t>
      </w:r>
      <m:oMath>
        <m:r>
          <w:rPr>
            <w:rFonts w:ascii="Cambria Math" w:hAnsi="Cambria Math"/>
          </w:rPr>
          <m:t>-</m:t>
        </m:r>
      </m:oMath>
      <w:r w:rsidRPr="00C3492A">
        <w:t xml:space="preserve">scale forcing, and mesoscale moisture transport then influences the ABL process of cumulus development. There is fifty years back, </w:t>
      </w:r>
      <w:r w:rsidRPr="00C3492A">
        <w:fldChar w:fldCharType="begin"/>
      </w:r>
      <w:r w:rsidR="00A44B66">
        <w:instrText xml:space="preserve"> ADDIN ZOTERO_ITEM CSL_CITATION {"citationID":"a2k0tnk7uao","properties":{"formattedCitation":"(Flohn, 1968)","plainCitation":"(Flohn, 1968)","noteIndex":0},"citationItems":[{"id":907,"uris":["http://zotero.org/users/7904379/items/QYXG3DYZ"],"itemData":{"id":907,"type":"thesis","abstract":"There is a complex interaction between the formation of the high tropospheric Tibetan anticyclone and the development of the Indian Monsoon.","event-place":"U.S.A.","language":"en","number-of-pages":"1 online resource (vi, 120 pages) : illustrations, maps","publisher":"Fort Collins, Colo. : Department of Atmospheric Science, Colorado State University, 1968.","publisher-place":"U.S.A.","source":"fmpl.catalog.aspencat.info","title":"Contributions to a meteorology of the Tibetan highlands","URL":"https://fmpl.catalog.aspencat.info/ColoGovDoc/ocn719384850","author":[{"family":"Flohn","given":"Hermann"}],"accessed":{"date-parts":[["2021",8,31]]},"issued":{"date-parts":[["1968"]]}}}],"schema":"https://github.com/citation-style-language/schema/raw/master/csl-citation.json"} </w:instrText>
      </w:r>
      <w:r w:rsidRPr="00C3492A">
        <w:fldChar w:fldCharType="separate"/>
      </w:r>
      <w:r w:rsidR="00A44B66" w:rsidRPr="00A44B66">
        <w:t>(Flohn, 1968)</w:t>
      </w:r>
      <w:r w:rsidRPr="00C3492A">
        <w:fldChar w:fldCharType="end"/>
      </w:r>
      <w:r w:rsidRPr="00C3492A">
        <w:t xml:space="preserve"> highlighted that during the summer the TP act as a heat engine with an enormous convective chimney in the southeastern sector where giant cumulonimbus cells play a major role in continuously carrying heat upward into the high troposphere. </w:t>
      </w:r>
      <w:r w:rsidRPr="00C3492A">
        <w:rPr>
          <w:bCs/>
        </w:rPr>
        <w:fldChar w:fldCharType="begin"/>
      </w:r>
      <w:r w:rsidR="00EC3304">
        <w:rPr>
          <w:bCs/>
        </w:rPr>
        <w:instrText xml:space="preserve"> ADDIN ZOTERO_ITEM CSL_CITATION {"citationID":"a1bnj1iioc2","properties":{"formattedCitation":"(L. Li et al., 2010)","plainCitation":"(L. Li et al., 2010)","dontUpdate":true,"noteIndex":0},"citationItems":[{"id":261,"uris":["http://zotero.org/users/7904379/items/NLUZEYZN"],"itemData":{"id":261,"type":"article-journal","abstract":"In this study, we apply temperature, precipitation, and other data from 66 Chinese meteorological stations including Xining and Lhasa to analyze the extreme climate events and their impacting factors over the Qinghai-Tibet Plateau during the period 1961–2007. We focus on the spatial and temporal features of extreme climate events and their long-term changes over five climate zones of alpine grassland, meadow, and desert areas.Results show that, during the past decades, the changes in climate over the Qinghai-Tibet Plateau present trends towards warm and wet conditions. These changes in temperature and precipitation are evident in both seasonal means and extreme events, and the changes in precipitation are apparent in both precipitation amount and number of precipitation days. Clearly, warm and wet events increase, but cold and dry events decrease over the plateau region. Features of the warming climate are relatively consistent in spatial and seasonal distributions, with the most significant changes in winter and autumn and at nighttime. Northern Qinghai exhibits the greatest and most significant decrease in the frequency of extremely low-temperature events. However, the wetting trend shows more distinctive spatial features and is more seasonally dependent. While the trends in both precipitation amount and the number of precipitation days are positive in all climate zones for winter and spring, both positive and insignificant negative trends appear in summer and autumn. The largest decrease in the frequency of severely dry events is found over southeastern Tibet and western Sichuan.","container-title":"Arctic, Antarctic, and Alpine Research","DOI":"10.1657/1938-4246-42.4.449","ISSN":"1523-0430","issue":"4","note":"publisher: Taylor &amp; Francis\n_eprint: https://doi.org/10.1657/1938-4246-42.4.449","page":"449-457","source":"Taylor and Francis+NEJM","title":"Evidence of Warming and Wetting Climate over the Qinghai-Tibet Plateau","URL":"https://doi.org/10.1657/1938-4246-42.4.449","volume":"42","author":[{"family":"Li","given":"Lin"},{"family":"Yang","given":"Song"},{"family":"Wang","given":"Zhenyu"},{"family":"Zhu","given":"Xide"},{"family":"Tang","given":"Hongyu"}],"accessed":{"date-parts":[["2021",4,12]]},"issued":{"date-parts":[["2010",11,1]]}}}],"schema":"https://github.com/citation-style-language/schema/raw/master/csl-citation.json"} </w:instrText>
      </w:r>
      <w:r w:rsidRPr="00C3492A">
        <w:rPr>
          <w:bCs/>
        </w:rPr>
        <w:fldChar w:fldCharType="separate"/>
      </w:r>
      <w:r w:rsidR="00A44B66" w:rsidRPr="00A44B66">
        <w:t xml:space="preserve">Li et al., </w:t>
      </w:r>
      <w:r w:rsidR="004C506E">
        <w:t>(</w:t>
      </w:r>
      <w:r w:rsidR="00A44B66" w:rsidRPr="00A44B66">
        <w:t>2010)</w:t>
      </w:r>
      <w:r w:rsidRPr="00C3492A">
        <w:fldChar w:fldCharType="end"/>
      </w:r>
      <w:r w:rsidRPr="00C3492A">
        <w:rPr>
          <w:bCs/>
        </w:rPr>
        <w:t xml:space="preserve"> and </w:t>
      </w:r>
      <w:r w:rsidRPr="00C3492A">
        <w:rPr>
          <w:bCs/>
        </w:rPr>
        <w:fldChar w:fldCharType="begin"/>
      </w:r>
      <w:r w:rsidR="00EC3304">
        <w:rPr>
          <w:bCs/>
        </w:rPr>
        <w:instrText xml:space="preserve"> ADDIN ZOTERO_ITEM CSL_CITATION {"citationID":"a13prq9nknl","properties":{"formattedCitation":"(Ding et al., 2018)","plainCitation":"(Ding et al., 2018)","dontUpdate":true,"noteIndex":0},"citationItems":[{"id":267,"uris":["http://zotero.org/users/7904379/items/9MSPHBYI"],"itemData":{"id":267,"type":"article-journal","abstract":"In this study, the spatiotemporal distributions of monthly and annual temperature minima (Tmin) and maxima (Tmax), extreme Tmin and Tmax, the highest (lowest) Tmin (Tmax), frost day (FD), icing day (ID), summer day (SD) and tropical night (TR) at 112 stations and over the ten large river basins on the Tibetan Plateau and its surroundings (TPS) during 1963–2015 are examined. Mann-Kendall test is applied for the trends. The analyses show: the northwest experiences the hottest summer while the central TPS has the coldest winter and most frequent frost and icing days. The northwest (southeast) features the highest (lowest) monthly extreme temperature ranges. The northwest has the most frequent hot summer days, whereas the southeast has the least frequent frost and icing days. The entire TPS displays few tropical nights. Most stations show positive trends for all monthly and annual Tmin and Tmax variables. February displays the most positive trends for both monthly Tmin and Tmax variables while April shows the highest number of stations with decreasing trends in monthly Tmax. The trends of FD and ID are negative, whereas the trends of SU and TR are positive. Over river basins, the trends of monthly Tmin are all positive and statistically significant and the trends of monthly Tmax are all positive except for one negative trend and around 1/3 of the positive trends are statistically significant. Relatively larger increases in monthly Tmin and Tmax are noted for the cold season than the warm. The monthly and annual Tmin variables increase more than Tmax variables.","container-title":"Scientific Reports","DOI":"10.1038/s41598-018-30320-0","ISSN":"2045-2322","issue":"1","language":"en","note":"number: 1\npublisher: Nature Publishing Group","page":"11860","source":"www.nature.com","title":"Monthly and annual temperature extremes and their changes on the Tibetan Plateau and its surroundings during 1963–2015","URL":"https://www.nature.com/articles/s41598-018-30320-0","volume":"8","author":[{"family":"Ding","given":"Jin"},{"family":"Cuo","given":"Lan"},{"family":"Zhang","given":"Yongxin"},{"family":"Zhu","given":"Fuxin"}],"accessed":{"date-parts":[["2021",4,12]]},"issued":{"date-parts":[["2018",8,8]]}}}],"schema":"https://github.com/citation-style-language/schema/raw/master/csl-citation.json"} </w:instrText>
      </w:r>
      <w:r w:rsidRPr="00C3492A">
        <w:rPr>
          <w:bCs/>
        </w:rPr>
        <w:fldChar w:fldCharType="separate"/>
      </w:r>
      <w:r w:rsidR="00A44B66" w:rsidRPr="00A44B66">
        <w:t xml:space="preserve">Ding et al., </w:t>
      </w:r>
      <w:r w:rsidR="004C506E">
        <w:t>(</w:t>
      </w:r>
      <w:r w:rsidR="00A44B66" w:rsidRPr="00A44B66">
        <w:t>2018)</w:t>
      </w:r>
      <w:r w:rsidRPr="00C3492A">
        <w:fldChar w:fldCharType="end"/>
      </w:r>
      <w:r w:rsidRPr="00C3492A">
        <w:rPr>
          <w:bCs/>
        </w:rPr>
        <w:t xml:space="preserve"> revealed that warm and wet events have notably increased over the region</w:t>
      </w:r>
      <w:r w:rsidR="00215497">
        <w:rPr>
          <w:bCs/>
        </w:rPr>
        <w:t xml:space="preserve"> and</w:t>
      </w:r>
      <w:r w:rsidRPr="00C3492A">
        <w:rPr>
          <w:bCs/>
        </w:rPr>
        <w:t xml:space="preserve"> </w:t>
      </w:r>
      <w:bookmarkStart w:id="4" w:name="_Hlk70921368"/>
      <w:r w:rsidRPr="00C3492A">
        <w:rPr>
          <w:bCs/>
        </w:rPr>
        <w:t xml:space="preserve">altered hydrological processes </w:t>
      </w:r>
      <w:bookmarkEnd w:id="4"/>
      <w:r w:rsidRPr="00C3492A">
        <w:rPr>
          <w:bCs/>
        </w:rPr>
        <w:fldChar w:fldCharType="begin"/>
      </w:r>
      <w:r w:rsidR="00A44B66">
        <w:rPr>
          <w:bCs/>
        </w:rPr>
        <w:instrText xml:space="preserve"> ADDIN ZOTERO_ITEM CSL_CITATION {"citationID":"a1aaqr1eanq","properties":{"formattedCitation":"(X. Liu et al., 2006; J. Wang et al., 2020)","plainCitation":"(X. Liu et al., 2006; J. Wang et al., 2020)","noteIndex":0},"citationItems":[{"id":264,"uris":["http://zotero.org/users/7904379/items/Z9SX885K"],"itemData":{"id":264,"type":"article-journal","abstract":"Daily and monthly maximum and minimum surface air temperatures at 66 weather stations over the eastern and central Tibetan Plateau with elevations above 2000 m were analyzed for temporal trends and spatial variation patterns during the period 1961–2003. Statistically significant warming trends were identified in various measures of the temperature regime, such as temperatures of extreme events and diurnal temperature range. The warming trends in winter nighttime temperatures were among the highest when compared with other regions. We also confirmed the asymmetric pattern of greater warming trends in minimum or nighttime temperatures as compared to the daytime temperatures. The warming in regional climate caused the number of frost days to decrease significantly and the number of warm days to increase. The length of the growing season increased by approximately 17 days during the 43-year study period. Most of the record-setting months for cold events were found in the earlier part of the study period, while that of the warm events occurred mostly in the later half, especially since the 1990s. The changes in the temperature regime in this region may have brought regional-specific impacts on the ecosystems. It was found that grain production in Qinghai Province, located in the area of prominent warming trends, exhibited strong correlations with the temperatures, although such relationships were obscured by the influence of precipitation in this arid/semiarid environment in juniper tree ring records. In western Sichuan Province under a more humid environment, the tree growth (spruces) was more closely related to the changing temperatures.","container-title":"Journal of Geophysical Research: Atmospheres","DOI":"https://doi.org/10.1029/2005JD006915","ISSN":"2156-2202","issue":"D19","language":"en","note":"_eprint: https://agupubs.onlinelibrary.wiley.com/doi/pdf/10.1029/2005JD006915","source":"Wiley Online Library","title":"Temporal trends and variability of daily maximum and minimum, extreme temperature events, and growing season length over the eastern and central Tibetan Plateau during 1961–2003","URL":"https://agupubs.onlinelibrary.wiley.com/doi/abs/10.1029/2005JD006915","volume":"111","author":[{"family":"Liu","given":"Xiaodong"},{"family":"Yin","given":"Zhi-Yong"},{"family":"Shao","given":"Xuemei"},{"family":"Qin","given":"Ningsheng"}],"accessed":{"date-parts":[["2021",4,12]]},"issued":{"date-parts":[["2006"]]}}},{"id":920,"uris":["http://zotero.org/users/7904379/items/G4CI2SLD"],"itemData":{"id":920,"type":"article-journal","abstract":"Water storage in the Tibetan Plateau (TP) is extremely sensitive to climate change. Observations in TP have revealed warming and moistening trends before 2004 and weakening of those trends after 2004. These changes in the course of climate warming altered hydrological components in TP from the early years of 1992–2003 to the recent decade of 2004–2015, resulting in strong changes of the terrestrial water storage (TWS) in TP. In this study, hydrological and climatic data that determine the budget of TWS in TP were compiled from multiple data sources for 1992–2015. An empirical formula was developed by correlation analysis of TWS from these data with TWS derived from GRACE data for 2003–2015 in TP. The estimated TWS by the formula highly agrees with GRACE data in describing TWS variations across TP, even though it underestimates the absolute value of annual TWS in north TP. The formula was used to estimate TWS variations in 1992–2003, which were compared to those in 2004–2015. Major results show that (1) in the warm and wet region of south TP, the recently reduced rate of climate warming and moistening reversed the trend of annual TWS from increase in 1992–2003 to significant decrease in 2004–2015. This change is largely caused by decreases of soil water and groundwater storage and increased runoff. (2) In the cold and dry region of north TP, the increase of TWS in 1992–2003 accelerated in 2004–2015 because of increases of soil moisture and lake storage. (3) The difference of TWS change in the north and south TP altered the multi-year balance of water storage over the entire TP. Decreasing TWS from 2004 to 2015 lowered multi-year mean TWS in south TP, while increasing TWS in north TP raised its multi-year mean TWS. The reduction of TWS in south TP, with decrease of streamflow and groundwater storage, could threaten the sustainability of surface and subsurface water resources for this critical source region of Asia’s large rivers. The accumulation of TWS following the rise of surface water in north TP could increase spilling of lakes and thus risks of floods and debris flows.","container-title":"Journal of Hydrology","DOI":"10.1016/j.jhydrol.2020.124652","journalAbbreviation":"Journal of Hydrology","page":"124652","title":"Responses of Terrestrial Water Storage to Climate Variation in the Tibetan Plateau","volume":"584","author":[{"family":"Wang","given":"Jiarong"},{"family":"Chen","given":"Xi"},{"family":"Hu","given":"Qi"},{"family":"Liu","given":"Jintao"}],"issued":{"date-parts":[["2020",2,1]]}}}],"schema":"https://github.com/citation-style-language/schema/raw/master/csl-citation.json"} </w:instrText>
      </w:r>
      <w:r w:rsidRPr="00C3492A">
        <w:rPr>
          <w:bCs/>
        </w:rPr>
        <w:fldChar w:fldCharType="separate"/>
      </w:r>
      <w:r w:rsidR="00EC3304" w:rsidRPr="00EC3304">
        <w:t>(X. Liu et al., 2006; J. Wang et al., 2020)</w:t>
      </w:r>
      <w:r w:rsidRPr="00C3492A">
        <w:fldChar w:fldCharType="end"/>
      </w:r>
      <w:r w:rsidRPr="00020F70">
        <w:rPr>
          <w:bCs/>
        </w:rPr>
        <w:t xml:space="preserve">. </w:t>
      </w:r>
      <w:r w:rsidRPr="00C3492A">
        <w:t xml:space="preserve">As a result, various weather conditions influence billions of people living in the SEA region, particularly in the downstream sector </w:t>
      </w:r>
      <w:r w:rsidRPr="00C3492A">
        <w:fldChar w:fldCharType="begin"/>
      </w:r>
      <w:r w:rsidR="00A44B66">
        <w:instrText xml:space="preserve"> ADDIN ZOTERO_ITEM CSL_CITATION {"citationID":"a2plir9e46d","properties":{"formattedCitation":"(Lei et al., 2021; T. Wang et al., 2002; K. Yang et al., 2004)","plainCitation":"(Lei et al., 2021; T. Wang et al., 2002; K. Yang et al., 2004)","noteIndex":0},"citationItems":[{"id":480,"uris":["http://zotero.org/users/7904379/items/RUV83VAX"],"itemData":{"id":480,"type":"article-journal","abstract":"On the basis of the existing theories such as permafrost, thermodynamics and fluid mechanics, as well as the climate features on the Qinghai-Tibet Plateau and the data collected from both laboratory and the on-the-spot test, this paper puts forward a set of analytical methods and a numerical module for ground thermal regime with consideration of engineering surface features and various natural elements such as wind speed, radiation, evaporation. This paper also probes into the defining method for physical thermal parameter of the silty clay and gravelly sand soil, which widely pervades on the Qinghai-Tibet Plateau. The numerical analysis indicates that the ground thermal regime is a comprehensive reflection of various external elements. It is suggested that the variation of external elements should be fully taken into consideration in engineering design. Furthermore, the analysis of the frozen soil subgrade indicates that the transverse thermal difference in subgrade, which affects the subgrade stability, is caused by transverse difference in external elements along the subgrade surface.","container-title":"Science in China Series E: Technolgical Science","DOI":"10.1360/02ye9050","ISSN":"1862-281X","issue":"4","journalAbbreviation":"Sci. China Ser. E-Technol. Sci.","language":"en","page":"433-443","source":"Springer Link","title":"Numerical analysis of ground temperature in Qinghai-Tibet Plateau","URL":"https://doi.org/10.1360/02ye9050","volume":"45","author":[{"family":"Wang","given":"Tiehang"},{"family":"Hu","given":"Changshun"},{"family":"Li","given":"Ning"},{"family":"Hou","given":"Zhongjie"}],"accessed":{"date-parts":[["2021",4,29]]},"issued":{"date-parts":[["2002",8,1]]}}},{"id":78,"uris":["http://zotero.org/users/7904379/items/I2XCD69C"],"itemData":{"id":78,"type":"article-journal","container-title":"Journal of the Meteorological Society of Japan","DOI":"10.2151/jmsj.82.1777","ISSN":"0026-1165","issue":"6","journalAbbreviation":"JMSJ","language":"en","page":"1777-1792","source":"DOI.org (Crossref)","title":"The Daytime Evolution of the Atmospheric Boundary Layer and Convection over the Tibetan Plateau: Observations and Simulations","title-short":"The Daytime Evolution of the Atmospheric Boundary Layer and Convection over the Tibetan Plateau","URL":"http://joi.jlc.jst.go.jp/JST.JSTAGE/jmsj/82.1777?from=CrossRef","volume":"82","author":[{"family":"Yang","given":"Kun"},{"family":"Koike","given":"Toshio"},{"family":"Fujii","given":"Hideyuki"},{"family":"Tamura","given":"Toru"},{"family":"Xu","given":"Xiangde"},{"family":"Bian","given":"Lingen"},{"family":"Zhou","given":"Mingyu"}],"accessed":{"date-parts":[["2021",3,25]]},"issued":{"date-parts":[["2004"]]}}},{"id":916,"uris":["http://zotero.org/users/7904379/items/95FVYDR2"],"itemData":{"id":916,"type":"article-journal","abstract":"&lt;section class=\"abstract\"&gt;&lt;h2 class=\"abstractTitle text-title my-1\" id=\"d73520151e122\"&gt;Abstract&lt;/h2&gt;&lt;p&gt;In this study, the net water flux (precipitation minus evaporation) over the Tibetan Plateau (TP) and its 12 drainage basins is estimated using ERA5. The terrestrial branch of the water cycle is investigated using the total water storage anomalies (TWSAs) derived from GRACE (Gravity Recovery and Climate Experiment) data and daily streamflow records collected in Zhimenda and Tangnaihai (two hydrological stations located in the upper Yangtze River Basin and upper Yellow River Basin). This work provides a preliminary assessment of discrepancies between model-derived and space-based observations in the atmospheric–terrestrial water cycle over the TP and its drainage basins. The results show that the net water fluxes occurring over the TP and the scale of its drainage basins are closely tied to local dynamics and physical processes and to large-scale circulation and atmospheric water vapor. ERA5 maintains the atmospheric water balance over the TP. ERA5-derived net water flux anomalies constitute a major component of the water cycle and correspond to GRACE-derived TWSAs. The water bu</w:instrText>
      </w:r>
      <w:r w:rsidR="00A44B66" w:rsidRPr="00EC3304">
        <w:rPr>
          <w:lang w:val="fr-FR"/>
        </w:rPr>
        <w:instrText xml:space="preserve">dget–based approach with the ERA5 and ITSG-Grace2018 datasets constrains the atmospheric–terrestrial water cycle over the TP and its drainage basins. Both the ERA5- and GRACE-derived estimates contain consistent long- and short-term variations over the TP. Discrepancies are evident at the drainage basin, while the ratio of signal to noise in both the ERA5 and GRACE datasets might cause discrepancies between estimates over relatively small or arid basins. Nevertheless, the observed good correspondence between ERA5- and GRACE-derived atmospheric–terrestrial water cycles over the TP highlights the potential value of the rational application of water resource information.&lt;/p&gt;&lt;/section&gt;","container-title":"Journal of Climate","DOI":"10.1175/JCLI-D-20-0692.1","ISSN":"0894-8755, 1520-0442","issue":"15","language":"EN","note":"publisher: American Meteorological Society\nsection: Journal of Climate","page":"6459-6471","source":"journals.ametsoc.org","title":"Tracking the Atmospheric–Terrestrial Water Cycle over the Tibetan Plateau Based on ERA5 and GRACE","URL":"https://journals.ametsoc.org/view/journals/clim/aop/JCLI-D-20-0692.1/JCLI-D-20-0692.1.xml","volume":"34","author":[{"family":"Lei","given":"Yonghui"},{"family":"Shi","given":"Jiancheng"},{"family":"Xiong","given":"Chuan"},{"family":"Ji","given":"Dabin"}],"accessed":{"date-parts":[["2021",9,2]]},"issued":{"date-parts":[["2021",8,1]]}}}],"schema":"https://github.com/citation-style-language/schema/raw/master/csl-citation.json"} </w:instrText>
      </w:r>
      <w:r w:rsidRPr="00C3492A">
        <w:fldChar w:fldCharType="separate"/>
      </w:r>
      <w:r w:rsidR="00EC3304" w:rsidRPr="00EC3304">
        <w:rPr>
          <w:lang w:val="fr-FR"/>
        </w:rPr>
        <w:t>(Lei et al., 2021; T. Wang et al., 2002; K. Yang et al., 2004)</w:t>
      </w:r>
      <w:r w:rsidRPr="00C3492A">
        <w:fldChar w:fldCharType="end"/>
      </w:r>
      <w:r w:rsidRPr="00EC3304">
        <w:rPr>
          <w:lang w:val="fr-FR"/>
        </w:rPr>
        <w:t>.</w:t>
      </w:r>
    </w:p>
    <w:p w14:paraId="0EF7DE3E" w14:textId="0FC3835F" w:rsidR="00C3492A" w:rsidRPr="00C3492A" w:rsidRDefault="00C3492A" w:rsidP="00375201">
      <w:pPr>
        <w:pStyle w:val="Text"/>
        <w:ind w:firstLine="540"/>
      </w:pPr>
      <w:r w:rsidRPr="00C3492A">
        <w:t xml:space="preserve">The effect of the diurnal temperature variation on TP </w:t>
      </w:r>
      <w:r w:rsidR="00A02747">
        <w:rPr>
          <w:rFonts w:eastAsia="SimSun" w:hint="eastAsia"/>
          <w:lang w:eastAsia="zh-CN"/>
        </w:rPr>
        <w:t>has been</w:t>
      </w:r>
      <w:r w:rsidRPr="00C3492A">
        <w:t xml:space="preserve"> observed in the diurnal evolution of the TP’s ABL structure, the most characteristic in the world. In dry and warm land surface</w:t>
      </w:r>
      <m:oMath>
        <m:r>
          <w:rPr>
            <w:rFonts w:ascii="Cambria Math" w:hAnsi="Cambria Math"/>
          </w:rPr>
          <m:t>-</m:t>
        </m:r>
      </m:oMath>
      <w:r w:rsidRPr="00C3492A">
        <w:t>atmosphere condition</w:t>
      </w:r>
      <w:r w:rsidR="00302225">
        <w:t>s</w:t>
      </w:r>
      <w:r w:rsidRPr="00C3492A">
        <w:t xml:space="preserve">, the top of the ABL over TP could reach approximately 5 km of mean height AGL, higher than any reported ABL worldwide while </w:t>
      </w:r>
      <w:r w:rsidR="00252E15">
        <w:t xml:space="preserve">a </w:t>
      </w:r>
      <w:r w:rsidRPr="00C3492A">
        <w:t xml:space="preserve">shallow ABL top is observed only about 2 km mean of height AGL in the moist condition of the coupled system </w:t>
      </w:r>
      <w:r w:rsidRPr="00C3492A">
        <w:fldChar w:fldCharType="begin"/>
      </w:r>
      <w:r w:rsidR="00EC3304">
        <w:instrText xml:space="preserve"> ADDIN ZOTERO_ITEM CSL_CITATION {"citationID":"avm261dpsa","properties":{"formattedCitation":"(Ao et al., 2017; Chen et al., 2013, 2016; Y. Li &amp; Gao, 2007; Sato, 2009; Yanai &amp; Li, 1994; Zhao et al., 2018)","plainCitation":"(Ao et al., 2017; Chen et al., 2013, 2016; Y. Li &amp; Gao, 2007; Sato, 2009; Yanai &amp; Li, 1994; Zhao et al., 2018)","noteIndex":0},"citationItems":[{"id":298,"uris":["http://zotero.org/users/7904379/items/558PUX3B"],"itemData":{"id":298,"type":"article-journal","abstract":"&lt;section class=\"abstract\"&gt;&lt;h2 class=\"abstractTitle text-title my-1\" id=\"d4001e2\"&gt;Abstract&lt;/h2&gt;&lt;p&gt;This paper presents the background, scientific objectives, experimental design, and preliminary achievements of the Third Tibetan Plateau (TP) Atmospheric Scientific Experiment (TIPEX-III) for 8–10 years. It began in 2013 and has expanded plateau-scale observation networks by adding observation stations in data-scarce areas; executed integrated observation missions for the land surface, planetary boundary layer, cloud–precipitation, and troposphere–stratosphere exchange processes by coordinating ground-based, air-based, and satellite facilities; and achieved noticeable progress in data applications. A new estimation gives a smaller bulk transfer coefficient of surface sensible heat over the TP, which results in a reduction of the possibly overestimated heat intensity found in previous studies. Summer cloud–precipitation microphysical characteristics and cloud radiative effects over the TP are distinguished from those over the downstream plains. Warm rain processes play important roles in the development of cloud and precipitation over the TP. The lower-tropospheric ozone maximum over the northeastern TP is attributed to the regional photochemistry and long-range ozone transports, and the heterogeneous chemical processes of depleting ozone near the tropopause might not be a dominant mechanism for the summer upper-tropospheric–lower-stratospheric ozone valley over the southeastern TP. The TP thermodynamic function not only affects the local atmospheric water maintenance and the downstream precipitation and haze events but also modifies extratropical atmospheric teleconnections like the Asia–Pacific Oscillation, subtropical anticyclones over the North Pacific and Atlantic, and temperature and precipitation over Africa, Asia, and North America. These findings provide new insights into understanding land–atmosphere coupled processes over the TP and their effects, improving model parameterization schemes, and enhancing weather and climate forecast skills.&lt;/p&gt;&lt;/section&gt;","container-title":"Bulletin of the American Meteorological Society","DOI":"10.1175/BAMS-D-16-0050.1","ISSN":"0003-0007, 1520-0477","issue":"4","language":"EN","note":"publisher: American Meteorological Society\nsection: Bulletin of the American Meteorological Society","page":"757-776","source":"journals.ametsoc.org","title":"The Third Atmospheric Scientific Experiment for Understanding the Earth–Atmosphere Coupled System over the Tibetan Plateau and Its Effects","URL":"https://journals.ametsoc.org/view/journals/bams/99/4/bams-d-16-0050.1.xml","volume":"99","author":[{"family":"Zhao","given":"Ping"},{"family":"Xu","given":"Xiangde"},{"family":"Chen","given":"Fei"},{"family":"Guo","given":"Xueliang"},{"family":"Zheng","given":"Xiangdong"},{"family":"Liu","given":"Liping"},{"family":"Hong","given":"Yang"},{"family":"Li","given":"Yueqing"},{"family":"La","given":"Zuo"},{"family":"Peng","given":"Hao"},{"family":"Zhong","given":"Linzhi"},{"family":"Ma","given":"Yaoming"},{"family":"Tang","given":"Shihao"},{"family":"Liu","given":"Yimin"},{"family":"Liu","given":"Huizhi"},{"family":"Li","given":"Yaohui"},{"family":"Zhang","given":"Qiang"},{"family":"Hu","given":"Zeyong"},{"family":"Sun","given":"Jihua"},{"family":"Zhang","given":"Shengjun"},{"family":"Dong","given":"Lixin"},{"family":"Zhang","given":"Hezhen"},{"family":"Zhao","given":"Yang"},{"family":"Yan","given":"Xiaolu"},{"family":"Xiao","given":"An"},{"family":"Wan","given":"Wei"},{"family":"Liu","given":"Yu"},{"family":"Chen","given":"Junming"},{"family":"Liu","given":"Ge"},{"family":"Zhaxi","given":"Yangzong"},{"family":"Zhou","given":"Xiuji"}],"accessed":{"date-parts":[["2021",4,16]]},"issued":{"date-parts":[["2018",4,1]]}}},{"id":"j94seLCz/Z3tdESJV","uris":["http://zotero.org/users/7904379/items/59EZ8I3P"],"itemData":{"id":"f2duDddx/JTQcF0dD","type":"article-journal","container-title":"Quaternary International","DOI":"10.1016/j.quaint.2008.07.008","ISSN":"10406182","issue":"1-2","journalAbbreviation":"Quaternary International","language":"en","page":"148-158","source":"DOI.org (Crossref)","title":"Influences of subtropical jet and Tibetan Plateau on precipitation pattern in Asia: Insights from regional climate modeling","title-short":"Influences of subtropical jet and Tibetan Plateau on precipitation pattern in Asia","volume":"194","author":[{"family":"Sato","given":"Tomonori"}],"issued":{"date-parts":[["2009",2]]}}},{"id":488,"uris":["http://zotero.org/users/7904379/items/22XZZYCT"],"itemData":{"id":488,"type":"article-journal","abstract":"In this study the depth of the atmospheric boundary layer (ABL) over the Tibetan Plateau was measured during a regional radiosonde observation campaign in 2008 and found to be deeper than indicated by previously measurements. Results indicate that during fair weather conditions on winter days, the top of the mixed layers can be up to 5 km above the ground (9.4 km above sea level). Measurements also show that the depth of the ABL is quite distinct for three different periods (winter, monsoon-onset, and monsoon seasons). Turbulence at the top of a deep mixing layer can rise up to the upper troposphere. As a consequence, as confirmed by trajectory analysis, interaction occurs between deep ABLs and the low tropopause during winter over the Tibetan Plateau.","container-title":"PLOS ONE","DOI":"10.1371/journal.pone.0056909","ISSN":"1932-6203","issue":"2","journalAbbreviation":"PLOS ONE","language":"en","note":"publisher: Public Library of Science","page":"e56909","source":"PLoS Journals","title":"The Deep Atmospheric Boundary Layer and Its Significance to the Stratosphere and Troposphere Exchange over the Tibetan Plateau","URL":"https://journals.plos.org/plosone/article?id=10.1371/journal.pone.0056909","volume":"8","author":[{"family":"Chen","given":"Xuelong"},{"family":"Añel","given":"Juan A."},{"family":"Su","given":"Zhongbo"},{"family":"Torre","given":"Laura","dropping-particle":"de la"},{"family":"Kelder","given":"Hennie"},{"family":"Peet","given":"Jacob","dropping-particle":"van"},{"family":"Ma","given":"Yaoming"}],"accessed":{"date-parts":[["2021",5,2]]},"issued":{"date-parts":[["2013",2,25]]}}},{"id":10,"uris":["http://zotero.org/users/7904379/items/6PE2FVDV"],"itemData":{"id":10,"type":"article-journal","abstract":"Abstract\n            The planetary boundary layer (PBL) over the Tibetan Plateau (with a mean elevation about 4 km above sea level) reaches an unmatched height of 9515 m above sea level. The proximity of this height to the tropopause facilitates an exchange between the stratosphere and the boundary layer. However, the underlying mechanisms responsible for this unique PBL have remained uncertain. Here, the authors explore these mechanisms and their relative importance using measurements of the PBL, the associated surface fluxes, and single-column and regional numerical simulations, as well as global reanalysis data. Results indicate that the dry conditions of both ground soil and atmosphere in late winter cannot explain the special PBL alone. Rather, the results from a single-column model demonstrate the key influence of the stability of the free atmosphere upon the growth of extremely deep PBLs over the Tibetan Plateau. Simulations with the numerical weather prediction model Consortium for Small-Scale Modelling (COSMO) exhibit good correspondence with the observed mean PBL structure and realistic turbulent kinetic energy distributions throughout the PBL. Using ERA-Interim, the authors furthermore find that weak atmospheric stability and the resultant deep PBLs are associated with higher upper-level potential vorticity (PV) values, which in turn correspond to a more southerly jet position and higher wind speeds. Upper-level PV structures and jet position thus influence the PBL development over the Tibetan Plateau.","container-title":"Journal of the Atmospheric Sciences","DOI":"10.1175/JAS-D-15-0148.1","ISSN":"0022-4928, 1520-0469","issue":"5","language":"en","page":"2021-2038","source":"DOI.org (Crossref)","title":"Reasons for the Extremely High-Ranging Planetary Boundary Layer over the Western Tibetan Plateau in Winter","URL":"https://journals.ametsoc.org/doi/10.1175/JAS-D-15-0148.1","volume":"73","author":[{"family":"Chen","given":"Xuelong"},{"family":"Škerlak","given":"Bojan"},{"family":"Rotach","given":"Mathias W."},{"family":"Añel","given":"Juan A."},{"family":"Su","given":"Zhonbgo"},{"family":"Ma","given":"Yaoming"},{"family":"Li","given":"Maoshan"}],"accessed":{"date-parts":[["2021",3,25]]},"issued":{"date-parts":[["2016",5,1]]}}},{"id":344,"uris":["http://zotero.org/users/7904379/items/8V5IG7WZ"],"itemData":{"id":344,"type":"article-journal","abstract":"By using radiosonde data in Sichuan Province and Chongqing Municipality of China during May–September from 1982 to 2002, the meteorological significance and evolution patterns of the atmospheric boundary layer (ABL) wind on the eastern edge of the Tibetan Plateau are analyzed. Results show that the ABL wind at Chengdu near the eastern edge of the Tibetan Plateau varies with regularity. Because of the interaction between the circulation and the topography, the wind field alternates between northeast and southwest winds. When northeast ABL winds prevail at Chengdu, the ABL in the Sichuan Basin maintains a cyclonic flow field and corresponds with heavy rain in the Sichuan Basin. When southwest winds prevail, the ABL maintains an anticyclonic flow field and corresponds with rainless, fine weather in Sichuan Basin. With the northeast-southwest–trending topography between the Tibetan Plateau and the Sichuan Basin, the dynamic trigger of the ABL at Chengdu is a very important cause of occurrence and development of severe, convective weather and heavy rain in the Sichuan Basin. The Chengdu station is the key weather station in the Sichuan Basin for weather prediction and understanding physical mechanisms.","container-title":"Arctic, Antarctic, and Alpine Research","DOI":"10.1657/1523-0430(07-504)[LI]2.0.CO;2","ISSN":"1523-0430","issue":"4","note":"publisher: Taylor &amp; Francis\n_eprint: https://www.tandfonline.com/doi/pdf/10.1657/1523-0430%2807-504%29%5BLI%5D2.0.CO%3B2","page":"708-713","source":"Taylor and Francis+NEJM","title":"Atmospheric Boundary Layer Circulation on the Eastern Edge of the Tibetan Plateau, China, in Summer","URL":"https://www.tandfonline.com/doi/abs/10.1657/1523-0430%2807-504%29%5BLI%5D2.0.CO%3B2","volume":"39","author":[{"family":"Li","given":"Yueqing"},{"family":"Gao","given":"Wenliang"}],"accessed":{"date-parts":[["2021",4,18]]},"issued":{"date-parts":[["2007",11,1]]}}},{"id":194,"uris":["http://zotero.org/users/7904379/items/37PUDSLM"],"itemData":{"id":194,"type":"article-journal","abstract":"&lt;section class=\"abstract\"&gt;&lt;h2 class=\"abstractTitle text-title my-1\" id=\"d1139e2\"&gt;Abstract&lt;/h2&gt;&lt;p&gt;The structure of the boundary layer and the mechanism of heating over the Tibetan Plateau are examined using the data obtained from the First GARP (Global Atmospheric Research Program) Global Experiment and the Chinese Qinghai–Xizang (Tibet) Plateau Meteorological Experiment from May to August 1979. The meteorological elements near the plateau surface exhibit pronounced diurnal variations. There is a large ground–air temperature difference during the daytime generating a thin layer of superadiabatic lapse rates near the surface. The horizontal wind speed attains the minimum in the morning and the maximum in the evening. A deep and well-mixed layer of potential temperature is observed over the western and central plateau in the evening (1200 UTC). However, moisture is not well mixed vertically and water vapor mixing ratio is larger in the morning (0000 UTC) than in the evening. The mixed layer becomes shallower from the western to the central plateau and it disappears over the eastern plateau. There is a deep layer of large-scale ascent over the plateau. The upward motion and convective activity over the plateau are more intense in the evening than in the morning.&lt;/p&gt;&lt;p&gt;Before the onset of summer rains, sensible heat flux from the surface is the major source of heating on the plateau. The analysis of the ground–air temperature difference supports the hypothesis that dry convective elements rising from the heated surface provide the mechanism for tropospheric heating during this period. After the onset of the summer rains, however, the heat released by condensation is the primary source of heating over the eastern plateau. During the dry preonset period, the diabatic heating in the boundary layer is nearly balanced with the cold horizontal advection due to the prevailing westerly wind above the plateau. After the onset, the adiabatic cooling due to strong upward motions nearly balances with the heat released by condensation. The dry horizontal advection plays an important role in the moisture balance of the boundary layer.&lt;/p&gt;&lt;/section&gt;","container-title":"Monthly Weather Review","DOI":"10.1175/1520-0493(1994)122&lt;0305:MOHATB&gt;2.0.CO;2","ISSN":"1520-0493, 0027-0644","issue":"2","language":"EN","note":"publisher: American Meteorological Society\nsection: Monthly Weather Review","page":"305-323","source":"journals.ametsoc.org","title":"Mechanism of Heating and the Boundary Layer over the Tibetan Plateau","URL":"https://journals.ametsoc.org/view/journals/mwre/122/2/1520-0493_1994_122_0305_mohatb_2_0_co_2.xml","volume":"122","author":[{"family":"Yanai","given":"Michio"},{"family":"Li","given":"Chengfeng"}],"accessed":{"date-parts":[["2021",4,4]]},"issued":{"date-parts":[["1994",2,1]]}}},{"id":223,"uris":["http://zotero.org/users/7904379/items/N3RXPKF4"],"itemData":{"id":223,"type":"article-journal","abstract":"This paper reported a comprehensive analysis on the diurnal variation of the Atmospheric Boundary Layer (ABL) in summer of Badain Jaran Desert and discussed deeply the effect of surface thermal to ABL, including the Difference in Surface-Air Temperature (DSAT), net radiation, and sensible heat, based on limited GPS radiosonde and surface observation data during two intense observation periods of experiments. The results showed that affected by topography of the Tibetan Plateau, the climate provided favorable external conditions for the deve</w:instrText>
      </w:r>
      <w:r w:rsidR="00EC3304" w:rsidRPr="00D07B1D">
        <w:rPr>
          <w:lang w:val="fr-FR"/>
        </w:rPr>
        <w:instrText xml:space="preserve">lopment of Convective Boundary Layer (CBL), deep CBL showed a diurnal variation of three- to five-layer structure in clear days and five-layer ABL structure often occurred about sunset or sunrise, the diurnal variation of DSAT influenced thickness of ABL through changes of turbulent heat flux, integral value of sensible heat which rapidly converted by surface net radiation had a significant influence on the growth of CBL throughout daytime. The cumulative effect of thick RML dominated the role after CBL got through SBL in the development stage, especially in late summer, and the development of CBL was promoted and accelerated by the variation of wind field and distribution of warm advection in high and low altitude.","container-title":"Advances in Meteorology","DOI":"10.1155/2017/8352461","ISSN":"1687-9309","language":"en","note":"publisher: Hindawi","page":"e8352461","source":"www.hindawi.com","title":"Relation between the Atmospheric Boundary Layer and Impact Factors under Severe Surface Thermal Conditions","URL":"https://www.hindawi.com/journals/amete/2017/8352461/","volume":"2017","author":[{"family":"Ao","given":"Yinhuan"},{"family":"Li","given":"Jiangang"},{"family":"Li","given":"Zhaoguo"},{"family":"Lyu","given":"Shihua"},{"family":"Jiang","given":"Cailian"},{"family":"Wang","given":"Minzhong"}],"accessed":{"date-parts":[["2021",4,8]]},"issued":{"date-parts":[["2017",2,20]]}}}],"schema":"https://github.com/citation-style-language/schema/raw/master/csl-citation.json"} </w:instrText>
      </w:r>
      <w:r w:rsidRPr="00C3492A">
        <w:fldChar w:fldCharType="separate"/>
      </w:r>
      <w:r w:rsidR="00EC3304" w:rsidRPr="00D07B1D">
        <w:rPr>
          <w:lang w:val="fr-FR"/>
        </w:rPr>
        <w:t>(Ao et al., 2017; Chen et al., 2013, 2016; Y. Li &amp; Gao, 2007; Sato, 2009; Yanai &amp; Li, 1994; Zhao et al., 2018)</w:t>
      </w:r>
      <w:r w:rsidRPr="00C3492A">
        <w:fldChar w:fldCharType="end"/>
      </w:r>
      <w:r w:rsidRPr="00D07B1D">
        <w:rPr>
          <w:lang w:val="fr-FR"/>
        </w:rPr>
        <w:t xml:space="preserve">. </w:t>
      </w:r>
      <w:r w:rsidRPr="00020F70">
        <w:t>According to previous studies</w:t>
      </w:r>
      <w:r w:rsidR="00691D7D">
        <w:t>,</w:t>
      </w:r>
      <w:r w:rsidR="00691D7D" w:rsidRPr="00691D7D">
        <w:t xml:space="preserve"> </w:t>
      </w:r>
      <w:r w:rsidR="00691D7D">
        <w:t>A</w:t>
      </w:r>
      <w:r w:rsidR="00691D7D" w:rsidRPr="000352F9">
        <w:t>BL on TP exerts a profound thermal and dynamic influence on the cumulus development</w:t>
      </w:r>
      <w:r w:rsidRPr="00020F70">
        <w:t xml:space="preserve"> </w:t>
      </w:r>
      <w:r w:rsidRPr="00C3492A">
        <w:fldChar w:fldCharType="begin"/>
      </w:r>
      <w:r w:rsidR="001345CF">
        <w:instrText xml:space="preserve"> ADDIN ZOTERO_ITEM CSL_CITATION {"citationID":"MQozyaZc","properties":{"formattedCitation":"(Chen et al., 2016; Y. Li &amp; Gao, 2007; Sl\\uc0\\u228{}ttberg &amp; Chen, 2020; K. Yang et al., 2004)","plainCitation":"(Chen et al., 2016; Y. Li &amp; Gao, 2007; Slättberg &amp; Chen, 2020; K. Yang et al., 2004)","noteIndex":0},"citationItems":[{"id":10,"uris":["http://zotero.org/users/7904379/items/6PE2FVDV"],"itemData":{"id":10,"type":"article-journal","abstract":"Abstract\n            The planetary boundary layer (PBL) over the Tibetan Plateau (with a mean elevation about 4 km above sea level) reaches an unmatched height of 9515 m above sea level. The proximity of this height to the tropopause facilitates an exchange between the stratosphere and the boundary layer. However, the underlying mechanisms responsible for this unique PBL have remained uncertain. Here, the authors explore these mechanisms and their relative importance using measurements of the PBL, the associated surface fluxes, and single-column and regional numerical simulations, as well as global reanalysis data. Results indicate that the dry conditions of both ground soil and atmosphere in late winter cannot explain the special PBL alone. Rather, the results from a single-column model demonstrate the key influence of the stability of the free atmosphere upon the growth of extremely deep PBLs over the Tibetan Plateau. Simulations with the numerical weather prediction model Consortium for Small-Scale Modelling (COSMO) exhibit good correspondence with the observed mean PBL structure and realistic turbulent kinetic energy distributions throughout the PBL. Using ERA-Interim, the authors furthermore find that weak atmospheric stability and the resultant deep PBLs are associated with higher upper-level potential vorticity (PV) values, which in turn correspond to a more southerly jet position and higher wind speeds. Upper-level PV structures and jet position thus influence the PBL development over the Tibetan Plateau.","container-title":"Journal of the Atmospheric Sciences","DOI":"10.1175/JAS-D-15-0148.1","ISSN":"0022-4928, 1520-0469","issue":"5","language":"en","page":"2021-2038","source":"DOI.org (Crossref)","title":"Reasons for the Extremely High-Ranging Planetary Boundary Layer over the Western Tibetan Plateau in Winter","URL":"https://journals.ametsoc.org/doi/10.1175/JAS-D-15-0148.1","volume":"73","author":[{"family":"Chen","given":"Xuelong"},{"family":"Škerlak","given":"Bojan"},{"family":"Rotach","given":"Mathias W."},{"family":"Añel","given":"Juan A."},{"family":"Su","given":"Zhonbgo"},{"family":"Ma","given":"Yaoming"},{"family":"Li","given":"Maoshan"}],"accessed":{"date-parts":[["2021",3,25]]},"issued":{"date-parts":[["2016",5,1]]}}},{"id":344,"uris":["http://zotero.org/users/7904379/items/8V5IG7WZ"],"itemData":{"id":344,"type":"article-journal","abstract":"By using radiosonde data in Sichuan Province and Chongqing Municipality of China during May–September from 1982 to 2002, the meteorological significance and evolution patterns of the atmospheric boundary layer (ABL) wind on the eastern edge of the Tibetan Plateau are analyzed. Results show that the ABL wind at Chengdu near the eastern edge of the Tibetan Plateau varies with regularity. Because of the interaction between the circulation and the topography, the wind field alternates between northeast and southwest winds. When northeast ABL winds prevail at Chengdu, the ABL in the Sichuan Basin maintains a cyclonic flow field and corresponds with heavy rain in the Sichuan Basin. When southwest winds prevail, the ABL maintains an anticyclonic flow field and corresponds with rainless, fine weather in Sichuan Basin. With the northeast-southwest–trending topography between the Tibetan Plateau and the Sichuan Basin, the dynamic trigger of the ABL at Chengdu is a very important cause of occurrence and development of severe, convective weather and heavy rain in the Sichuan Basin. The Chengdu station is the key weather station in the Sichuan Basin for weather prediction and understanding physical mechanisms.","container-title":"Arctic, Antarctic, and Alpine Research","DOI":"10.1657/1523-0430(07-504)[LI]2.0.CO;2","ISSN":"1523-0430","issue":"4","note":"publisher: Taylor &amp; Francis\n_eprint: https://www.tandfonline.com/doi/pdf/10.1657/1523-0430%2807-504%29%5BLI%5D2.0.CO%3B2","page":"708-713","source":"Taylor and Francis+NEJM","title":"Atmospheric Boundary Layer Circulation on the Eastern Edge of the Tibetan Plateau, China, in Summer","URL":"https://www.tandfonline.com/doi/abs/10.1657/1523-0430%2807-504%29%5BLI%5D2.0.CO%3B2","volume":"39","author":[{"family":"Li","given":"Yueqing"},{"family":"Gao","given":"Wenliang"}],"accessed":{"date-parts":[["2021",4,18]]},"issued":{"date-parts":[["2007",11,1]]}}},{"id":349,"uris":["http://zotero.org/users/7904379/items/48AULX4A"],"itemData":{"id":349,"type":"report","language":"en","note":"event: EGU2020\nDOI: 10.5194/egusphere-egu2020-5517","number":"EGU2020-5517","publisher":"Copernicus Meetings","sour</w:instrText>
      </w:r>
      <w:r w:rsidR="001345CF" w:rsidRPr="00691D7D">
        <w:rPr>
          <w:lang w:val="fr-FR"/>
        </w:rPr>
        <w:instrText xml:space="preserve">ce":"meetingorganizer.copernicus.org","title":"A long-term Climatology of Planetary Boundary Layer Height over the Tibetan Plateau revealed by ERA5","URL":"https://meetingorganizer.copernicus.org/EGU2020/EGU2020-5517.html","author":[{"family":"Slättberg","given":"Nils"},{"family":"Chen","given":"Deliang"}],"accessed":{"date-parts":[["2021",4,18]]},"issued":{"date-parts":[["2020",3,9]]}},"label":"page"},{"id":78,"uris":["http://zotero.org/users/7904379/items/I2XCD69C"],"itemData":{"id":78,"type":"article-journal","container-title":"Journal of the Meteorological Society of Japan","DOI":"10.2151/jmsj.82.1777","ISSN":"0026-1165","issue":"6","journalAbbreviation":"JMSJ","language":"en","page":"1777-1792","source":"DOI.org (Crossref)","title":"The Daytime Evolution of the Atmospheric Boundary Layer and Convection over the Tibetan Plateau: Observations and Simulations","title-short":"The Daytime Evolution of the Atmospheric Boundary Layer and Convection over the Tibetan Plateau","URL":"http://joi.jlc.jst.go.jp/JST.JSTAGE/jmsj/82.1777?from=CrossRef","volume":"82","author":[{"family":"Yang","given":"Kun"},{"family":"Koike","given":"Toshio"},{"family":"Fujii","given":"Hideyuki"},{"family":"Tamura","given":"Toru"},{"family":"Xu","given":"Xiangde"},{"family":"Bian","given":"Lingen"},{"family":"Zhou","given":"Mingyu"}],"accessed":{"date-parts":[["2021",3,25]]},"issued":{"date-parts":[["2004"]]}}}],"schema":"https://github.com/citation-style-language/schema/raw/master/csl-citation.json"} </w:instrText>
      </w:r>
      <w:r w:rsidRPr="00C3492A">
        <w:fldChar w:fldCharType="separate"/>
      </w:r>
      <w:r w:rsidR="001345CF" w:rsidRPr="00691D7D">
        <w:rPr>
          <w:lang w:val="fr-FR"/>
        </w:rPr>
        <w:t>(Chen et al., 2016; Y. Li &amp; Gao, 2007; Slättberg &amp; Chen, 2020; K. Yang et al., 2004)</w:t>
      </w:r>
      <w:r w:rsidRPr="00C3492A">
        <w:fldChar w:fldCharType="end"/>
      </w:r>
      <w:r w:rsidRPr="00691D7D">
        <w:rPr>
          <w:lang w:val="fr-FR"/>
        </w:rPr>
        <w:t xml:space="preserve">. </w:t>
      </w:r>
      <w:r w:rsidR="00BB1ABE">
        <w:t>Many s</w:t>
      </w:r>
      <w:r w:rsidRPr="00C3492A">
        <w:t>tudies</w:t>
      </w:r>
      <w:r w:rsidR="00126D95">
        <w:t xml:space="preserve"> </w:t>
      </w:r>
      <w:r w:rsidRPr="00C3492A">
        <w:t>showed that the radiative budget of the ABL has a direct effect on the variation in C</w:t>
      </w:r>
      <w:r w:rsidR="003625BA">
        <w:rPr>
          <w:rFonts w:eastAsia="SimSun" w:hint="eastAsia"/>
          <w:lang w:eastAsia="zh-CN"/>
        </w:rPr>
        <w:t>C</w:t>
      </w:r>
      <w:r w:rsidRPr="00C3492A">
        <w:t xml:space="preserve"> cover</w:t>
      </w:r>
      <w:r w:rsidR="00691D7D">
        <w:t xml:space="preserve"> </w:t>
      </w:r>
      <w:r w:rsidR="00691D7D" w:rsidRPr="00C3492A">
        <w:fldChar w:fldCharType="begin"/>
      </w:r>
      <w:r w:rsidR="00691D7D">
        <w:instrText xml:space="preserve"> ADDIN ZOTERO_ITEM CSL_CITATION {"citationID":"a2p1c9n6pun","properties":{"formattedCitation":"(Ao et al., 2017; Betts &amp; Ball, 1994; Margulis &amp; Entekhabi, 2004)","plainCitation":"(Ao et al., 2017; Betts &amp; Ball, 1994; Margulis &amp; Entekhabi, 2004)","noteIndex":0},"citationItems":[{"id":223,"uris":["http://zotero.org/users/7904379/items/N3RXPKF4"],"itemData":{"id":223,"type":"article-journal","abstract":"This paper reported a comprehensive analysis on the diurnal variation of the Atmospheric Boundary Layer (ABL) in summer of Badain Jaran Desert and discussed deeply the effect of surface thermal to ABL, including the Difference in Surface-Air Temperature (DSAT), net radiation, and sensible heat, based on limited GPS radiosonde and surface observation data during two intense observation periods of experiments. The results showed that affected by topography of the Tibetan Plateau, the climate provided favorable external conditions for the development of Convective Boundary Layer (CBL), deep CBL showed a diurnal variation of three- to five-layer structure in clear days and five-layer ABL structure often occurred about sunset or sunrise, the diurnal variation of DSAT influenced thickness of ABL through changes of turbulent heat flux, integral value of sensible heat which rapidly converted by surface net radiation had a significant influence on the growth of CBL throughout daytime. The cumulative effect of thick RML dominated the role after CBL got through SBL in the development stage, especially in late summer, and the development of CBL was promoted and accelerated by the variation of wind field and distribution of warm advection in high and low altitude.","container-title":"Advances in Meteorology","DOI":"10.1155/2017/8352461","ISSN":"1687-9309","language":"en","note":"publisher: Hindawi","page":"e8352461","source":"www.hindawi.com","title":"Relation between the Atmospheric Boundary Layer and Impact Factors under Severe Surface Thermal Conditions","URL":"https://www.hindawi.com/journals/amete/2017/8352461/","volume":"2017","author":[{"family":"Ao","given":"Yinhuan"},{"family":"Li","given":"Jiangang"},{"family":"Li","given":"Zhaoguo"},{"family":"Lyu","given":"Shihua"},{"family":"Jiang","given":"Cailian"},{"family":"Wang","given":"Minzhong"}],"accessed":{"date-parts":[["2021",4,8]]},"issued":{"date-parts":[["2017",2,20]]}}},{"id":325,"uris":["http://zotero.org/users/7904379/items/7KTCEU8A"],"itemData":{"id":325,"type":"article-journal","abstract":"Mean thermodynamic profiles are presented for the daytime convective boundary layer evolution for three groups of sunny days in late June and early July, August, and October using data from the First International Satellite Land Surface Climatology Project (ISLSCP) Field Experiment (FIFE) 1987 Kansas experiment. Budget models for the mixed layer evolution and the boundary layer rise are used to estimate the boundary layer top entrainment parameter. A value of AR = 0.44±0.21 is found for the mean ratio of the inversion level virtual heat flux to the surface virtual heat flux.","container-title":"Journal of Geophysical Research: Atmospheres","DOI":"https://doi.org/10.1029/93JD02739","ISSN":"2156-2202","issue":"D2","language":"en","note":"_eprint: https://agupubs.onlinelibrary.wiley.com/doi/pdf/10.1029/93JD02739","page":"3655-3666","source":"Wiley Online Library","title":"Budget analysis of FIFE 1987 sonde data","URL":"https://agupubs.onlinelibrary.wiley.com/doi/abs/10.1029/93JD02739","volume":"99","author":[{"family":"Betts","given":"Alan K."},{"family":"Ball","given":"J. H."}],"accessed":{"date-parts":[["2021",4,17]]},"issued":{"date-parts":[["1994"]]}}},{"id":330,"uris":["http://zotero.org/users/7904379/items/2W85BKWL"],"itemData":{"id":330,"type":"article-journal","container-title":"Boundary-Layer Meteorology","DOI":"10.1023/B:BOUN.0000007221.53446.46","ISSN":"0006-8314, 1573-1472","issue":"3","journalAbbreviation":"Boundary-Layer Meteorology","language":"en","page":"405-433","source":"DOI.org (Crossref)","title":"Boundary-Layer Entrainment Estimation Through Assimilation of Radiosonde and Micrometeorological Data into a Mixed-Layer Model","URL":"http://link.springer.com/10.1023/B:BOUN.0000007221.53446.46","volume":"110","author":[{"family":"Margulis","given":"Steven A."},{"family":"Entekhabi","given":"Dara"}],"accessed":{"date-parts":[["2021",4,17]]},"issued":{"date-parts":[["2004",3]]}}}],"schema":"https://github.com/citation-style-language/schema/raw/master/csl-citation.json"} </w:instrText>
      </w:r>
      <w:r w:rsidR="00691D7D" w:rsidRPr="00C3492A">
        <w:fldChar w:fldCharType="separate"/>
      </w:r>
      <w:r w:rsidR="00691D7D" w:rsidRPr="00A44B66">
        <w:t>(Ao et al., 2017; Betts &amp; Ball, 1994; Margulis &amp; Entekhabi, 2004)</w:t>
      </w:r>
      <w:r w:rsidR="00691D7D" w:rsidRPr="00C3492A">
        <w:fldChar w:fldCharType="end"/>
      </w:r>
      <w:r w:rsidRPr="00C3492A">
        <w:t>. However, the upper</w:t>
      </w:r>
      <m:oMath>
        <m:r>
          <w:rPr>
            <w:rFonts w:ascii="Cambria Math" w:hAnsi="Cambria Math"/>
          </w:rPr>
          <m:t>-</m:t>
        </m:r>
      </m:oMath>
      <w:r w:rsidRPr="00C3492A">
        <w:t xml:space="preserve">level potential vorticity structures and the meridional position of the subtropical jet (STJ) </w:t>
      </w:r>
      <w:r w:rsidR="007C628B">
        <w:t xml:space="preserve">also </w:t>
      </w:r>
      <w:r w:rsidRPr="00C3492A">
        <w:t xml:space="preserve">influence the feature of the ABL on the TP </w:t>
      </w:r>
      <w:r w:rsidRPr="00C3492A">
        <w:fldChar w:fldCharType="begin"/>
      </w:r>
      <w:r w:rsidR="00A44B66">
        <w:instrText xml:space="preserve"> ADDIN ZOTERO_ITEM CSL_CITATION {"citationID":"a1i6s04boal","properties":{"formattedCitation":"(Chen et al., 2016)","plainCitation":"(Chen et al., 2016)","noteIndex":0},"citationItems":[{"id":10,"uris":["http://zotero.org/users/7904379/items/6PE2FVDV"],"itemData":{"id":10,"type":"article-journal","abstract":"Abstract\n            The planetary boundary layer (PBL) over the Tibetan Plateau (with a mean elevation about 4 km above sea level) reaches an unmatched height of 9515 m above sea level. The proximity of this height to the tropopause facilitates an exchange between the stratosphere and the boundary layer. However, the underlying mechanisms responsible for this unique PBL have remained uncertain. Here, the authors explore these mechanisms and their relative importance using measurements of the PBL, the associated surface fluxes, and single-column and regional numerical simulations, as well as global reanalysis data. Results indicate that the dry conditions of both ground soil and atmosphere in late winter cannot explain the special PBL alone. Rather, the results from a single-column model demonstrate the key influence of the stability of the free atmosphere upon the growth of extremely deep PBLs over the Tibetan Plateau. Simulations with the numerical weather prediction model Consortium for Small-Scale Modelling (COSMO) exhibit good correspondence with the observed mean PBL structure and realistic turbulent kinetic energy distributions throughout the PBL. Using ERA-Interim, the authors furthermore find that weak atmospheric stability and the resultant deep PBLs are associated with higher upper-level potential vorticity (PV) values, which in turn correspond to a more southerly jet position and higher wind speeds. Upper-level PV structures and jet position thus influence the PBL development over the Tibetan Plateau.","container-title":"Journal of the Atmospheric Sciences","DOI":"10.1175/JAS-D-15-0148.1","ISSN":"0022-4928, 1520-0469","issue":"5","language":"en","page":"2021-2038","source":"DOI.org (Crossref)","title":"Reasons for the Extremely High-Ranging Planetary Boundary Layer over the Western Tibetan Plateau in Winter","URL":"https://journals.ametsoc.org/doi/10.1175/JAS-D-15-0148.1","volume":"73","author":[{"family":"Chen","given":"Xuelong"},{"family":"Škerlak","given":"Bojan"},{"family":"Rotach","given":"Mathias W."},{"family":"Añel","given":"Juan A."},{"family":"Su","given":"Zhonbgo"},{"family":"Ma","given":"Yaoming"},{"family":"Li","given":"Maoshan"}],"accessed":{"date-parts":[["2021",3,25]]},"issued":{"date-parts":[["2016",5,1]]}}}],"schema":"https://github.com/citation-style-language/schema/raw/master/csl-citation.json"} </w:instrText>
      </w:r>
      <w:r w:rsidRPr="00C3492A">
        <w:fldChar w:fldCharType="separate"/>
      </w:r>
      <w:r w:rsidR="00A44B66" w:rsidRPr="00A44B66">
        <w:t>(Chen et al., 2016)</w:t>
      </w:r>
      <w:r w:rsidRPr="00C3492A">
        <w:fldChar w:fldCharType="end"/>
      </w:r>
      <w:r w:rsidRPr="00C3492A">
        <w:t>. In midsummer, STJ and the South Asian High (SAH), coexist and intensify the upper</w:t>
      </w:r>
      <m:oMath>
        <m:r>
          <w:rPr>
            <w:rFonts w:ascii="Cambria Math" w:hAnsi="Cambria Math"/>
          </w:rPr>
          <m:t>-</m:t>
        </m:r>
      </m:oMath>
      <w:r w:rsidRPr="00C3492A">
        <w:t>level subsidence in some STP’s zone</w:t>
      </w:r>
      <w:r w:rsidR="00252E15">
        <w:t>s</w:t>
      </w:r>
      <w:r w:rsidRPr="00C3492A">
        <w:t xml:space="preserve">, characterized by less cumulus development </w:t>
      </w:r>
      <w:r w:rsidRPr="00C3492A">
        <w:fldChar w:fldCharType="begin"/>
      </w:r>
      <w:r w:rsidR="00EC3304">
        <w:instrText xml:space="preserve"> ADDIN ZOTERO_ITEM CSL_CITATION {"citationID":"ag9c0rfg2m","properties":{"formattedCitation":"(Chen et al., 2016; Sato, 2009)","plainCitation":"(Chen et al., 2016; Sato, 2009)","noteIndex":0},"citationItems":[{"id":"j94seLCz/Z3tdESJV","uris":["http://zotero.org/users/7904379/items/59EZ8I3P"],"itemData":{"id":62,"type":"article-journal","container-title":"Quaternary International","DOI":"10.1016/j.quaint.2008.07.008","ISSN":"10406182","issue":"1-2","journalAbbreviation":"Quaternary International","language":"en","page":"148-158","source":"DOI.org (Crossref)","title":"Influences of subtropical jet and Tibetan Plateau on precipitation pattern in Asia: Insights from regional climate modeling","title-short":"Influences of subtropical jet and Tibetan Plateau on precipitation pattern in Asia","volume":"194","author":[{"family":"Sato","given":"Tomonori"}],"issued":{"date-parts":[["2009",2]]}}},{"id":10,"uris":["http://zotero.org/users/7904379/items/6PE2FVDV"],"itemData":{"id":10,"type":"article-journal","abstract":"Abstract\n            The planetary boundary layer (PBL) over the Tibetan Plateau (with a mean elevation about 4 km above sea level) reaches an unmatched height of 9515 m above sea level. The proximity of this height to the tropopause facilitates an exchange between the stratosphere and the boundary layer. However, the underlying mechanisms responsible for this unique PBL have remained uncertain. Here, the authors explore these mechanisms and their relative importance using measurements of the PBL, the associated surface fluxes, and single-column and regional numerical simulations, as well as global reanalysis data. Results indicate that the dry conditions of both ground soil and atmosphere in late winter cannot explain the special PBL alone. Rather, the results from a single-column model demonstrate the key influence of the stability of the free atmosphere upon the growth of extremely deep PBLs over the Tibetan Plateau. Simulations with the numerical weather prediction model Consortium for Small-Scale Modelling (COSMO) exhibit good correspondence with the observed mean PBL structure and realistic turbulent kinetic energy distributions throughout the PBL. Using ERA-Interim, the authors furthermore find that weak atmospheric stability and the resultant deep PBLs are associated with higher upper-level potential vorticity (PV) values, which in turn correspond to a more southerly jet position and higher wind speeds. Upper-level PV structures and jet position thus influence the PBL development over the Tibetan Plateau.","container-title":"Journal of the Atmospheric Sciences","DOI":"10.1175/JAS-D-15-0148.1","ISSN":"0022-4928, 1520-0469","issue":"5","language":"en","page":"2021-2038","source":"DOI.org (Crossref)","title":"Reasons for the Extremely High-Ranging Planetary Boundary Layer over the Western Tibetan Plateau in Winter","URL":"https://journals.ametsoc.org/doi/10.1175/JAS-D-15-0148.1","volume":"73","author":[{"family":"Chen","given":"Xuelong"},{"family":"Škerlak","given":"Bojan"},{"family":"Rotach","given":"Mathias W."},{"family":"Añel","given":"Juan A."},{"family":"Su","given":"Zhonbgo"},{"family":"Ma","given":"Yaoming"},{"family":"Li","given":"Maoshan"}],"accessed":{"date-parts":[["2021",3,25]]},"issued":{"date-parts":[["2016",5,1]]}}}],"schema":"https://github.com/citation-style-language/schema/raw/master/csl-citation.json"} </w:instrText>
      </w:r>
      <w:r w:rsidRPr="00C3492A">
        <w:fldChar w:fldCharType="separate"/>
      </w:r>
      <w:r w:rsidR="00A44B66" w:rsidRPr="00A44B66">
        <w:t>(Chen et al., 2016; Sato, 2009)</w:t>
      </w:r>
      <w:r w:rsidRPr="00C3492A">
        <w:fldChar w:fldCharType="end"/>
      </w:r>
      <w:r w:rsidRPr="00C3492A">
        <w:t xml:space="preserve">. The mean position of the STJ was 40° north between 1979 and 2003 </w:t>
      </w:r>
      <w:r w:rsidRPr="00C3492A">
        <w:fldChar w:fldCharType="begin"/>
      </w:r>
      <w:r w:rsidR="00EC3304">
        <w:instrText xml:space="preserve"> ADDIN ZOTERO_ITEM CSL_CITATION {"citationID":"a17cj82ahnf","properties":{"formattedCitation":"(Sato, 2009)","plainCitation":"(Sato, 2009)","noteIndex":0},"citationItems":[{"id":"j94seLCz/Z3tdESJV","uris":["http://zotero.org/users/7904379/items/59EZ8I3P"],"itemData":{"id":62,"type":"article-journal","container-title":"Quaternary International","DOI":"10.1016/j.quaint.2008.07.008","ISSN":"10406182","issue":"1-2","journalAbbreviation":"Quaternary International","language":"en","page":"148-158","source":"DOI.org (Crossref)","title":"Influences of subtropical jet and Tibetan Plateau on precipitation pattern in Asia: Insights from regional climate modeling","title-short":"Influences of subtropical jet and Tibetan Plateau on precipitation pattern in Asia","volume":"194","author":[{"family":"Sato","given":"Tomonori"}],"issued":{"date-parts":[["2009",2]]}}}],"schema":"https://github.com/citation-style-language/schema/raw/master/csl-citation.json"} </w:instrText>
      </w:r>
      <w:r w:rsidRPr="00C3492A">
        <w:fldChar w:fldCharType="separate"/>
      </w:r>
      <w:r w:rsidR="00A44B66" w:rsidRPr="00A44B66">
        <w:t>(Sato, 2009)</w:t>
      </w:r>
      <w:r w:rsidRPr="00C3492A">
        <w:fldChar w:fldCharType="end"/>
      </w:r>
      <w:r w:rsidRPr="00C3492A">
        <w:t xml:space="preserve">. </w:t>
      </w:r>
      <w:bookmarkStart w:id="5" w:name="_Hlk69385731"/>
      <w:bookmarkStart w:id="6" w:name="_Hlk70591182"/>
      <w:bookmarkEnd w:id="3"/>
    </w:p>
    <w:bookmarkEnd w:id="5"/>
    <w:bookmarkEnd w:id="6"/>
    <w:p w14:paraId="30EE808D" w14:textId="509BCE51" w:rsidR="00C3492A" w:rsidRPr="00C3492A" w:rsidRDefault="00C3492A" w:rsidP="00375201">
      <w:pPr>
        <w:pStyle w:val="Text"/>
        <w:ind w:firstLine="540"/>
      </w:pPr>
      <w:r w:rsidRPr="00C3492A">
        <w:t xml:space="preserve">From the 1970s to 2014, three scientific experiments, including TIPEX-III, </w:t>
      </w:r>
      <w:r w:rsidR="0088194C">
        <w:rPr>
          <w:rFonts w:eastAsia="SimSun" w:hint="eastAsia"/>
          <w:lang w:eastAsia="zh-CN"/>
        </w:rPr>
        <w:t>promoted</w:t>
      </w:r>
      <w:r w:rsidRPr="00C3492A">
        <w:t xml:space="preserve"> </w:t>
      </w:r>
      <w:r w:rsidR="0088194C">
        <w:rPr>
          <w:rFonts w:eastAsia="SimSun" w:hint="eastAsia"/>
          <w:lang w:eastAsia="zh-CN"/>
        </w:rPr>
        <w:t xml:space="preserve">the </w:t>
      </w:r>
      <w:r w:rsidRPr="00C3492A">
        <w:t>understanding of the cloud processes</w:t>
      </w:r>
      <w:r w:rsidR="0088194C">
        <w:rPr>
          <w:rFonts w:eastAsia="SimSun" w:hint="eastAsia"/>
          <w:lang w:eastAsia="zh-CN"/>
        </w:rPr>
        <w:t xml:space="preserve"> on TP</w:t>
      </w:r>
      <w:r w:rsidRPr="00C3492A">
        <w:t xml:space="preserve"> </w:t>
      </w:r>
      <w:r w:rsidRPr="00C3492A">
        <w:fldChar w:fldCharType="begin"/>
      </w:r>
      <w:r w:rsidR="001345CF">
        <w:instrText xml:space="preserve"> ADDIN ZOTERO_ITEM CSL_CITATION {"citationID":"d7PzL3w7","properties":{"formattedCitation":"(Y. Fu et al., 2020; L. Liu et al., 2015; Zhao et al., 2018, 2019)","plainCitation":"(Y. Fu et al., 2020; L. Liu et al., 2015; Zhao et al., 2018, 2019)","noteIndex":0},"citationItems":[{"id":305,"uris":["http://zotero.org/users/7904379/items/6WY3XTV3"],"itemData":{"id":305,"type":"article-journal","container-title":"Journal of Meteorological Research","DOI":"10.1007/s13351-019-8602-3","ISSN":"2095-6037, 2198-0934","issue":"3","journalAbbreviation":"J Meteorol Res","language":"en","page":"375-399","source":"DOI.org (Crossref)","title":"The Tibetan Plateau Surface-Atmosphere Coupling System and Its Weather and Climate Effects: The Third Tibetan Plateau Atmospheric Science Experiment","title-short":"The Tibetan Plateau Surface-Atmosphere Coupling System and Its Weather and Climate Effects","URL":"http://link.springer.com/10.1007/s13351-019-8602-3","volume":"33","author":[{"family":"Zhao","given":"Ping"},{"family":"Li","given":"Yueqing"},{"family":"Guo","given":"Xueliang"},{"family":"Xu","given":"Xiangde"},{"family":"Liu","given":"Yimin"},{"family":"Tang","given":"Shihao"},{"family":"Xiao","given":"Wenming"},{"family":"Shi","given":"Chunxiang"},{"family":"Ma","given":"Yaoming"},{"family":"Yu","given":"Xing"},{"family":"Liu","given":"Huizhi"},{"family":"Jia","given":"La"},{"family":"Chen","given":"Yun"},{"family":"Liu","given":"Yanju"},{"family":"Li","given":"Jian"},{"family":"Luo","given":"Dabiao"},{"family":"Cao","given":"Yunchang"},{"family":"Zheng","given":"Xiangdong"},{"family":"Chen","given":"Junming"},{"family":"Xiao","given":"An"},{"family":"Yuan","given":"Fang"},{"family":"Chen","given":"Donghui"},{"family":"Pang","given":"Yang"},{"family":"Hu","given":"Zhiqun"},{"family":"Zhang","given":"Shengjun"},{"family":"Dong","given":"Lixin"},{"family":"Hu","given":"Juyang"},{"family":"Han","given":"Shuai"},{"family":"Zhou","given":"Xiuji"}],"accessed":{"date-parts":[["2021",4,16]]},"issued":{"date-parts":[["2019",6]]}}},{"id":48,"uris":["http://zotero.org/users/7904379/items/VVQXIK9C"],"itemData":{"id":48,"type":"article-journal","container-title":"Journal of Meteorological Research","DOI":"10.1007/s13351-015-4208-6","ISSN":"2095-6037, 2198-0934","issue":"4","journalAbbreviation":"J Meteorol Res","language":"en","page":"546-561","source":"DOI.org (Crossref)","title":"Comprehensive radar observations of clouds and precipitation over the Tibetan Plateau and preliminary analysis of cloud properties","URL":"http://link.springer.com/10.1007/s13351-015-4208-6","volume":"29","author":[{"family":"Liu","given":"Liping"},{"family":"Zheng","given":"Jiafeng"},{"family":"Ruan","given":"Zheng"},{"family":"Cui","given":"Zhehu"},{"family":"Hu","given":"Zhiqun"},{"family":"Wu","given":"Songhua"},{"family":"Dai","given":"Guangyao"},{"family":"Wu","given":"Yahao"}],"accessed":{"date-parts":[["2021",3,25]]},"issued":{"date-parts":[["2015",8]]}}},{"id":298,"uris":["http://zotero.org/users/7904379/items/558PUX3B"],"itemData":{"id":298,"type":"article-journal","abstract":"&lt;section class=\"abstract\"&gt;&lt;h2 class=\"abstractTitle text-title my-1\" id=\"d4001e2\"&gt;Abstract&lt;/h2&gt;&lt;p&gt;This paper presents the background, scientific objectives, experimental design, and preliminary achievements of the Third Tibetan Plateau (TP) Atmospheric Scientific Experiment (TIPEX-III) for 8–10 years. It began in 2013 and has expanded plateau-scale observation networks by adding observation stations in data-scarce areas; executed integrated observation missions for the land surface, planetary boundary layer, cloud–precipitation, and troposphere–stratosphere exchange processes by coordinating ground-based, air-based, and satellite facilities; and achieved noticeable progress in data applications. A new estimation gives a smaller bulk transfer coefficient of surface sensible heat over the TP, which results in a reduction of the possibly overestimated heat intensity found in previous studies. Summer cloud–precipitation microphysical characteristics and cloud radiative effects over the TP are distinguished from those over the downstream plains. Warm rain processes play important roles in the development of cloud and precipitation over the TP. The lower-tropospheric ozone maximum over the northeastern TP is attributed to the regional photochemistry and long-range ozone transports, and the heterogeneous chemical processes of depleting ozone near the tropopause might not be a dominant mechanism for the summer upper-tropospheric–lower-stratospheric ozone valley over the southeastern TP. The TP thermodynamic function not only affects the local atmospheric water maintenance and the downstream precipitation and haze events but also modifies extratropical atmospheric teleconnections like the Asia–Pacific Oscillation, subtropical anticyclones over the North Pacific and Atlantic, and temperature and precipitation over Africa, Asia, and North America. These findings provide new insights into understanding land–atmosphere coupled processes over the TP and their effects, improving model parameterization schemes, and enhancing weather and climate forecast skills.&lt;/p&gt;&lt;/section&gt;","container-title":"Bulletin of the American Meteorological Society","DOI":"10.1175/BAMS-D-16-0050.1","ISSN":"0003-0007, 1520-0477","issue":"4","language":"EN","note":"publisher: American Meteorological Society\nsection: Bulletin of the American Meteorological Society","page":"757-776","source":"journals.ametsoc.org","title":"The Third Atmospheric Scientific Experiment for Understanding the Earth–Atmosphere Coupled System over the Tibetan Plateau and Its Effects","URL":"https://journals.ametsoc.org/view/journals/bams/99/4/bams-d-16-0050.1.xml","volume":"99","author":[{"family":"Zhao","given":"Ping"},{"family":"Xu","given":"Xiangde"},{"family":"Chen","given":"Fei"},{"family":"Guo","given":"Xueliang"},{"family":"Zheng","given":"Xiangdong"},{"family":"Liu","given":"Liping"},{"family":"Hong","given":"Yang"},{"family":"Li","given":"Yueqing"},{"family":"La","given":"Zuo"},{"family":"Peng","given":"Hao"},{"family":"Zhong","given":"Linzhi"},{"family":"Ma","given":"Yaoming"},{"family":"Tang","given":"Shihao"},{"family":"Liu","given":"Yimin"},{"family":"Liu","given":"Huizhi"},{"family":"Li","given":"Yaohui"},{"family":"Zhang","given":"Qiang"},{"family":"Hu","given":"Zeyong"},{"family":"Sun","given":"Jihua"},{"family":"Zhang","given":"Shengjun"},{"family":"Dong","given":"Lixin"},{"family":"Zhang","given":"Hezhen"},{"family":"Zhao","given":"Yang"},{"family":"Yan","given":"Xiaolu"},{"family":"Xiao","given":"An"},{"family":"Wan","given":"Wei"},{"family":"Liu","given":"Yu"},{"family":"Chen","given":"Junming"},{"family":"Liu","given":"Ge"},{"family":"Zhaxi","given":"Yangzong"},{"family":"Zhou","given":"Xiuji"}],"accessed":{"date-parts":[["2021",4,16]]},"issued":{"date-parts":[["2018",4,1]]}}},{"id":"j94seLCz/LtPpTmP7","uris":["http://zotero.org/users/local/ohjiqQLR/items/2VKRFQUM"],"itemData":{"id":26,"type":"article-journal","abstract":"Abstract\n            Correct understanding of the land-surface processes and cloud-precipitation processes in the Tibetan Plateau (TP) is an important prerequisite for the study and forecast of the downstream activities of weather systems and one of the key points for understanding the global atmospheric movement. In order to show the achievements that have been made, this paper reviews the progress on the observations for the atmospheric boundary layer, land-surface heat fluxes, cloud-precipitation distributions and vertical structures by using ground- and space-based multiplatform, multisensor instruments and the effect of the cloud system in the TP on the downstream weather. The results show that the form drag related to the topography, land–atmosphere momentum and scalar fluxes is an important part of the parameterization process. The sensible heat flux decreased especially in the central and northern TP caused by the decrease in wind speeds and the differences in the ground-air temperatures. Observations show that the cloud and precipitation over the TP have a strong diurnal variation. Studies also show the compressed-air column in the troposphere by the higher-altitude terrain of the TP makes particles inside clouds vary at a shorter distance in the vertical direction than those in the non-plateau area so that precipitation intensity over the TP is usually small with short duration, and the vertical structure of the convective precipitation over the TP is obviously different from that in other regions. In addition, the influence of the TP on severe weather do</w:instrText>
      </w:r>
      <w:r w:rsidR="001345CF" w:rsidRPr="001345CF">
        <w:rPr>
          <w:lang w:val="fr-FR"/>
        </w:rPr>
        <w:instrText xml:space="preserve">wnstream is preliminarily understood from the mechanism. It is necessary to use model simulations and observation techniques to reveal the difference between cloud precipitation in the TP and non-plateau areas in order to understand the cloud microphysical parameters over the TP and the processes of the land boundary layer affecting cloud, precipitation and weather in the downstream regions.","container-title":"National Science Review","DOI":"10.1093/nsr/nwz226","ISSN":"2095-5138, 2053-714X","issue":"3","language":"en","page":"500-515","source":"DOI.org (Crossref)","title":"Land-surface processes and summer-cloud-precipitation characteristics in the Tibetan Plateau and their effects on downstream weather: a review and perspective","title-short":"Land-surface processes and summer-cloud-precipitation characteristics in the Tibetan Plateau and their effects on downstream weather","volume":"7","author":[{"family":"Fu","given":"Yunfei"},{"family":"Ma","given":"Yaoming"},{"family":"Zhong","given":"Lei"},{"family":"Yang","given":"Yuanjian"},{"family":"Guo","given":"Xueliang"},{"family":"Wang","given":"Chenghai"},{"family":"Xu","given":"Xiaofeng"},{"family":"Yang","given":"Kun"},{"family":"Xu","given":"Xiangde"},{"family":"Liu","given":"Liping"},{"family":"Fan","given":"Guangzhou"},{"family":"Li","given":"Yueqing"},{"family":"Wang","given":"Donghai"}],"issued":{"date-parts":[["2020",3,1]]}}}],"schema":"https://github.com/citation-style-language/schema/raw/master/csl-citation.json"} </w:instrText>
      </w:r>
      <w:r w:rsidRPr="00C3492A">
        <w:fldChar w:fldCharType="separate"/>
      </w:r>
      <w:r w:rsidR="001345CF" w:rsidRPr="001345CF">
        <w:rPr>
          <w:lang w:val="fr-FR"/>
        </w:rPr>
        <w:t>(Y. Fu et al., 2020; L. Liu et al., 2015; Zhao et al., 2018, 2019)</w:t>
      </w:r>
      <w:r w:rsidRPr="00C3492A">
        <w:fldChar w:fldCharType="end"/>
      </w:r>
      <w:r w:rsidRPr="00E1325A">
        <w:rPr>
          <w:lang w:val="fr-FR"/>
        </w:rPr>
        <w:t xml:space="preserve">. </w:t>
      </w:r>
      <w:r w:rsidRPr="00C3492A">
        <w:t xml:space="preserve">However, the pursuit of in-depth knowledge of water and energy cycles on TP still raises questions related to multi-scale </w:t>
      </w:r>
      <w:r w:rsidR="003625BA">
        <w:rPr>
          <w:rFonts w:eastAsia="SimSun" w:hint="eastAsia"/>
          <w:lang w:eastAsia="zh-CN"/>
        </w:rPr>
        <w:t>CC</w:t>
      </w:r>
      <w:r w:rsidRPr="00C3492A">
        <w:t xml:space="preserve"> interactions. Three decades ago, </w:t>
      </w:r>
      <w:bookmarkStart w:id="7" w:name="_Hlk63978376"/>
      <w:r w:rsidRPr="00C3492A">
        <w:fldChar w:fldCharType="begin"/>
      </w:r>
      <w:r w:rsidR="00EC3304">
        <w:instrText xml:space="preserve"> ADDIN ZOTERO_ITEM CSL_CITATION {"citationID":"ac4opdvgpp","properties":{"formattedCitation":"(Tingyang &amp; Reiter, 1990)","plainCitation":"(Tingyang &amp; Reiter, 1990)","dontUpdate":true,"noteIndex":0},"citationItems":[{"id":23,"uris":["http://zotero.org/users/7904379/items/LJYZ86RH"],"itemData":{"id":23,"type":"article-journal","container-title":"Advances in Atmospheric Sciences","DOI":"10.1007/BF02919171","ISSN":"0256-1530, 1861-9533","issue":"1","journalAbbreviation":"Adv. Atmos. Sci.","language":"en","page":"87-97","source":"DOI.org (Crossref)","title":"Some characteristics of cumulus convection over the Tibetan Plateau","URL":"http://link.springer.com/10.1007/BF02919171","volume":"7","author":[{"family":"Tingyang","given":"Duan"},{"family":"Reiter","given":"Elmar R."}],"accessed":{"date-parts":[["2021",3,25]]},"issued":{"date-parts":[["1990",2]]}}}],"schema":"https://github.com/citation-style-language/schema/raw/master/csl-citation.json"} </w:instrText>
      </w:r>
      <w:r w:rsidRPr="00C3492A">
        <w:fldChar w:fldCharType="separate"/>
      </w:r>
      <w:r w:rsidR="00A44B66" w:rsidRPr="00A44B66">
        <w:t xml:space="preserve">Tingyang &amp; Reiter, </w:t>
      </w:r>
      <w:r w:rsidR="00CC154F">
        <w:t>(</w:t>
      </w:r>
      <w:r w:rsidR="00A44B66" w:rsidRPr="00A44B66">
        <w:t>1990)</w:t>
      </w:r>
      <w:r w:rsidRPr="00C3492A">
        <w:fldChar w:fldCharType="end"/>
      </w:r>
      <w:r w:rsidRPr="00C3492A">
        <w:t xml:space="preserve"> </w:t>
      </w:r>
      <w:bookmarkEnd w:id="7"/>
      <w:r w:rsidRPr="00C3492A">
        <w:t xml:space="preserve">found that the condensation rate of water </w:t>
      </w:r>
      <w:r w:rsidR="00F677EB">
        <w:t xml:space="preserve"> </w:t>
      </w:r>
      <w:r w:rsidR="00252E15">
        <w:t>vapor</w:t>
      </w:r>
      <w:r w:rsidRPr="00C3492A">
        <w:t xml:space="preserve"> in clouds, the clouds’ liquid water content (LWC), and the precipitation efficiency in clouds are lower than </w:t>
      </w:r>
      <w:r w:rsidR="0088194C">
        <w:rPr>
          <w:rFonts w:eastAsia="SimSun" w:hint="eastAsia"/>
          <w:lang w:eastAsia="zh-CN"/>
        </w:rPr>
        <w:t xml:space="preserve">those </w:t>
      </w:r>
      <w:r w:rsidRPr="00C3492A">
        <w:t>in surrounding regions</w:t>
      </w:r>
      <w:r w:rsidR="0088194C">
        <w:rPr>
          <w:rFonts w:eastAsia="SimSun" w:hint="eastAsia"/>
          <w:lang w:eastAsia="zh-CN"/>
        </w:rPr>
        <w:t xml:space="preserve"> </w:t>
      </w:r>
      <w:r w:rsidR="0088194C" w:rsidRPr="00C3492A">
        <w:t>through obse</w:t>
      </w:r>
      <w:r w:rsidR="0088194C">
        <w:t xml:space="preserve">rvation analysis and </w:t>
      </w:r>
      <w:r w:rsidR="0088194C" w:rsidRPr="00C3492A">
        <w:t>model simulation</w:t>
      </w:r>
      <w:r w:rsidR="0088194C">
        <w:rPr>
          <w:rFonts w:eastAsia="SimSun" w:hint="eastAsia"/>
          <w:lang w:eastAsia="zh-CN"/>
        </w:rPr>
        <w:t>s</w:t>
      </w:r>
      <w:r w:rsidRPr="00C3492A">
        <w:t xml:space="preserve">. </w:t>
      </w:r>
      <w:bookmarkStart w:id="8" w:name="_Hlk63467551"/>
      <w:r w:rsidRPr="00C3492A">
        <w:t xml:space="preserve">Based on </w:t>
      </w:r>
      <w:bookmarkEnd w:id="8"/>
      <w:r w:rsidRPr="00C3492A">
        <w:t xml:space="preserve">CloudSat and Cloud-Aerosol Lidar and Infrared Pathfinder Satellite Observations (CALIPSO), </w:t>
      </w:r>
      <w:r w:rsidRPr="00C3492A">
        <w:fldChar w:fldCharType="begin"/>
      </w:r>
      <w:r w:rsidR="00A44B66">
        <w:instrText xml:space="preserve"> ADDIN ZOTERO_ITEM CSL_CITATION {"citationID":"a245pan7kub","properties":{"formattedCitation":"(Luo et al., 2011)","plainCitation":"(Luo et al., 2011)","noteIndex":0},"citationItems":[{"id":51,"uris":["http://zotero.org/users/7904379/items/K8GVZUFP"],"itemData":{"id":51,"type":"article-journal","abstract":"Abstract\n            Deep convection in the Tibetan Plateau–southern Asian monsoon region (TP–SAMR) is analyzed using CloudSat and Cloud–Aerosol Lidar and Infrared Pathfinder Satellite Observations (CALIPSO) data for the boreal summer season (June–August) from 2006 to 2009. Three subregions are defined—the TP, the southern slope of the plateau (PSS), and the SAMR—and deep convection properties (such as occurrence frequency, internal vertical structure, system size, and local environment) are compared among these subregions. To cast them in a broader context, four additional regions that bear some similarity to the TP–SAMR are also discussed: East Asia (EA), tropical northwestern Pacific (NWP), and western and eastern North America (WNA and ENA, respectively).\n            The principal findings are as follows: 1) Compared to the other two subregions of the TP–SAMR, deep convection over the TP is shallower, less frequent, and embedded in smaller-size convection systems, but the cloud tops are more densely packed. These characteristics of deep convection over the TP are closely related to the unique local environment, namely, a significantly lower level of neutral buoyancy (LNB) and much drier atmosphere. 2) In a broader context in which all seven regions are brought together, deep convection in the two tropical regions (NWP and SAMR; mostly over ocean) is similar in many regards. A similar conclusion can be drawn among the four subtropical continental regions (TP, EA, WNA, and ENA). However, tropical oceanic and subtropical land regions present some significant contrasts: deep convection in the latter region occurs less frequently, has lower cloud tops but comparable or slightly higher tops of large radar echo (e.g., 0 and 10 dBZ), and is embedded in smaller systems. The cloud tops of the subtropical land regions are generally more densely packed. Hence, the difference between the TP and SAMR is more of a general contrast between subtropical land regions and tropical oceanic regions during the boreal summer. 3) Deep convection over the PSS possesses some uniqueness of its own because of the distinctive terrain (slopes) and moist low-level monsoon flow. 4) Results from a comparison between the daytime (1:30 p.m.) and nighttime (1:30 a.m.) overpasses are largely consistent with researchers’ general understanding of the diurnal variation of tropical and subtropical deep convection.","container-title":"Journal of Climate","DOI":"10.1175/2010JCLI4032.1","ISSN":"0894-8755, 1520-0442","issue":"8","language":"en","page":"2164-2177","source":"DOI.org (Crossref)","title":"Intercomparison of Deep Convection over the Tibetan Plateau–Asian Monsoon Region and Subtropical North America in Boreal Summer Using CloudSat/CALIPSO Data","URL":"http://journals.ametsoc.org/doi/10.1175/2010JCLI4032.1","volume":"24","author":[{"family":"Luo","given":"Yali"},{"family":"Zhang","given":"Renhe"},{"family":"Qian","given":"Weimiao"},{"family":"Luo","given":"Zhengzhao"},{"family":"Hu","given":"Xin"}],"accessed":{"date-parts":[["2021",3,25]]},"issued":{"date-parts":[["2011",4,15]]}}}],"schema":"https://github.com/citation-style-language/schema/raw/master/csl-citation.json"} </w:instrText>
      </w:r>
      <w:r w:rsidRPr="00C3492A">
        <w:fldChar w:fldCharType="separate"/>
      </w:r>
      <w:r w:rsidR="00EC3304" w:rsidRPr="00EC3304">
        <w:t>(Luo et al., 2011)</w:t>
      </w:r>
      <w:r w:rsidRPr="00C3492A">
        <w:fldChar w:fldCharType="end"/>
      </w:r>
      <w:r w:rsidRPr="00C3492A">
        <w:t xml:space="preserve"> further showed that C</w:t>
      </w:r>
      <w:r w:rsidR="003625BA">
        <w:rPr>
          <w:rFonts w:eastAsia="SimSun" w:hint="eastAsia"/>
          <w:lang w:eastAsia="zh-CN"/>
        </w:rPr>
        <w:t>C</w:t>
      </w:r>
      <w:r w:rsidRPr="00C3492A">
        <w:t xml:space="preserve"> convection</w:t>
      </w:r>
      <w:r w:rsidR="00D66DAD">
        <w:rPr>
          <w:rFonts w:eastAsia="SimSun" w:hint="eastAsia"/>
          <w:lang w:eastAsia="zh-CN"/>
        </w:rPr>
        <w:t>s</w:t>
      </w:r>
      <w:r w:rsidRPr="00C3492A">
        <w:t xml:space="preserve"> </w:t>
      </w:r>
      <w:r w:rsidR="00FC5421">
        <w:rPr>
          <w:rFonts w:eastAsia="SimSun"/>
          <w:lang w:eastAsia="zh-CN"/>
        </w:rPr>
        <w:t>were</w:t>
      </w:r>
      <w:r w:rsidR="00FC5421" w:rsidRPr="00C3492A">
        <w:t xml:space="preserve"> shallo</w:t>
      </w:r>
      <w:r w:rsidR="00FC5421">
        <w:rPr>
          <w:rFonts w:eastAsia="SimSun"/>
          <w:lang w:eastAsia="zh-CN"/>
        </w:rPr>
        <w:t>wer</w:t>
      </w:r>
      <w:r w:rsidRPr="00C3492A">
        <w:t xml:space="preserve"> over TP</w:t>
      </w:r>
      <w:r w:rsidR="00D66DAD">
        <w:rPr>
          <w:rFonts w:eastAsia="SimSun" w:hint="eastAsia"/>
          <w:lang w:eastAsia="zh-CN"/>
        </w:rPr>
        <w:t xml:space="preserve"> than those over </w:t>
      </w:r>
      <w:r w:rsidR="00252E15">
        <w:rPr>
          <w:rFonts w:eastAsia="SimSun"/>
          <w:lang w:eastAsia="zh-CN"/>
        </w:rPr>
        <w:t xml:space="preserve">the </w:t>
      </w:r>
      <w:r w:rsidR="00D66DAD">
        <w:rPr>
          <w:rFonts w:eastAsia="SimSun" w:hint="eastAsia"/>
          <w:lang w:eastAsia="zh-CN"/>
        </w:rPr>
        <w:t xml:space="preserve">other two subregions of the </w:t>
      </w:r>
      <w:r w:rsidR="00D66DAD" w:rsidRPr="00D66DAD">
        <w:rPr>
          <w:rFonts w:eastAsia="SimSun"/>
          <w:lang w:eastAsia="zh-CN"/>
        </w:rPr>
        <w:t>T</w:t>
      </w:r>
      <w:r w:rsidR="001C2655">
        <w:rPr>
          <w:rFonts w:eastAsia="SimSun"/>
          <w:lang w:eastAsia="zh-CN"/>
        </w:rPr>
        <w:t>P</w:t>
      </w:r>
      <w:r w:rsidR="00D66DAD" w:rsidRPr="00D66DAD">
        <w:rPr>
          <w:rFonts w:eastAsia="SimSun"/>
          <w:lang w:eastAsia="zh-CN"/>
        </w:rPr>
        <w:t>–</w:t>
      </w:r>
      <w:r w:rsidR="001C2655">
        <w:rPr>
          <w:rFonts w:eastAsia="SimSun"/>
          <w:lang w:eastAsia="zh-CN"/>
        </w:rPr>
        <w:t>S</w:t>
      </w:r>
      <w:r w:rsidR="00D66DAD" w:rsidRPr="00D66DAD">
        <w:rPr>
          <w:rFonts w:eastAsia="SimSun"/>
          <w:lang w:eastAsia="zh-CN"/>
        </w:rPr>
        <w:t>outh Asian monsoon region</w:t>
      </w:r>
      <w:r w:rsidRPr="00C3492A">
        <w:t xml:space="preserve">. By contrast, the TIPEX-III campaign </w:t>
      </w:r>
      <w:r w:rsidR="001C2655">
        <w:t xml:space="preserve">work </w:t>
      </w:r>
      <w:r w:rsidRPr="00C3492A">
        <w:t xml:space="preserve">revealed that </w:t>
      </w:r>
      <w:r w:rsidR="00695277">
        <w:t xml:space="preserve">most </w:t>
      </w:r>
      <w:r w:rsidRPr="00C3492A">
        <w:t xml:space="preserve">congestus </w:t>
      </w:r>
      <w:r w:rsidR="003625BA">
        <w:rPr>
          <w:rFonts w:eastAsia="SimSun" w:hint="eastAsia"/>
          <w:lang w:eastAsia="zh-CN"/>
        </w:rPr>
        <w:t>CC</w:t>
      </w:r>
      <w:r w:rsidRPr="00C3492A">
        <w:t>s develop</w:t>
      </w:r>
      <w:r w:rsidR="00D66DAD">
        <w:rPr>
          <w:rFonts w:eastAsia="SimSun" w:hint="eastAsia"/>
          <w:lang w:eastAsia="zh-CN"/>
        </w:rPr>
        <w:t>ed</w:t>
      </w:r>
      <w:r w:rsidRPr="00C3492A">
        <w:t xml:space="preserve"> on TP, preferably in the afternoon, </w:t>
      </w:r>
      <w:r w:rsidR="00695277">
        <w:t xml:space="preserve">some of which </w:t>
      </w:r>
      <w:r w:rsidRPr="00C3492A">
        <w:t>penetrate</w:t>
      </w:r>
      <w:r w:rsidR="00D66DAD">
        <w:rPr>
          <w:rFonts w:eastAsia="SimSun" w:hint="eastAsia"/>
          <w:lang w:eastAsia="zh-CN"/>
        </w:rPr>
        <w:t>d</w:t>
      </w:r>
      <w:r w:rsidRPr="00C3492A">
        <w:t xml:space="preserve"> vertically as high as 16.5 km AGL </w:t>
      </w:r>
      <w:r w:rsidRPr="00C3492A">
        <w:fldChar w:fldCharType="begin"/>
      </w:r>
      <w:r w:rsidR="00A44B66">
        <w:instrText xml:space="preserve"> ADDIN ZOTERO_ITEM CSL_CITATION {"citationID":"a12ku01foac","properties":{"formattedCitation":"(L. Liu et al., 2015; Zhao et al., 2018)","plainCitation":"(L. Liu et al., 2015; Zhao et al., 2018)","noteIndex":0},"citationItems":[{"id":48,"uris":["http://zotero.org/users/7904379/items/VVQXIK9C"],"itemData":{"id":48,"type":"article-journal","container-title":"Journal of Meteorological Research","DOI":"10.1007/s13351-015-4208-6","ISSN":"2095-6037, 2198-0934","issue":"4","journalAbbreviation":"J Meteorol Res","language":"en","page":"546-561","source":"DOI.org (Crossref)","title":"Comprehensive radar observations of clouds and precipitation over the Tibetan Plateau and preliminary analysis of cloud properties","URL":"http://link.springer.com/10.1007/s13351-015-4208-6","volume":"29","author":[{"family":"Liu","given":"Liping"},{"family":"Zheng","given":"Jiafeng"},{"family":"Ruan","given":"Zheng"},{"family":"Cui","given":"Zhehu"},{"family":"Hu","given":"Zhiqun"},{"family":"Wu","given":"Songhua"},{"family":"Dai","given":"Guangyao"},{"family":"Wu","given":"Yahao"}],"accessed":{"date-parts":[["2021",3,25]]},"issued":{"date-parts":[["2015",8]]}}},{"id":298,"uris":["http://zotero.org/users/7904379/items/558PUX3B"],"itemData":{"id":298,"type":"article-journal","abstract":"&lt;section class=\"abstract\"&gt;&lt;h2 class=\"abstractTitle text-title my-1\" id=\"d4001e2\"&gt;Abstract&lt;/h2&gt;&lt;p&gt;This paper presents the background, scientific objectives, experimental design, and preliminary achievements of the Third Tibetan Plateau (TP) Atmospheric Scientific Experiment (TIPEX-III) for 8–10 years. It began in 2013 and has expanded plateau-scale observation networks by adding observation stations in data-scarce areas; executed integrated observation missions for the land surface, planetary boundary layer, cloud–precipitation, and troposphere–stratosphere exchange processes by coordinating ground-based, air-based, and satellite facilities; and achieved noticeable progress in data applications. A new estimation gives a smaller bulk transfer coefficient of surface sensible heat over the TP, which results in a reduction of the possibly overestimated heat intensity found in previous studies. Summer cloud–precipitation microphysical characteristics and cloud radiative effects over the TP are distinguished from those over the downstream plains. Warm rain processes play important roles in the development of cloud and precipitation over the TP. The lower-tropospheric ozone maximum over the northeastern TP is attributed to the regional photochemistry and long-range ozone transports, and the heterogeneous chemical processes of depleting ozone near the tropopause might not be a dominant mechanism for the summer upper-tropospheric–lower-stratospheric ozone valley over the southeastern TP. The TP thermodynamic function not only affects the local atmospheric water maintenance and the downstream precipitation and haze events but also modifies extratropical atmospheric teleconnections like the Asia–Pacific Oscillation, subtropical anticyclones over the North Pacific and Atlantic, and temperature and precipitation over Africa, Asia, and North America. These findings provide new insights into understanding land–atmosphere coupled processes over the TP and their effects, improving model parameterization schemes, and enhancing weather and climate forecast skills.&lt;/p&gt;&lt;/section&gt;","container-title":"Bulletin of the American Meteorological Society","DOI":"10.1175/BAMS-D-16-0050.1","ISSN":"0003-0007, 1520-0477","issue":"4","language":"EN","note":"publisher: American Meteorological Society\nsection: Bulletin of the American Meteorological Society","page":"757-776","source":"journals.ametsoc.org","title":"The Third Atmospheric Scientific Experiment for Understanding the Earth–Atmosphere Coupled System over the Tibetan Plateau and Its Effects","URL":"https://journals.ametsoc.org/view/journals/bams/99/4/bams-d-16-0050.1.xml","volume":"99","author":[{"family":"Zhao","given":"Ping"},{"family":"Xu","given":"Xiangde"},{"family":"Chen","given":"Fei"},{"family":"Guo","given":"Xueliang"},{"family":"Zheng","given":"Xiangdong"},{"family":"Liu","given":"Liping"},{"family":"Hong","given":"Yang"},{"family":"Li","given":"Yueqing"},{"family":"La","given":"Zuo"},{"family":"Peng","given":"Hao"},{"family":"Zhong","given":"Linzhi"},{"family":"Ma","given":"Yaoming"},{"family":"Tang","given":"Shihao"},{"family":"Liu","given":"Yimin"},{"family":"Liu","given":"Huizhi"},{"family":"Li","given":"Yaohui"},{"family":"Zhang","given":"Qiang"},{"family":"Hu","given":"Zeyong"},{"family":"Sun","given":"Jihua"},{"family":"Zhang","given":"Shengjun"},{"family":"Dong","given":"Lixin"},{"family":"Zhang","given":"Hezhen"},{"family":"Zhao","given":"Yang"},{"family":"Yan","given":"Xiaolu"},{"family":"Xiao","given":"An"},{"family":"Wan","given":"Wei"},{"family":"Liu","given":"Yu"},{"family":"Chen","given":"Junming"},{"family":"Liu","given":"Ge"},{"family":"Zhaxi","given":"Yangzong"},{"family":"Zhou","given":"Xiuji"}],"accessed":{"date-parts":[["2021",4,16]]},"issued":{"date-parts":[["2018",4,1]]}}}],"schema":"https://github.com/citation-style-language/schema/raw/master/csl-citation.json"} </w:instrText>
      </w:r>
      <w:r w:rsidRPr="00C3492A">
        <w:fldChar w:fldCharType="separate"/>
      </w:r>
      <w:r w:rsidR="00EC3304" w:rsidRPr="00EC3304">
        <w:t>(L. Liu et al., 2015; Zhao et al., 2018)</w:t>
      </w:r>
      <w:r w:rsidRPr="00C3492A">
        <w:fldChar w:fldCharType="end"/>
      </w:r>
      <w:r w:rsidRPr="00C3492A">
        <w:t xml:space="preserve">. </w:t>
      </w:r>
    </w:p>
    <w:p w14:paraId="48C67A2A" w14:textId="62364ED4" w:rsidR="00C3492A" w:rsidRPr="00C3492A" w:rsidRDefault="00C3492A" w:rsidP="00375201">
      <w:pPr>
        <w:pStyle w:val="Text"/>
        <w:ind w:firstLine="540"/>
      </w:pPr>
      <w:r w:rsidRPr="00C3492A">
        <w:t>Most studies mentioned above focused on model simulation</w:t>
      </w:r>
      <w:r w:rsidR="006D7519">
        <w:rPr>
          <w:rFonts w:eastAsia="SimSun" w:hint="eastAsia"/>
          <w:lang w:eastAsia="zh-CN"/>
        </w:rPr>
        <w:t>s</w:t>
      </w:r>
      <w:r w:rsidRPr="00C3492A">
        <w:t xml:space="preserve"> of the large-scale and mesoscale cloud processes on TP </w:t>
      </w:r>
      <w:r w:rsidRPr="00C3492A">
        <w:fldChar w:fldCharType="begin"/>
      </w:r>
      <w:r w:rsidR="00A44B66">
        <w:instrText xml:space="preserve"> ADDIN ZOTERO_ITEM CSL_CITATION {"citationID":"ar2sdcvobd","properties":{"formattedCitation":"(Couvreux et al., 2009; Gao et al., 2016; Larson et al., 1999; Tingyang &amp; Reiter, 1990; K. Yang et al., 2004)","plainCitation":"(Couvreux et al., 2009; Gao et al., 2016; Larson et al., 1999; Tingyang &amp; Reiter, 1990; K. Yang et al., 2004)","noteIndex":0},"citationItems":[{"id":412,"uris":["http://zotero.org/users/7904379/items/V49IQMPC"],"itemData":{"id":412,"type":"article-journal","abstract":"&lt;section class=\"abstract\"&gt;&lt;h2 class=\"abstractTitle text-title my-1\" id=\"d2745e2\"&gt;Abstract&lt;/h2&gt;&lt;p&gt;Mesoscale water vapor heterogeneities in the boundary layer are studied within the context of the International H&lt;sub&gt;2&lt;/sub&gt;O Project (IHOP_2002). A significant portion of the water vapor variability in the IHOP_2002 occurs at the mesoscale, with the spatial pattern and the magnitude of the variability changing from day to day. On 14 June 2002, an atypical mesoscale gradient is observed, which is the reverse of the climatological gradient over this area. The factors causing this water vapor variability are investigated using complementary platforms (e.g., aircraft, satellite, and in situ) and models. The impact of surface flux heterogeneities and atmospheric variability are evaluated separately using a 1D boundary layer model, which uses surface fluxes from the High-Resolution Land Data Assimilation System (HRLDAS) and early-morning atmospheric temperature and moisture profiles from a mesoscale model. This methodology, based on the use of robust modeling components, allows the authors to tackle the question of the nature of the observed mesoscale variability. The impact of horizontal advection is inferred from a careful analysis of available observations. By isolating the individual contributions to mesoscale water vapor variability, it is shown that the observed moisture variability cannot be explained by a single process, but rather involves a combination of different factors: the boundary layer height, which is strongly controlled by the surface buoyancy flux, the surface latent heat flux, the early-morning heterogeneity of the atmosphere, horizontal advection, and the radiative impact of clouds.&lt;/p&gt;&lt;/section&gt;","container-title":"Monthly Weather Review","DOI":"10.1175/2008MWR2367.1","ISSN":"1520-0493, 0027-0644","issue":"1","language":"EN","note":"publisher: American Meteorological Society\nsection: Monthly Weather Review","page":"414-432","source":"journals.ametsoc.org","title":"Nature of the Mesoscale Boundary Layer Height and Water Vapor Variability Observed 14 June 2002 during the IHOP_2002 Campaign","URL":"https://journals.ametsoc.org/view/journals/mwre/137/1/2008mwr2367.1.xml","volume":"137","author":[{"family":"Couvreux","given":"F."},{"family":"Guichard","given":"F."},{"family":"Austin","given":"P. H."},{"family":"Chen","given":"F."}],"accessed":{"date-parts":[["2021",4,24]]},"issued":{"date-parts":[["2009",1,1]]}}},{"id":28,"uris":["http://zotero.org/users/7904379/items/NK2Y3R6C"],"itemData":{"id":28,"type":"article-journal","container-title":"Journal of Geophysical Research: Atmospheres","DOI":"10.1002/2015JD024196","ISSN":"2169897X","issue":"22","journalAbbreviation":"J. Geophys. Res. Atmos.","language":"en","page":"13,735-13,752","source":"DOI.org (Crossref)","title":"A study of cloud microphysics and precipitation over the Tibetan Plateau by radar observations and cloud-resolving model simulations: Cloud Microphysics over Tibetan Plateau","title-short":"A study of cloud microphysics and precipitation over the Tibetan Plateau by radar observations and cloud-resolving model simulations","URL":"http://doi.wiley.com/10.1002/2015JD024196","volume":"121","author":[{"family":"Gao","given":"Wenhua"},{"family":"Sui","given":"Chung-Hsiung"},{"family":"Fan","given":"Jiwen"},{"family":"Hu","given":"Zhiqun"},{"family":"Zhong","given":"Lingzhi"}],"accessed":{"date-parts":[["2021",3,25]]},"issued":{"date-parts":[["2016",11,27]]}}},{"id":41,"uris":["http://zotero.org/users/7904379/items/PJPGZS4Y"],"itemData":{"id":41,"type":"article-journal","abstract":"&lt;section class=\"abstract\"&gt;&lt;h2 class=\"abstractTitle text-title my-1\" id=\"d1747e2\"&gt;Abstract&lt;/h2&gt;&lt;p&gt;The physical mechanisms that affect the tropical sea surface temperature (SST) are investigated using a two-box equilibrium model of the Tropics. One box represents the convecting, warm SST, high humidity region of the Tropics, and the other box represents the subsidence region with low humidity, boundary layer clouds, and cooler SST. The two regions communicate by energy and moisture fluxes that are proportional to the strength of the overturning circulation that couples the two regions. The boundary layer properties in the subsiding region are predicted with a mixing line model. Humidity above the inversion in the subsiding region is predicted from moisture conservation.&lt;/p&gt;&lt;p&gt;The humidity above the inversion in the subsiding region increases rapidly with temperature, but this has less effect on the sensitivity than expected, because the inversion lowers as the humidity above the inversion is increased. Some of the increased greenhouse effect of the free troposphere can be offset by decreased greenhouse effect of the boundary layer. Increasing the area of the warm, convective region increases the SSTs, because of the greenhouse effect of the greater upper-tropospheric water vapor in the convective region. The circulation strength is constrained by radiative cooling in the cold pool. The strength of the circulation decreases with increasing convective area, because the increase in dry static stability overwhelms the increase in cooling rate. Although they have strong individual effects on longwave and shortwave radiation, high clouds in the convective region do not affect the tropical SSTs strongly, because their net radiative forcing at the top of the atmosphere is small. Low clouds in the subsidence region have a strong cooling affect on the tropical SST, because they strongly reduce net radiative heating at the top of the atmosphere. A negative feedback is produced if the low clouds are predicted from the observed relationship between stratus cloud amount and lower-tropospheric stability.&lt;/p&gt;&lt;/section&gt;","container-title":"Journal of Climate","DOI":"10.1175/1520-0442(1999)012&lt;2359:TROCWV&gt;2.0.CO;2","ISSN":"0894-8755, 1520-0442","issue":"8","language":"EN","note":"publisher: American Meteorological Society\nsection: Journal of Climate","page":"2359-2374","source":"journals.ametsoc.org","title":"The Role of Clouds, Water Vapor, Circulation, and Boundary Layer Structure in the Sensitivity of the Tropical Climate","URL":"https://journals.ametsoc.org/view/journals/clim/12/8/1520-0442_1999_012_2359_trocwv_2.0.co_2.xml","volume":"12","author":[{"family":"Larson","given":"Kristin"},{"family":"Hartmann","given":"Dennis L."},{"family":"Klein","given":"Stephen A."}],"accessed":{"date-parts":[["2021",3,25]]},"issued":{"date-parts":[["1999",8,1]]}}},{"id":23,"uris":["http://zotero.org/users/7904379/items/LJYZ86RH"],"itemData":{"id":23,"type":"article-journal","container-title":"Advances in Atmospheric Sciences","DOI":"10.1007/BF02919171","ISSN":"0256-1530, 1861-9533","issue":"1","journa</w:instrText>
      </w:r>
      <w:r w:rsidR="00A44B66" w:rsidRPr="00830EAC">
        <w:rPr>
          <w:lang w:val="fr-FR"/>
        </w:rPr>
        <w:instrText>lAbbreviation":"Adv. Atmos. Sci.","language":"en","page</w:instrText>
      </w:r>
      <w:r w:rsidR="00A44B66" w:rsidRPr="00FC4620">
        <w:rPr>
          <w:lang w:val="fr-FR"/>
        </w:rPr>
        <w:instrText xml:space="preserve">":"87-97","source":"DOI.org (Crossref)","title":"Some characteristics of cumulus convection over the Tibetan Plateau","URL":"http://link.springer.com/10.1007/BF02919171","volume":"7","author":[{"family":"Tingyang","given":"Duan"},{"family":"Reiter","given":"Elmar R."}],"accessed":{"date-parts":[["2021",3,25]]},"issued":{"date-parts":[["1990",2]]}}},{"id":78,"uris":["http://zotero.org/users/7904379/items/I2XCD69C"],"itemData":{"id":78,"type":"article-journal","container-title":"Journal of the Meteorological Society of Japan","DOI":"10.2151/jmsj.82.1777","ISSN":"0026-1165","issue":"6","journalAbbreviation":"JMSJ","language":"en","page":"1777-1792","source":"DOI.org (Crossref)","title":"The Daytime Evolution of the Atmospheric Boundary Layer and Convection over the Tibetan Plateau: Observations and Simulations","title-short":"The Daytime Evolution of the Atmospheric Boundary Layer and Convection over the Tibetan Plateau","URL":"http://joi.jlc.jst.go.jp/JST.JSTAGE/jmsj/82.1777?from=CrossRef","volume":"82","author":[{"family":"Yang","given":"Kun"},{"family":"Koike","given":"Toshio"},{"family":"Fujii","given":"Hideyuki"},{"family":"Tamura","given":"Toru"},{"family":"Xu","given":"Xiangde"},{"family":"Bian","given":"Lingen"},{"family":"Zhou","given":"Mingyu"}],"accessed":{"date-parts":[["2021",3,25]]},"issued":{"date-parts":[["2004"]]}}}],"schema":"https://github.com/citation-style-language/schema/raw/master/csl-citation.json"} </w:instrText>
      </w:r>
      <w:r w:rsidRPr="00C3492A">
        <w:fldChar w:fldCharType="separate"/>
      </w:r>
      <w:r w:rsidR="00EC3304" w:rsidRPr="00D07B1D">
        <w:rPr>
          <w:lang w:val="fr-FR"/>
        </w:rPr>
        <w:t>(Couvreux et al., 2009; Gao et al., 2016; Larson et al., 1999; Tingyang &amp; Reiter, 1990; K. Yang et al., 2004)</w:t>
      </w:r>
      <w:r w:rsidRPr="00C3492A">
        <w:fldChar w:fldCharType="end"/>
      </w:r>
      <w:r w:rsidRPr="00FC4620">
        <w:rPr>
          <w:lang w:val="fr-FR"/>
        </w:rPr>
        <w:t xml:space="preserve">. </w:t>
      </w:r>
      <w:r w:rsidRPr="00C3492A">
        <w:t xml:space="preserve">In line with this, </w:t>
      </w:r>
      <w:bookmarkStart w:id="9" w:name="_Hlk64498217"/>
      <w:r w:rsidRPr="00C3492A">
        <w:fldChar w:fldCharType="begin"/>
      </w:r>
      <w:r w:rsidR="00EC3304">
        <w:instrText xml:space="preserve"> ADDIN ZOTERO_ITEM CSL_CITATION {"citationID":"a1ov6emg6cf","properties":{"formattedCitation":"(Y. Fu et al., 2020b)","plainCitation":"(Y. Fu et al., 2020b)","dontUpdate":true,"noteIndex":0},"citationItems":[{"id":"j94seLCz/LtPpTmP7","uris":["http://zotero.org/users/local/ohjiqQLR/items/2VKRFQUM"],"itemData":{"id":26,"type":"article-journal","abstract":"Abstract\n            Correct understanding of the land-surface processes and cloud-precipitation processes in the Tibetan Plateau (TP) is an important prerequisite for the study and forecast of the downstream activities of weather systems and one of the key points for understanding the global atmospheric movement. In order to show the achievements that have been made, this paper reviews the progress on the observations for the atmospheric boundary layer, land-surface heat fluxes, cloud-precipitation distributions and vertical structures by using ground- and space-based multiplatform, multisensor instruments and the effect of the cloud system in the TP on the downstream weather. The results show that the form drag related to the topography, land–atmosphere momentum and scalar fluxes is an important part of the parameterization process. The sensible heat flux decreased especially in the central and northern TP caused by the decrease in wind speeds and the differences in the ground-air temperatures. Observations show that the cloud and precipitation over the TP have a strong diurnal variation. Studies also show the compressed-air column in the troposphere by the higher-altitude terrain of the TP makes particles inside clouds vary at a shorter distance in the vertical direction than those in the non-plateau area so that precipitation intensity over the TP is usually small with short duration, and the vertical structure of the convective precipitation over the TP is obviously different from that in other regions. In addition, the influence of the TP on severe weather downstream is preliminarily understood from the mechanism. It is necessary to use model simulations and observation techniques to reveal the difference between cloud precipitation in the TP and non-plateau areas in order to understand the cloud microphysical parameters over the TP and the processes of the land boundary layer affecting cloud, precipitation and weather in the downstream regions.","container-title":"National Science Review","DOI":"10.1093/nsr/nwz226","ISSN":"2095-5138, 2053-714X","issue":"3","language":"en","page":"500-515","source":"DOI.org (Crossref)","title":"Land-surface processes and summer-cloud-precipitation characteristics in the Tibetan Plateau and their effects on downstream weather: a review and perspective","title-short":"Land-surface processes and summer-cloud-precipitation characteristics in the Tibetan Plateau and their effects on downstream weather","volume":"7","author":[{"family":"Fu","given":"Yunfei"},{"family":"Ma","given":"Yaoming"},{"family":"Zhong","given":"Lei"},{"family":"Yang","given":"Yuanjian"},{"family":"Guo","given":"Xueliang"},{"family":"Wang","given":"Chenghai"},{"family":"Xu","given":"Xiaofeng"},{"family":"Yang","given":"Kun"},{"family":"Xu","given":"Xiangde"},{"family":"Liu","given":"Liping"},{"family":"Fan","given":"Guangzhou"},{"family":"Li","given":"Yueqing"},{"family":"Wang","given":"Donghai"}],"issued":{"date-parts":[["2020",3,1]]}}}],"schema":"https://github.com/citation-style-language/schema/raw/master/csl-citation.json"} </w:instrText>
      </w:r>
      <w:r w:rsidRPr="00C3492A">
        <w:fldChar w:fldCharType="separate"/>
      </w:r>
      <w:r w:rsidR="00A44B66" w:rsidRPr="00A44B66">
        <w:t xml:space="preserve">Fu et al., </w:t>
      </w:r>
      <w:r w:rsidR="004C506E">
        <w:t>(</w:t>
      </w:r>
      <w:r w:rsidR="00A44B66" w:rsidRPr="00A44B66">
        <w:t>2020)</w:t>
      </w:r>
      <w:r w:rsidRPr="00C3492A">
        <w:fldChar w:fldCharType="end"/>
      </w:r>
      <w:bookmarkEnd w:id="9"/>
      <w:r w:rsidRPr="00C3492A">
        <w:t xml:space="preserve"> reviewed the </w:t>
      </w:r>
      <w:r w:rsidRPr="00C3492A">
        <w:lastRenderedPageBreak/>
        <w:t>progress of land</w:t>
      </w:r>
      <w:r w:rsidR="00252E15">
        <w:t>-</w:t>
      </w:r>
      <w:r w:rsidRPr="00C3492A">
        <w:t>atmosphere interactions on TP. The authors suggested conducting an observational analysis coupled with numerical simulations to further understand the effect of ABL processes</w:t>
      </w:r>
      <w:r w:rsidRPr="00F672D1">
        <w:t>.</w:t>
      </w:r>
      <w:r w:rsidRPr="003F64C8">
        <w:t xml:space="preserve"> </w:t>
      </w:r>
      <w:r w:rsidRPr="00C3492A">
        <w:fldChar w:fldCharType="begin"/>
      </w:r>
      <w:r w:rsidR="00EC3304">
        <w:instrText xml:space="preserve"> ADDIN ZOTERO_ITEM CSL_CITATION {"citationID":"a17t18dnojh","properties":{"formattedCitation":"(Couvreux et al., 2009)","plainCitation":"(Couvreux et al., 2009)","dontUpdate":true,"noteIndex":0},"citationItems":[{"id":412,"uris":["http://zotero.org/users/7904379/items/V49IQMPC"],"itemData":{"id":412,"type":"article-journal","abstract":"&lt;section class=\"abstract\"&gt;&lt;h2 class=\"abstractTitle text-title my-1\" id=\"d2745e2\"&gt;Abstract&lt;/h2&gt;&lt;p&gt;Mesoscale water vapor heterogeneities in the boundary layer are studied within the context of the International H&lt;sub&gt;2&lt;/sub&gt;O Project (IHOP_2002). A significant portion of the water vapor variability in the IHOP_2002 occurs at the mesoscale, with the spatial pattern and the magnitude of the variability changing from day to day. On 14 June 2002, an atypical mesoscale gradient is observed, which is the reverse of the climatological gradient over this area. The factors causing this water vapor variability are investigated using complementary platforms (e.g., aircraft, satellite, and in situ) and models. The impact of surface flux heterogeneities and atmospheric variability are evaluated separately using a 1D boundary layer model, which uses surface fluxes from the High-Resolution Land Data Assimilation System (HRLDAS) and early-morning atmospheric temperature and moisture profiles from a mesoscale model. This methodology, based on the use of robust modeling components, allows the authors to tackle the question of the nature of the observed mesoscale variability. The impact of horizontal advection is inferred from a careful analysis of available observations. By isolating the individual contributions to mesoscale water vapor variability, it is shown that the observed moisture variability cannot be explained by a single process, but rather involves a combination of different factors: the boundary layer height, which is strongly controlled by the surface buoyancy flux, the surface latent heat flux, the early-morning heterogeneity of the atmosphere, horizontal advection, and the radiative impact of clouds.&lt;/p&gt;&lt;/section&gt;","container-title":"Monthly Weather Review","DOI":"10.1175/2008MWR2367.1","ISSN":"1520-0493, 0027-0644","issue":"1","language":"EN","note":"publisher: American Meteorological Society\nsection: Monthly Weather Review","page":"414-432","source":"journals.ametsoc.org","title":"Nature of the Mesoscale Boundary Layer Height and Water Vapor Variability Observed 14 June 2002 during the IHOP_2002 Campaign","URL":"https://journals.ametsoc.org/view/journals/mwre/137/1/2008mwr2367.1.xml","volume":"137","author":[{"family":"Couvreux","given":"F."},{"family":"Guichard","given":"F."},{"family":"Austin","given":"P. H."},{"family":"Chen","given":"F."}],"accessed":{"date-parts":[["2021",4,24]]},"issued":{"date-parts":[["2009",1,1]]}}}],"schema":"https://github.com/citation-style-language/schema/raw/master/csl-citation.json"} </w:instrText>
      </w:r>
      <w:r w:rsidRPr="00C3492A">
        <w:fldChar w:fldCharType="separate"/>
      </w:r>
      <w:r w:rsidR="00A44B66" w:rsidRPr="00A44B66">
        <w:t xml:space="preserve">Couvreux et al., </w:t>
      </w:r>
      <w:r w:rsidR="004C506E">
        <w:t>(</w:t>
      </w:r>
      <w:r w:rsidR="00A44B66" w:rsidRPr="00A44B66">
        <w:t>2009)</w:t>
      </w:r>
      <w:r w:rsidRPr="00C3492A">
        <w:fldChar w:fldCharType="end"/>
      </w:r>
      <w:r w:rsidRPr="00C3492A">
        <w:t xml:space="preserve"> pointed out that ABL water vapor variability is the main trigger of mesoscale convective clouds. Accordingly, this study analyzed the ABL features that may influence C</w:t>
      </w:r>
      <w:r w:rsidR="003625BA">
        <w:rPr>
          <w:rFonts w:eastAsia="SimSun" w:hint="eastAsia"/>
          <w:lang w:eastAsia="zh-CN"/>
        </w:rPr>
        <w:t>C</w:t>
      </w:r>
      <w:r w:rsidRPr="00C3492A">
        <w:t xml:space="preserve"> development.  </w:t>
      </w:r>
    </w:p>
    <w:p w14:paraId="0149680A" w14:textId="6BF596C8" w:rsidR="00C3492A" w:rsidRPr="00C3492A" w:rsidRDefault="00C3492A" w:rsidP="00375201">
      <w:pPr>
        <w:pStyle w:val="Text"/>
        <w:ind w:firstLine="540"/>
      </w:pPr>
      <w:r w:rsidRPr="00C3492A">
        <w:t>Because of the extensive limitation</w:t>
      </w:r>
      <w:r w:rsidR="006D7519">
        <w:rPr>
          <w:rFonts w:eastAsia="SimSun" w:hint="eastAsia"/>
          <w:lang w:eastAsia="zh-CN"/>
        </w:rPr>
        <w:t>s</w:t>
      </w:r>
      <w:r w:rsidRPr="00C3492A">
        <w:t xml:space="preserve"> in understanding the cloud processes on TP, </w:t>
      </w:r>
      <w:r w:rsidRPr="00C3492A">
        <w:fldChar w:fldCharType="begin"/>
      </w:r>
      <w:r w:rsidR="00EC3304">
        <w:instrText xml:space="preserve"> ADDIN ZOTERO_ITEM CSL_CITATION {"citationID":"ato2hdljt0","properties":{"formattedCitation":"(Gao et al., 2016)","plainCitation":"(Gao et al., 2016)","dontUpdate":true,"noteIndex":0},"citationItems":[{"id":28,"uris":["http://zotero.org/users/7904379/items/NK2Y3R6C"],"itemData":{"id":28,"type":"article-journal","container-title":"Journal of Geophysical Research: Atmospheres","DOI":"10.1002/2015JD024196","ISSN":"2169897X","issue":"22","journalAbbreviation":"J. Geophys. Res. Atmos.","language":"en","page":"13,735-13,752","source":"DOI.org (Crossref)","title":"A study of cloud microphysics and precipitation over the Tibetan Plateau by radar observations and cloud-resolving model simulations: Cloud Microphysics over Tibetan Plateau","title-short":"A study of cloud microphysics and precipitation over the Tibetan Plateau by radar observations and cloud-resolving model simulations","URL":"http://doi.wiley.com/10.1002/2015JD024196","volume":"121","author":[{"family":"Gao","given":"Wenhua"},{"family":"Sui","given":"Chung-Hsiung"},{"family":"Fan","given":"Jiwen"},{"family":"Hu","given":"Zhiqun"},{"family":"Zhong","given":"Lingzhi"}],"accessed":{"date-parts":[["2021",3,25]]},"issued":{"date-parts":[["2016",11,27]]}}}],"schema":"https://github.com/citation-style-language/schema/raw/master/csl-citation.json"} </w:instrText>
      </w:r>
      <w:r w:rsidRPr="00C3492A">
        <w:fldChar w:fldCharType="separate"/>
      </w:r>
      <w:r w:rsidR="00A44B66" w:rsidRPr="00A44B66">
        <w:t xml:space="preserve">Gao et al., </w:t>
      </w:r>
      <w:r w:rsidR="004C506E">
        <w:t>(</w:t>
      </w:r>
      <w:r w:rsidR="00A44B66" w:rsidRPr="00A44B66">
        <w:t>2016)</w:t>
      </w:r>
      <w:r w:rsidRPr="00C3492A">
        <w:fldChar w:fldCharType="end"/>
      </w:r>
      <w:r w:rsidRPr="00C3492A">
        <w:t xml:space="preserve"> showed that clouds and precipitation over TP have not been studied sufficiently due to the lack of observations over the harsh mountainous areas and the poor representation, in NWP models, of the C</w:t>
      </w:r>
      <w:r w:rsidR="003625BA">
        <w:rPr>
          <w:rFonts w:eastAsia="SimSun" w:hint="eastAsia"/>
          <w:lang w:eastAsia="zh-CN"/>
        </w:rPr>
        <w:t>C</w:t>
      </w:r>
      <w:r w:rsidRPr="00C3492A">
        <w:t xml:space="preserve"> processes over TP. </w:t>
      </w:r>
      <w:r w:rsidR="005E6753">
        <w:t>Many s</w:t>
      </w:r>
      <w:r w:rsidRPr="00313DCE">
        <w:t xml:space="preserve">tudies </w:t>
      </w:r>
      <w:r w:rsidRPr="00F3063F">
        <w:t>emphasized that many modeling studies of C</w:t>
      </w:r>
      <w:r w:rsidR="003625BA">
        <w:rPr>
          <w:rFonts w:eastAsia="SimSun" w:hint="eastAsia"/>
          <w:lang w:eastAsia="zh-CN"/>
        </w:rPr>
        <w:t>C</w:t>
      </w:r>
      <w:r w:rsidRPr="00F3063F">
        <w:t xml:space="preserve"> processes on TP were probably inadequate to capture the complex interactions of the physical processes</w:t>
      </w:r>
      <w:r w:rsidR="008178DC">
        <w:t xml:space="preserve"> </w:t>
      </w:r>
      <w:r w:rsidR="008178DC" w:rsidRPr="008178DC">
        <w:fldChar w:fldCharType="begin"/>
      </w:r>
      <w:r w:rsidR="008178DC" w:rsidRPr="008178DC">
        <w:instrText xml:space="preserve"> ADDIN ZOTERO_ITEM CSL_CITATION {"citationID":"a1dntg7d5m6","properties":{"formattedCitation":"(Gao et al., 2016; L. Liu et al., 2015; Zheng et al., 2015, 2016)","plainCitation":"(Gao et al., 2016; L. Liu et al., 2015; Zheng et al., 2015, 2016)","noteIndex":0},"citationItems":[{"id":28,"uris":["http://zotero.org/users/7904379/items/NK2Y3R6C"],"itemData":{"id":28,"type":"article-journal","container-title":"Journal of Geophysical Research: Atmospheres","DOI":"10.1002/2015JD024196","ISSN":"2169897X","issue":"22","journalAbbreviation":"J. Geophys. Res. Atmos.","language":"en","page":"13,735-13,752","source":"DOI.org (Crossref)","title":"A study of cloud microphysics and precipitation over the Tibetan Plateau by radar observations and cloud-resolving model simulations: Cloud Microphysics over Tibetan Plateau","title-short":"A study of cloud microphysics and precipitation over the Tibetan Plateau by radar observations and cloud-resolving model simulations","URL":"http://doi.wiley.com/10.1002/2015JD024196","volume":"121","author":[{"family":"Gao","given":"Wenhua"},{"family":"Sui","given":"Chung-Hsiung"},{"family":"Fan","given":"Jiwen"},{"family":"Hu","given":"Zhiqun"},{"family":"Zhong","given":"Lingzhi"}],"accessed":{"date-parts":[["2021",3,25]]},"issued":{"date-parts":[["2016",11,27]]}}},{"id":48,"uris":["http://zotero.org/users/7904379/items/VVQXIK9C"],"itemData":{"id":48,"type":"article-journal","container-title":"Journal of Meteorological Research","DOI":"10.1007/s13351-015-4208-6","ISSN":"2095-6037, 2198-0934","issue":"4","journalAbbreviation":"J Meteorol Res","language":"en","page":"546-561","source":"DOI.org (Crossref)","title":"Comprehensive radar observations of clouds and precipitation over the Tibetan Plateau and preliminary analysis of cloud properties","URL":"http://link.springer.com/10.1007/s13351-015-4208-6","volume":"29","author":[{"family":"Liu","given":"Liping"},{"family":"Zheng","given":"Jiafeng"},{"family":"Ruan","given":"Zheng"},{"family":"Cui","given":"Zhehu"},{"family":"Hu","given":"Zhiqun"},{"family":"Wu","given":"Songhua"},{"family":"Dai","given":"Guangyao"},{"family":"Wu","given":"Yahao"}],"accessed":{"date-parts":[["2021",3,25]]},"issued":{"date-parts":[["2015",8]]}}},{"id":307,"uris":["http://zotero.org/users/7904379/items/M7GUVLP4"],"itemData":{"id":307,"type":"article-journal","abstract":"The Noah-MP land surface model adopts a multiparameterization framework to accommodate various alternative parameterizations for more than 10 physical processes. In this paper, the parameterizations implemented in Noah-MP associated with under-canopy turbulence and root water uptake are enhanced with: (i) an under-canopy turbulence scheme currently adopted by the Community Land Model (CLM), (ii) two vertical root distribution functions, i.e., an exponential and an asymptotic formulation, and (iii) three soil water stress functions (βt) controlling root water uptake, e.g., a soil water potential (ψ)-based function, a nonlinear soil moisture (θ)-based power function and an empirical threshold approach considering preferential uptake from the moist part of the soil column. A comprehensive data set of in situ micrometeorological observations and profile soil moisture/temperature measurements collected from an alpine meadow site in the northeastern Tibetan Plateau is utilized to assess the impact of the augmentations on the Noah-MP performance. The results indicate that (i) implementation of the CLM under-canopy turbulence scheme greatly resolves the overestimation of sensible heat flux and underestimation of soil temperature across the profile, (ii) both exponential and asymptotic vertical root distribution functions better represent the Tibetan conditions enabling a better representation of the measured soil moisture dynamics, and (iii) the ψ-based βt functions overestimate surface soil moisture, the default linear θ-based βt function underestimates latent heat flux during the dry-down, while both the nonlinear power function and empirical threshold approach simultaneously simulate well soil moisture, and latent and sensible heat fluxes. Additionally, the parameter uncertainty associated with soil water stress function and hydraulic parameterization is addressed.","container-title":"Water Resources Research","DOI":"https://doi.org/10.1002/2015WR017115","ISSN":"1944-7973","issue":"7","language":"en","note":"_eprint: https://agupubs.onlinelibrary.wiley.com/doi/pdf/10.1002/2015WR017115","page":"5735-5755","source":"Wiley Online Library","title":"Under-canopy turbulence and root water uptake of a Tibetan meadow ecosystem modeled by Noah-MP","URL":"https://agupubs.onlinelibrary.wiley.com/doi/abs/10.1002/2015WR017115","volume":"51","author":[{"family":"Zheng","given":"Donghai"},{"family":"Velde","given":"Rogier Van","dropping-particle":"der"},{"family":"Su","given":"Zhongbo"},{"family":"Wen","given":"Jun"},{"family":"Booij","given":"Martijn J."},{"family":"Hoekstra","given":"Arjen Y."},{"family":"Wang","given":"Xin"}],"accessed":{"date-parts":[["2021",4,16]]},"issued":{"date-parts":[["2015"]]}}},{"id":314,"uris":["http://zotero.org/users/7904379/items/FYYTPSQE"],"itemData":{"id":314,"type":"article-journal","abstract":"Noah model physics options validated for the source region of the Yellow River (SRYR) are applied to investigate their ability in reproducing runoff at the catchment scale. Three sets of augmentations are implemented affecting descriptions of (i) turbulent and soil heat transport (Noah-H), (ii) soil water flow (Noah-W), and (iii) frozen ground processes (Noah-F). Five numerical experiments are designed with the three augmented versions, a control run with default model physics and a run with all augmentations (Noah-A). Each experiment is set up with vegetation and soil parameters from Weather Research and Forecasting data set, soil organic matter content from China Soil Database, 0.1° atmospheric forcing data from Institute of Tibetan Plateau Research (Chinese Academy of Sciences), and initial equilibrium model states achieved using a single-year recurrent spin-up. In situ heat flux, soil temperature (Ts), and soil moisture (θ) profile measurements are available for point-scale assessment, whereas monthly streamflow is utilized for the catchment-scale evaluation. The comparison with point measurements shows that the augmentations invoked with Noah-H resolve issues with the heat flux and Ts simulation and Noah-W mitigates deficiencies in the θ simulation, while Noah-A yields improvements for b</w:instrText>
      </w:r>
      <w:r w:rsidR="008178DC" w:rsidRPr="008178DC">
        <w:rPr>
          <w:lang w:val="fr-FR"/>
        </w:rPr>
        <w:instrText xml:space="preserve">oth simulated surface energy and water budgets. In contrast, Noah-F has a minor effect. Also, at catchment scale, the best model performance is found for Noah-A leading to a base flow-dominated runoff regime, whereby the surface runoff contribution remains significant. This study highlights the need for a complete description of vertical heat and water exchanges to correctly simulate the runoff in the seasonally frozen and high-altitude SRYR at the catchment scale.","container-title":"Journal of Geophysical Research: Atmospheres","DOI":"https://doi.org/10.1002/2015JD023695","ISSN":"2169-8996","issue":"2","language":"en","note":"_eprint: https://agupubs.onlinelibrary.wiley.com/doi/pdf/10.1002/2015JD023695","page":"807-832","source":"Wiley Online Library","title":"Impacts of Noah model physics on catchment-scale runoff simulations","URL":"https://agupubs.onlinelibrary.wiley.com/doi/abs/10.1002/2015JD023695","volume":"121","author":[{"family":"Zheng","given":"Donghai"},{"family":"Velde","given":"Rogier Van","dropping-particle":"der"},{"family":"Su","given":"Zhongbo"},{"family":"Wen","given":"Jun"},{"family":"Wang","given":"Xin"},{"family":"Booij","given":"Martijn J."},{"family":"Hoekstra","given":"Arjen Y."},{"family":"Lv","given":"Shihua"},{"family":"Zhang","given":"Yu"},{"family":"Ek","given":"Michael B."}],"accessed":{"date-parts":[["2021",4,16]]},"issued":{"date-parts":[["2016"]]}}}],"schema":"https://github.com/citation-style-language/schema/raw/master/csl-citation.json"} </w:instrText>
      </w:r>
      <w:r w:rsidR="008178DC" w:rsidRPr="008178DC">
        <w:fldChar w:fldCharType="separate"/>
      </w:r>
      <w:r w:rsidR="008178DC" w:rsidRPr="008178DC">
        <w:rPr>
          <w:lang w:val="fr-FR"/>
        </w:rPr>
        <w:t>(Gao et al., 2016; L. Liu et al., 2015; Zheng et al., 2015, 2016)</w:t>
      </w:r>
      <w:r w:rsidR="008178DC" w:rsidRPr="008178DC">
        <w:fldChar w:fldCharType="end"/>
      </w:r>
      <w:r w:rsidRPr="008178DC">
        <w:rPr>
          <w:lang w:val="fr-FR"/>
        </w:rPr>
        <w:t xml:space="preserve">. </w:t>
      </w:r>
      <w:r w:rsidRPr="00C3492A">
        <w:fldChar w:fldCharType="begin"/>
      </w:r>
      <w:r w:rsidR="00EC3304" w:rsidRPr="008178DC">
        <w:rPr>
          <w:lang w:val="fr-FR"/>
        </w:rPr>
        <w:instrText xml:space="preserve"> ADDIN ZOTERO_ITEM CSL_CITATION {"citationID":"a2fu194de02","properties":{"formattedCitation":"(Sato, 2009)","plainCitation":"(Sato, 2009)","dontUpdate":true,"noteIndex":0},"citationItems":[{"id":"j94seLCz/Z3tdESJV","uris":["http://zotero.org/users/7904379/items/59EZ8I3P"],"itemData":{"id":62,"type":"article-journal","container-title":"Quaternary International","DOI":"10.1016/j.quaint.2008.07.008","ISSN":"10406182","issue":"1-2","journalAbbreviation":"Quaternary International","language":"en","page":"148-158","source":"DOI.org (Crossref)","title":"Influences of subtropical jet and Tibetan Plateau on precipitation pattern in Asia: Insights from regional climate modeling","title-short":"Influences of subtropical jet and Tibetan Plateau on precipitation pattern in Asia","volume":"194","author":[{"family":"Sato","given":"Tomonori"}],"issued":{"date-parts":[["2009",2]]}}}],"schema":"https://github.com/citation-style-language/schema/raw/master/csl-citation.json"} </w:instrText>
      </w:r>
      <w:r w:rsidRPr="00C3492A">
        <w:fldChar w:fldCharType="separate"/>
      </w:r>
      <w:r w:rsidR="00A44B66" w:rsidRPr="00A44B66">
        <w:t xml:space="preserve">Sato, </w:t>
      </w:r>
      <w:r w:rsidR="004C506E">
        <w:t>(</w:t>
      </w:r>
      <w:r w:rsidR="00A44B66" w:rsidRPr="00A44B66">
        <w:t>2009)</w:t>
      </w:r>
      <w:r w:rsidRPr="00C3492A">
        <w:fldChar w:fldCharType="end"/>
      </w:r>
      <w:r w:rsidRPr="00C3492A">
        <w:t xml:space="preserve"> investigated the resolution dependency of the diurnal cycle of convective clouds on TP in a mesoscale model. They pointed out that convective clouds over TP during the day tend to have a small horizontal scale</w:t>
      </w:r>
      <w:r w:rsidR="004B7B5F">
        <w:rPr>
          <w:rFonts w:eastAsia="SimSun" w:hint="eastAsia"/>
          <w:lang w:eastAsia="zh-CN"/>
        </w:rPr>
        <w:t xml:space="preserve"> rather</w:t>
      </w:r>
      <w:r w:rsidRPr="00C3492A">
        <w:t xml:space="preserve"> than a resolvable mesoscale resolution, and suggested further study with finer resolution</w:t>
      </w:r>
      <w:r w:rsidR="004B7B5F">
        <w:rPr>
          <w:rFonts w:eastAsia="SimSun" w:hint="eastAsia"/>
          <w:lang w:eastAsia="zh-CN"/>
        </w:rPr>
        <w:t>s</w:t>
      </w:r>
      <w:r w:rsidRPr="00C3492A">
        <w:t xml:space="preserve"> of less than 7 km. However, they did not specify how fine is enough to resolve the </w:t>
      </w:r>
      <w:r w:rsidR="00924836">
        <w:t xml:space="preserve">inaccuracy associated </w:t>
      </w:r>
      <w:r w:rsidR="00252E15">
        <w:t xml:space="preserve">with </w:t>
      </w:r>
      <w:r w:rsidR="00924836">
        <w:t>the o</w:t>
      </w:r>
      <w:r w:rsidR="00040E41">
        <w:t>r</w:t>
      </w:r>
      <w:r w:rsidR="00924836">
        <w:t>ography</w:t>
      </w:r>
      <w:r w:rsidRPr="00C3492A">
        <w:t xml:space="preserve"> </w:t>
      </w:r>
      <w:r w:rsidR="00924836">
        <w:t>feature</w:t>
      </w:r>
      <w:r w:rsidRPr="00C3492A">
        <w:t>. With advances in the application of</w:t>
      </w:r>
      <w:r w:rsidR="003625BA">
        <w:rPr>
          <w:rFonts w:eastAsia="SimSun" w:hint="eastAsia"/>
          <w:lang w:eastAsia="zh-CN"/>
        </w:rPr>
        <w:t xml:space="preserve"> the</w:t>
      </w:r>
      <w:r w:rsidRPr="00C3492A">
        <w:t xml:space="preserve"> coupled WRF–large eddy simulation (WRF-LES), it is now easy to understand the link between multi</w:t>
      </w:r>
      <m:oMath>
        <m:r>
          <w:rPr>
            <w:rFonts w:ascii="Cambria Math" w:hAnsi="Cambria Math"/>
          </w:rPr>
          <m:t>-</m:t>
        </m:r>
      </m:oMath>
      <w:r w:rsidRPr="00C3492A">
        <w:t>scale C</w:t>
      </w:r>
      <w:r w:rsidR="003625BA">
        <w:rPr>
          <w:rFonts w:eastAsia="SimSun" w:hint="eastAsia"/>
          <w:lang w:eastAsia="zh-CN"/>
        </w:rPr>
        <w:t>C</w:t>
      </w:r>
      <w:r w:rsidRPr="00C3492A">
        <w:t xml:space="preserve"> development and determine the dominant trigger of C</w:t>
      </w:r>
      <w:r w:rsidR="003625BA">
        <w:rPr>
          <w:rFonts w:eastAsia="SimSun" w:hint="eastAsia"/>
          <w:lang w:eastAsia="zh-CN"/>
        </w:rPr>
        <w:t>C</w:t>
      </w:r>
      <w:r w:rsidRPr="00C3492A">
        <w:t xml:space="preserve">s </w:t>
      </w:r>
      <w:r w:rsidRPr="00C3492A">
        <w:fldChar w:fldCharType="begin"/>
      </w:r>
      <w:r w:rsidR="00A44B66">
        <w:instrText xml:space="preserve"> ADDIN ZOTERO_ITEM CSL_CITATION {"citationID":"a184s73a1mv","properties":{"formattedCitation":"(Chow et al., 2005; Takemi &amp; Rotunno, 2003; Zhu et al., 2010)","plainCitation":"(Chow et al., 2005; Takemi &amp; Rotunno, 2003; Zhu et al., 2010)","noteIndex":0},"citationItems":[{"id":86,"uris":["http://zotero.org/users/7904379/items/RJXV6VDZ"],"itemData":{"id":86,"type":"article-journal","abstract":"&lt;section class=\"abstract\"&gt;&lt;h2 class=\"abstractTitle text-title my-1\" id=\"d1375e2\"&gt;Abstract&lt;/h2&gt;&lt;p&gt;Using the newly developed Weather Research and Forecasting (WRF) model, this study investigates the effects of subgrid mixing and numerical filtering in mesoscale cloud simulations by examining the sensitivities to the parameters in turbulence-closure schemes as well as the parameters in the numerical filters. Three-dimensional simulations of squall lines in both no-shear and strong-shear environments have been performed. Using the Smagorinsky or 1.5-order turbulent kinetic energy (TKE) subgrid model with standard values for the model constants and no explicit numerical filter, the solution in the no-shear environment is characterized by many poorly resolved grid-scale cells. In the past, such grid-scale noise was avoided by adding a numerical filter which, however, produces excessive damping of the physical small-scale eddies. Without using such a filter, it was found that by increasing the proportionality constant in the eddy viscosity coefficient in the subgrid turbulence models, the cells become well resolved, but that further increases in the constant overly smooth the cells. Such solution sensitivity is also found in the strong-shear cases. The simulations using the subgrid models with viscosity coefficients 1.5 to 2 times larger than those widely used in other cloud models retain more power in short scales, but without an unwanted buildup of energy; with these optimum values, no numerical filters are required to avoid computational noise. These optimum constants do not depend significantly on grid spacings of &lt;em&gt;O&lt;/em&gt;(1 km). Therefore, it is concluded that by using the eddy viscosity formulation appropriate for mesoscale cloud simulations, the use of artificial numerical filters is avoided, and the mixing processes are represented by more physically based turbulence-closure models.&lt;/p&gt;&lt;/section&gt;","container-title":"Monthly Weather Review","DOI":"10.1175/1520-0493(2003)131&lt;2085:TEOSMM&gt;2.0.CO;2","ISSN":"1520-0493, 0027-0644","issue":"9","language":"EN","note":"publisher: American Meteorological Society\nsection: Monthly Weather Review","page":"2085-2101","source":"journals.ametsoc.org","title":"The Effects of Subgrid Model Mixing and Numerical Filtering in Simulations of Mesoscale Cloud Systems","URL":"https://journals.ametsoc.org/view/journals/mwre/131/9/1520-0493_2003_131_2085_teosmm_2.0.co_2.xml","volume":"131","author":[{"family":"Takemi","given":"Tetsuya"},{"family":"Rotunno","given":"Richard"}],"accessed":{"date-parts":[["2021",3,25]]},"issued":{"date-parts":[["2003",9,1]]}}},{"id":13,"uris":["http://zotero.org/users/7904379/items/C5BAGKZV"],"itemData":{"id":13,"type":"article-journal","abstract":"Abstract\n            Standard turbulence closures for large-eddy simulations of atmospheric flow based on finite-difference or finite-volume codes use eddy-viscosity models and hence ignore the contribution of the resolved subfilter-scale stresses. These eddy-viscosity closures are unable to produce the expected logarithmic region near the surface in neutral boundary layer flows. Here, explicit filtering and reconstruction are used to improve the representation of the resolvable subfilter-scale (RSFS) stresses, and a dynamic eddy-viscosity model is used for the subgrid-scale (SGS) stresses. Combining reconstruction and eddy-viscosity models yields a sophisticated (and higher order) version of the well-known mixed model of Bardina et al.; the explicit filtering and reconstruction procedures clearly delineate the contribution of the RSFS and SGS motions. A near-wall stress model is implemented to supplement the turbulence models and account for the stress induced by filtering near a solid boundary as well as the effect of the large grid aspect ratio. Results for neutral boundary layer flow over a rough wall using the combined dynamic reconstruction model and the near-wall stress model show excellent agreement with similarity theory logarithmic velocity profiles, a significant improvement over standard eddy-viscosity closures. Stress profiles also exhibit the expected pattern with increased reconstruction level.","container-title":"Journal of the Atmospheric Sciences","DOI":"10.1175/JAS3456.1","ISSN":"1520-0469, 0022-4928","issue":"7","language":"en","page":"2058-2077","source":"DOI.org (Crossref)","title":"Explicit Filtering and Reconstruction Turbulence Modeling for Large-Eddy Simulation of Neutral Boundary Layer Flow","URL":"https://journals.ametsoc.org/doi/10.1175/JAS3456.1","volume":"62","author":[{"family":"Chow","given":"Fotini Katopodes"},{"family":"Street","given":"Robert L."},{"family":"Xue","given":"Ming"},{"family":"Ferziger","given":"Joel H."}],"accessed":{"date-parts":[["2021",3,25]]},"issued":{"date-parts":[["2005",7,1]]}}},{"id":83,"uris":["http://zotero.org/users/7904379/items/G24GXI3M"],"itemData":{"id":83,"type":"article-journal","container-title":"Journal of Geophysical Research","DOI":"10.1029/2010JD014400","ISSN":"0148-0227","issue":"D23","journalAbbreviation":"J. Geophys. Res.","language":"en","page":"D23201","source":"DOI.org (Crossref)","title":"Multiple-scale simulations of stratocumulus clouds","URL":"http://doi.wiley.com/10.1029/2010JD014400","volume":"115","author":[{"family":"Zhu","given":"Ping"},{"family":"Albrecht","given":"Bruce A."},{"family":"Ghate","given":"Virendra P."},{"family":"Zhu","given":"Zhenduo"}],"accessed":{"date-parts":[["2021",3,25]]},"issued":{"date-parts":[["2010",12,3]]}}}],"schema":"https://github.com/citation-style-language/schema/raw/master/csl-citation.json"} </w:instrText>
      </w:r>
      <w:r w:rsidRPr="00C3492A">
        <w:fldChar w:fldCharType="separate"/>
      </w:r>
      <w:r w:rsidR="00A44B66" w:rsidRPr="00A44B66">
        <w:t>(Chow et al., 2005; Takemi &amp; Rotunno, 2003; Zhu et al., 2010)</w:t>
      </w:r>
      <w:r w:rsidRPr="00C3492A">
        <w:fldChar w:fldCharType="end"/>
      </w:r>
      <w:r w:rsidRPr="00C3492A">
        <w:t xml:space="preserve">. </w:t>
      </w:r>
    </w:p>
    <w:p w14:paraId="782905BF" w14:textId="15CBF190" w:rsidR="00C3492A" w:rsidRPr="00C3492A" w:rsidRDefault="00C3492A" w:rsidP="00375201">
      <w:pPr>
        <w:pStyle w:val="Text"/>
        <w:ind w:firstLine="540"/>
      </w:pPr>
      <w:r w:rsidRPr="00C3492A">
        <w:t xml:space="preserve">This study </w:t>
      </w:r>
      <w:r w:rsidR="00990789">
        <w:t>answered the question</w:t>
      </w:r>
      <w:r w:rsidRPr="00C3492A">
        <w:t xml:space="preserve"> </w:t>
      </w:r>
      <w:r w:rsidR="00252E15">
        <w:t xml:space="preserve">of </w:t>
      </w:r>
      <w:r w:rsidRPr="00C3492A">
        <w:t>how the model can reproduce the C</w:t>
      </w:r>
      <w:r w:rsidR="00DF2669">
        <w:rPr>
          <w:rFonts w:eastAsia="SimSun" w:hint="eastAsia"/>
          <w:lang w:eastAsia="zh-CN"/>
        </w:rPr>
        <w:t>C</w:t>
      </w:r>
      <w:r w:rsidRPr="00C3492A">
        <w:t xml:space="preserve"> process by performing </w:t>
      </w:r>
      <w:r w:rsidR="00040E41">
        <w:t>six</w:t>
      </w:r>
      <w:r w:rsidRPr="00C3492A">
        <w:t xml:space="preserve"> scenarios with WRF-LES in a real-case mode. To this end, this study organized the other steps as follows: Section 2 describes the experimental data and model</w:t>
      </w:r>
      <w:r w:rsidR="00990789">
        <w:t>ing framework</w:t>
      </w:r>
      <w:r w:rsidRPr="00C3492A">
        <w:t xml:space="preserve">. Section 3 gives a comparison between the simulation and observation. The summary and conclusions are presented in Section </w:t>
      </w:r>
      <w:r w:rsidR="00040E41">
        <w:t>4</w:t>
      </w:r>
      <w:r w:rsidRPr="00C3492A">
        <w:t>.</w:t>
      </w:r>
    </w:p>
    <w:p w14:paraId="7A8760A4" w14:textId="523BF5CC" w:rsidR="002F3B11" w:rsidRPr="008C7C75" w:rsidRDefault="004F3225" w:rsidP="008C7C75">
      <w:pPr>
        <w:pStyle w:val="Heading1"/>
        <w:numPr>
          <w:ilvl w:val="0"/>
          <w:numId w:val="27"/>
        </w:numPr>
        <w:rPr>
          <w:sz w:val="22"/>
          <w:szCs w:val="22"/>
        </w:rPr>
      </w:pPr>
      <w:r w:rsidRPr="008C7C75">
        <w:t>Data</w:t>
      </w:r>
      <w:r w:rsidR="0025665A" w:rsidRPr="008C7C75">
        <w:t xml:space="preserve">, Modeling </w:t>
      </w:r>
      <w:r w:rsidR="00F677EB">
        <w:t>F</w:t>
      </w:r>
      <w:r w:rsidR="00F677EB" w:rsidRPr="008C7C75">
        <w:t>ramework</w:t>
      </w:r>
    </w:p>
    <w:p w14:paraId="5A16F0D8" w14:textId="05E1E262" w:rsidR="002F3B11" w:rsidRPr="00EC590B" w:rsidRDefault="004F3225" w:rsidP="00C515DE">
      <w:pPr>
        <w:pStyle w:val="Heading2"/>
        <w:numPr>
          <w:ilvl w:val="1"/>
          <w:numId w:val="27"/>
        </w:numPr>
        <w:ind w:left="450"/>
      </w:pPr>
      <w:r w:rsidRPr="00EC590B">
        <w:t>Experimental Data</w:t>
      </w:r>
    </w:p>
    <w:p w14:paraId="7C6CB8C8" w14:textId="5E62F2DD" w:rsidR="00052274" w:rsidRDefault="00C3492A" w:rsidP="00375201">
      <w:pPr>
        <w:ind w:firstLine="540"/>
      </w:pPr>
      <w:r w:rsidRPr="00C3492A">
        <w:t>The study used the TIPEX-III dataset from 8 meteorological stations, where the surface measurement</w:t>
      </w:r>
      <w:r w:rsidR="00541AF1">
        <w:t>s</w:t>
      </w:r>
      <w:r w:rsidRPr="00C3492A">
        <w:t xml:space="preserve"> and L-band radiosonde soundings were used as input for the observation nudging to improve the initial and lateral boundary conditions (LBCs) and gradually adjust the model state toward observations during its integration. The purpose was to link the model’s prognostic variables to the observed quantities to capture the atmospheric flow around the Naqu area, including Naqu1 and Naqu2. We can approximate the distance between Naqu1 and Naqu2 station</w:t>
      </w:r>
      <w:r w:rsidR="00252E15">
        <w:t>s</w:t>
      </w:r>
      <w:r w:rsidRPr="00C3492A">
        <w:t xml:space="preserve"> as 5.4 km. The stations consist of active remote sensing sites, automatic meteorological towers, ABL towers, and 2 surface weather observation stations, Naqu Plateau Cold Climate and Environment 1 and 2 (NPCE1 and NPCE2). These stations follow the recommendations of WMO, and all data from TIPEX-III are quality controlled before publication. The measurement devices used during TIPEX-III included operational radiosondes, cloud radars, laser ceilometer 31 (CL31), and other in situ observation devices. The Cold and Arid Regions Environmental and Engineering (CARE) research institute and the Chinese Academy of Sciences (CAS) support these stations in providing unique observation data. The data are distributed by the China Meteorological Administration (CMA). </w:t>
      </w:r>
      <w:r w:rsidRPr="00C3492A">
        <w:fldChar w:fldCharType="begin"/>
      </w:r>
      <w:r w:rsidR="00EC3304">
        <w:instrText xml:space="preserve"> ADDIN ZOTERO_ITEM CSL_CITATION {"citationID":"a2bkpgnrk67","properties":{"formattedCitation":"(L. Liu et al., 2015)","plainCitation":"(L. Liu et al., 2015)","dontUpdate":true,"noteIndex":0},"citationItems":[{"id":48,"uris":["http://zotero.org/users/7904379/items/VVQXIK9C"],"itemData":{"id":48,"type":"article-journal","container-title":"Journal of Meteorological Research","DOI":"10.1007/s13351-015-4208-6","ISSN":"2095-6037, 2198-0934","issue":"4","journalAbbreviation":"J Meteorol Res","language":"en","page":"546-561","source":"DOI.org (Crossref)","title":"Comprehensive radar observations of clouds and precipitation over the Tibetan Plateau and preliminary analysis of cloud properties","URL":"http://link.springer.com/10.1007/s13351-015-4208-6","volume":"29","author":[{"family":"Liu","given":"Liping"},{"family":"Zheng","given":"Jiafeng"},{"family":"Ruan","given":"Zheng"},{"family":"Cui","given":"Zhehu"},{"family":"Hu","given":"Zhiqun"},{"family":"Wu","given":"Songhua"},{"family":"Dai","given":"Guangyao"},{"family":"Wu","given":"Yahao"}],"accessed":{"date-parts":[["2021",3,25]]},"issued":{"date-parts":[["2015",8]]}}}],"schema":"https://github.com/citation-style-language/schema/raw/master/csl-citation.json"} </w:instrText>
      </w:r>
      <w:r w:rsidRPr="00C3492A">
        <w:fldChar w:fldCharType="separate"/>
      </w:r>
      <w:r w:rsidR="00A44B66" w:rsidRPr="00A44B66">
        <w:t xml:space="preserve">Liu et al., </w:t>
      </w:r>
      <w:r w:rsidR="004C506E">
        <w:t>(</w:t>
      </w:r>
      <w:r w:rsidR="00A44B66" w:rsidRPr="00A44B66">
        <w:t>2015)</w:t>
      </w:r>
      <w:r w:rsidRPr="00C3492A">
        <w:fldChar w:fldCharType="end"/>
      </w:r>
      <w:r w:rsidRPr="00C3492A">
        <w:t xml:space="preserve"> describes most devices used during the TIPEX-III.</w:t>
      </w:r>
    </w:p>
    <w:p w14:paraId="55737688" w14:textId="58E42CE0" w:rsidR="00EC7396" w:rsidRPr="00D4630B" w:rsidRDefault="00EC7396" w:rsidP="00EC7396">
      <w:pPr>
        <w:rPr>
          <w:bCs/>
        </w:rPr>
      </w:pPr>
      <w:r w:rsidRPr="00D4630B">
        <w:rPr>
          <w:b/>
          <w:bCs/>
        </w:rPr>
        <w:lastRenderedPageBreak/>
        <w:t xml:space="preserve">Table </w:t>
      </w:r>
      <w:r w:rsidRPr="00D4630B">
        <w:rPr>
          <w:b/>
          <w:bCs/>
        </w:rPr>
        <w:fldChar w:fldCharType="begin"/>
      </w:r>
      <w:r w:rsidRPr="00D4630B">
        <w:rPr>
          <w:b/>
          <w:bCs/>
        </w:rPr>
        <w:instrText xml:space="preserve"> SEQ Table \* ARABIC </w:instrText>
      </w:r>
      <w:r w:rsidRPr="00D4630B">
        <w:rPr>
          <w:b/>
          <w:bCs/>
        </w:rPr>
        <w:fldChar w:fldCharType="separate"/>
      </w:r>
      <w:r w:rsidR="004302F1">
        <w:rPr>
          <w:b/>
          <w:bCs/>
          <w:noProof/>
        </w:rPr>
        <w:t>1</w:t>
      </w:r>
      <w:r w:rsidRPr="00D4630B">
        <w:fldChar w:fldCharType="end"/>
      </w:r>
      <w:r w:rsidRPr="00D4630B">
        <w:rPr>
          <w:b/>
          <w:bCs/>
        </w:rPr>
        <w:t xml:space="preserve">. </w:t>
      </w:r>
      <w:r w:rsidRPr="00D4630B">
        <w:rPr>
          <w:bCs/>
        </w:rPr>
        <w:t xml:space="preserve">Experimental data stations; </w:t>
      </w:r>
      <w:bookmarkStart w:id="10" w:name="_Hlk65503565"/>
      <w:r w:rsidRPr="00D4630B">
        <w:rPr>
          <w:bCs/>
        </w:rPr>
        <w:t>asterisks</w:t>
      </w:r>
      <w:bookmarkEnd w:id="10"/>
      <w:r w:rsidRPr="00D4630B">
        <w:rPr>
          <w:bCs/>
        </w:rPr>
        <w:t xml:space="preserve"> indicate sounding sites; double asterisks indicate </w:t>
      </w:r>
      <w:r w:rsidR="00252E15">
        <w:rPr>
          <w:bCs/>
        </w:rPr>
        <w:t xml:space="preserve">the </w:t>
      </w:r>
      <w:r w:rsidRPr="00D4630B">
        <w:rPr>
          <w:bCs/>
        </w:rPr>
        <w:t>source of radar reflectivity; AGL, above ground level.</w:t>
      </w:r>
    </w:p>
    <w:tbl>
      <w:tblPr>
        <w:tblStyle w:val="PlainTable21"/>
        <w:tblW w:w="8935" w:type="dxa"/>
        <w:jc w:val="center"/>
        <w:tblBorders>
          <w:left w:val="single" w:sz="4" w:space="0" w:color="auto"/>
          <w:right w:val="single" w:sz="4" w:space="0" w:color="7F7F7F" w:themeColor="text1" w:themeTint="80"/>
          <w:insideH w:val="single" w:sz="4" w:space="0" w:color="7F7F7F" w:themeColor="text1" w:themeTint="80"/>
          <w:insideV w:val="single" w:sz="4" w:space="0" w:color="7F7F7F" w:themeColor="text1" w:themeTint="80"/>
        </w:tblBorders>
        <w:tblLayout w:type="fixed"/>
        <w:tblLook w:val="00A0" w:firstRow="1" w:lastRow="0" w:firstColumn="1" w:lastColumn="0" w:noHBand="0" w:noVBand="0"/>
      </w:tblPr>
      <w:tblGrid>
        <w:gridCol w:w="1705"/>
        <w:gridCol w:w="1440"/>
        <w:gridCol w:w="1440"/>
        <w:gridCol w:w="2530"/>
        <w:gridCol w:w="1820"/>
      </w:tblGrid>
      <w:tr w:rsidR="00EC7396" w:rsidRPr="00932477" w14:paraId="641B7A94" w14:textId="77777777" w:rsidTr="00605660">
        <w:trPr>
          <w:cnfStyle w:val="100000000000" w:firstRow="1" w:lastRow="0" w:firstColumn="0" w:lastColumn="0" w:oddVBand="0" w:evenVBand="0" w:oddHBand="0"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1705" w:type="dxa"/>
            <w:tcBorders>
              <w:bottom w:val="none" w:sz="0" w:space="0" w:color="auto"/>
            </w:tcBorders>
            <w:vAlign w:val="center"/>
          </w:tcPr>
          <w:p w14:paraId="49972828" w14:textId="77777777" w:rsidR="00EC7396" w:rsidRPr="00932477" w:rsidRDefault="00EC7396" w:rsidP="00AA2F78">
            <w:pPr>
              <w:spacing w:after="0"/>
              <w:jc w:val="center"/>
              <w:rPr>
                <w:bCs w:val="0"/>
              </w:rPr>
            </w:pPr>
            <w:r w:rsidRPr="00932477">
              <w:t>Station Name</w:t>
            </w:r>
          </w:p>
        </w:tc>
        <w:tc>
          <w:tcPr>
            <w:cnfStyle w:val="000010000000" w:firstRow="0" w:lastRow="0" w:firstColumn="0" w:lastColumn="0" w:oddVBand="1" w:evenVBand="0" w:oddHBand="0" w:evenHBand="0" w:firstRowFirstColumn="0" w:firstRowLastColumn="0" w:lastRowFirstColumn="0" w:lastRowLastColumn="0"/>
            <w:tcW w:w="1440" w:type="dxa"/>
            <w:tcBorders>
              <w:left w:val="none" w:sz="0" w:space="0" w:color="auto"/>
              <w:bottom w:val="none" w:sz="0" w:space="0" w:color="auto"/>
              <w:right w:val="none" w:sz="0" w:space="0" w:color="auto"/>
            </w:tcBorders>
            <w:vAlign w:val="center"/>
          </w:tcPr>
          <w:p w14:paraId="46EC5DD3" w14:textId="08126464" w:rsidR="00EC7396" w:rsidRPr="00932477" w:rsidRDefault="00EC7396" w:rsidP="00AA2F78">
            <w:pPr>
              <w:spacing w:after="0"/>
              <w:jc w:val="center"/>
              <w:rPr>
                <w:bCs w:val="0"/>
                <w:i/>
              </w:rPr>
            </w:pPr>
            <w:r w:rsidRPr="00932477">
              <w:t>Lon</w:t>
            </w:r>
            <w:r w:rsidR="00605660">
              <w:t>gitude</w:t>
            </w:r>
          </w:p>
        </w:tc>
        <w:tc>
          <w:tcPr>
            <w:cnfStyle w:val="000001000000" w:firstRow="0" w:lastRow="0" w:firstColumn="0" w:lastColumn="0" w:oddVBand="0" w:evenVBand="1" w:oddHBand="0" w:evenHBand="0" w:firstRowFirstColumn="0" w:firstRowLastColumn="0" w:lastRowFirstColumn="0" w:lastRowLastColumn="0"/>
            <w:tcW w:w="1440" w:type="dxa"/>
            <w:tcBorders>
              <w:left w:val="none" w:sz="0" w:space="0" w:color="auto"/>
              <w:bottom w:val="none" w:sz="0" w:space="0" w:color="auto"/>
              <w:right w:val="none" w:sz="0" w:space="0" w:color="auto"/>
            </w:tcBorders>
            <w:vAlign w:val="center"/>
          </w:tcPr>
          <w:p w14:paraId="74D83294" w14:textId="2B462FD3" w:rsidR="00EC7396" w:rsidRPr="00932477" w:rsidRDefault="00EC7396" w:rsidP="00AA2F78">
            <w:pPr>
              <w:spacing w:after="0"/>
              <w:jc w:val="center"/>
              <w:rPr>
                <w:bCs w:val="0"/>
                <w:i/>
              </w:rPr>
            </w:pPr>
            <w:r w:rsidRPr="00932477">
              <w:t>Lat</w:t>
            </w:r>
            <w:r w:rsidR="00605660">
              <w:t>itude</w:t>
            </w:r>
          </w:p>
        </w:tc>
        <w:tc>
          <w:tcPr>
            <w:cnfStyle w:val="000010000000" w:firstRow="0" w:lastRow="0" w:firstColumn="0" w:lastColumn="0" w:oddVBand="1" w:evenVBand="0" w:oddHBand="0" w:evenHBand="0" w:firstRowFirstColumn="0" w:firstRowLastColumn="0" w:lastRowFirstColumn="0" w:lastRowLastColumn="0"/>
            <w:tcW w:w="2530" w:type="dxa"/>
            <w:tcBorders>
              <w:left w:val="none" w:sz="0" w:space="0" w:color="auto"/>
              <w:bottom w:val="none" w:sz="0" w:space="0" w:color="auto"/>
              <w:right w:val="none" w:sz="0" w:space="0" w:color="auto"/>
            </w:tcBorders>
            <w:vAlign w:val="center"/>
          </w:tcPr>
          <w:p w14:paraId="25194A2F" w14:textId="77777777" w:rsidR="00EC7396" w:rsidRPr="00932477" w:rsidRDefault="00EC7396" w:rsidP="00AA2F78">
            <w:pPr>
              <w:spacing w:after="0"/>
              <w:jc w:val="center"/>
              <w:rPr>
                <w:bCs w:val="0"/>
                <w:i/>
              </w:rPr>
            </w:pPr>
            <w:r w:rsidRPr="00932477">
              <w:t>Station Height (m) AGL</w:t>
            </w:r>
          </w:p>
        </w:tc>
        <w:tc>
          <w:tcPr>
            <w:cnfStyle w:val="000001000000" w:firstRow="0" w:lastRow="0" w:firstColumn="0" w:lastColumn="0" w:oddVBand="0" w:evenVBand="1" w:oddHBand="0" w:evenHBand="0" w:firstRowFirstColumn="0" w:firstRowLastColumn="0" w:lastRowFirstColumn="0" w:lastRowLastColumn="0"/>
            <w:tcW w:w="1820" w:type="dxa"/>
            <w:tcBorders>
              <w:left w:val="none" w:sz="0" w:space="0" w:color="auto"/>
              <w:bottom w:val="none" w:sz="0" w:space="0" w:color="auto"/>
              <w:right w:val="none" w:sz="0" w:space="0" w:color="auto"/>
            </w:tcBorders>
            <w:vAlign w:val="center"/>
          </w:tcPr>
          <w:p w14:paraId="563FAEA3" w14:textId="77777777" w:rsidR="00EC7396" w:rsidRPr="00932477" w:rsidRDefault="00EC7396" w:rsidP="00AA2F78">
            <w:pPr>
              <w:spacing w:after="0"/>
              <w:jc w:val="center"/>
              <w:rPr>
                <w:bCs w:val="0"/>
                <w:i/>
              </w:rPr>
            </w:pPr>
            <w:r w:rsidRPr="00932477">
              <w:t>Station ID</w:t>
            </w:r>
          </w:p>
        </w:tc>
      </w:tr>
      <w:tr w:rsidR="00EC7396" w:rsidRPr="00932477" w14:paraId="0AB6D985" w14:textId="77777777" w:rsidTr="00605660">
        <w:trPr>
          <w:cnfStyle w:val="000000100000" w:firstRow="0" w:lastRow="0" w:firstColumn="0" w:lastColumn="0" w:oddVBand="0" w:evenVBand="0" w:oddHBand="1" w:evenHBand="0" w:firstRowFirstColumn="0" w:firstRowLastColumn="0" w:lastRowFirstColumn="0" w:lastRowLastColumn="0"/>
          <w:trHeight w:val="244"/>
          <w:jc w:val="center"/>
        </w:trPr>
        <w:tc>
          <w:tcPr>
            <w:cnfStyle w:val="001000000000" w:firstRow="0" w:lastRow="0" w:firstColumn="1" w:lastColumn="0" w:oddVBand="0" w:evenVBand="0" w:oddHBand="0" w:evenHBand="0" w:firstRowFirstColumn="0" w:firstRowLastColumn="0" w:lastRowFirstColumn="0" w:lastRowLastColumn="0"/>
            <w:tcW w:w="1705" w:type="dxa"/>
            <w:tcBorders>
              <w:top w:val="none" w:sz="0" w:space="0" w:color="auto"/>
              <w:bottom w:val="none" w:sz="0" w:space="0" w:color="auto"/>
            </w:tcBorders>
            <w:vAlign w:val="center"/>
          </w:tcPr>
          <w:p w14:paraId="0D3A7807" w14:textId="77777777" w:rsidR="00EC7396" w:rsidRPr="00932477" w:rsidRDefault="00EC7396" w:rsidP="00AA2F78">
            <w:pPr>
              <w:spacing w:after="0"/>
              <w:jc w:val="center"/>
              <w:rPr>
                <w:bCs w:val="0"/>
                <w:i/>
              </w:rPr>
            </w:pPr>
            <w:r w:rsidRPr="00932477">
              <w:t>LHASA*</w:t>
            </w:r>
          </w:p>
        </w:tc>
        <w:tc>
          <w:tcPr>
            <w:cnfStyle w:val="000010000000" w:firstRow="0" w:lastRow="0" w:firstColumn="0" w:lastColumn="0" w:oddVBand="1" w:evenVBand="0" w:oddHBand="0" w:evenHBand="0" w:firstRowFirstColumn="0" w:firstRowLastColumn="0" w:lastRowFirstColumn="0" w:lastRowLastColumn="0"/>
            <w:tcW w:w="1440" w:type="dxa"/>
            <w:tcBorders>
              <w:top w:val="none" w:sz="0" w:space="0" w:color="auto"/>
              <w:left w:val="none" w:sz="0" w:space="0" w:color="auto"/>
              <w:bottom w:val="none" w:sz="0" w:space="0" w:color="auto"/>
              <w:right w:val="none" w:sz="0" w:space="0" w:color="auto"/>
            </w:tcBorders>
            <w:vAlign w:val="center"/>
          </w:tcPr>
          <w:p w14:paraId="171B6C7A" w14:textId="77777777" w:rsidR="00EC7396" w:rsidRPr="00932477" w:rsidRDefault="00EC7396" w:rsidP="00AA2F78">
            <w:pPr>
              <w:spacing w:after="0"/>
              <w:jc w:val="center"/>
            </w:pPr>
            <w:r w:rsidRPr="00932477">
              <w:t>91.133</w:t>
            </w:r>
          </w:p>
        </w:tc>
        <w:tc>
          <w:tcPr>
            <w:cnfStyle w:val="000001000000" w:firstRow="0" w:lastRow="0" w:firstColumn="0" w:lastColumn="0" w:oddVBand="0" w:evenVBand="1" w:oddHBand="0" w:evenHBand="0" w:firstRowFirstColumn="0" w:firstRowLastColumn="0" w:lastRowFirstColumn="0" w:lastRowLastColumn="0"/>
            <w:tcW w:w="1440" w:type="dxa"/>
            <w:tcBorders>
              <w:top w:val="none" w:sz="0" w:space="0" w:color="auto"/>
              <w:left w:val="none" w:sz="0" w:space="0" w:color="auto"/>
              <w:bottom w:val="none" w:sz="0" w:space="0" w:color="auto"/>
              <w:right w:val="none" w:sz="0" w:space="0" w:color="auto"/>
            </w:tcBorders>
            <w:vAlign w:val="center"/>
          </w:tcPr>
          <w:p w14:paraId="121D462F" w14:textId="77777777" w:rsidR="00EC7396" w:rsidRPr="00932477" w:rsidRDefault="00EC7396" w:rsidP="00AA2F78">
            <w:pPr>
              <w:spacing w:after="0"/>
              <w:jc w:val="center"/>
            </w:pPr>
            <w:r w:rsidRPr="00932477">
              <w:t>29.667</w:t>
            </w:r>
          </w:p>
        </w:tc>
        <w:tc>
          <w:tcPr>
            <w:cnfStyle w:val="000010000000" w:firstRow="0" w:lastRow="0" w:firstColumn="0" w:lastColumn="0" w:oddVBand="1" w:evenVBand="0" w:oddHBand="0" w:evenHBand="0" w:firstRowFirstColumn="0" w:firstRowLastColumn="0" w:lastRowFirstColumn="0" w:lastRowLastColumn="0"/>
            <w:tcW w:w="2530" w:type="dxa"/>
            <w:tcBorders>
              <w:top w:val="none" w:sz="0" w:space="0" w:color="auto"/>
              <w:left w:val="none" w:sz="0" w:space="0" w:color="auto"/>
              <w:bottom w:val="none" w:sz="0" w:space="0" w:color="auto"/>
              <w:right w:val="none" w:sz="0" w:space="0" w:color="auto"/>
            </w:tcBorders>
            <w:vAlign w:val="center"/>
          </w:tcPr>
          <w:p w14:paraId="081A45F4" w14:textId="77777777" w:rsidR="00EC7396" w:rsidRPr="00932477" w:rsidRDefault="00EC7396" w:rsidP="00AA2F78">
            <w:pPr>
              <w:spacing w:after="0"/>
              <w:jc w:val="center"/>
            </w:pPr>
            <w:r w:rsidRPr="00932477">
              <w:t>3649</w:t>
            </w:r>
          </w:p>
        </w:tc>
        <w:tc>
          <w:tcPr>
            <w:cnfStyle w:val="000001000000" w:firstRow="0" w:lastRow="0" w:firstColumn="0" w:lastColumn="0" w:oddVBand="0" w:evenVBand="1" w:oddHBand="0" w:evenHBand="0" w:firstRowFirstColumn="0" w:firstRowLastColumn="0" w:lastRowFirstColumn="0" w:lastRowLastColumn="0"/>
            <w:tcW w:w="1820" w:type="dxa"/>
            <w:tcBorders>
              <w:top w:val="none" w:sz="0" w:space="0" w:color="auto"/>
              <w:left w:val="none" w:sz="0" w:space="0" w:color="auto"/>
              <w:bottom w:val="none" w:sz="0" w:space="0" w:color="auto"/>
              <w:right w:val="none" w:sz="0" w:space="0" w:color="auto"/>
            </w:tcBorders>
            <w:vAlign w:val="center"/>
          </w:tcPr>
          <w:p w14:paraId="72FA630D" w14:textId="77777777" w:rsidR="00EC7396" w:rsidRPr="00932477" w:rsidRDefault="00EC7396" w:rsidP="00AA2F78">
            <w:pPr>
              <w:spacing w:after="0"/>
              <w:jc w:val="center"/>
            </w:pPr>
            <w:r w:rsidRPr="00932477">
              <w:t>55591</w:t>
            </w:r>
          </w:p>
        </w:tc>
      </w:tr>
      <w:tr w:rsidR="00EC7396" w:rsidRPr="00932477" w14:paraId="6F210E90" w14:textId="77777777" w:rsidTr="00605660">
        <w:trPr>
          <w:trHeight w:val="219"/>
          <w:jc w:val="center"/>
        </w:trPr>
        <w:tc>
          <w:tcPr>
            <w:cnfStyle w:val="001000000000" w:firstRow="0" w:lastRow="0" w:firstColumn="1" w:lastColumn="0" w:oddVBand="0" w:evenVBand="0" w:oddHBand="0" w:evenHBand="0" w:firstRowFirstColumn="0" w:firstRowLastColumn="0" w:lastRowFirstColumn="0" w:lastRowLastColumn="0"/>
            <w:tcW w:w="1705" w:type="dxa"/>
            <w:vAlign w:val="center"/>
          </w:tcPr>
          <w:p w14:paraId="23C37718" w14:textId="77777777" w:rsidR="00EC7396" w:rsidRPr="00932477" w:rsidRDefault="00EC7396" w:rsidP="00AA2F78">
            <w:pPr>
              <w:spacing w:after="0"/>
              <w:jc w:val="center"/>
              <w:rPr>
                <w:bCs w:val="0"/>
                <w:i/>
              </w:rPr>
            </w:pPr>
            <w:r w:rsidRPr="00932477">
              <w:t>LINZHI*</w:t>
            </w:r>
          </w:p>
        </w:tc>
        <w:tc>
          <w:tcPr>
            <w:cnfStyle w:val="000010000000" w:firstRow="0" w:lastRow="0" w:firstColumn="0" w:lastColumn="0" w:oddVBand="1" w:evenVBand="0" w:oddHBand="0" w:evenHBand="0" w:firstRowFirstColumn="0" w:firstRowLastColumn="0" w:lastRowFirstColumn="0" w:lastRowLastColumn="0"/>
            <w:tcW w:w="1440" w:type="dxa"/>
            <w:tcBorders>
              <w:left w:val="none" w:sz="0" w:space="0" w:color="auto"/>
              <w:right w:val="none" w:sz="0" w:space="0" w:color="auto"/>
            </w:tcBorders>
            <w:vAlign w:val="center"/>
          </w:tcPr>
          <w:p w14:paraId="1CBC9AE7" w14:textId="77777777" w:rsidR="00EC7396" w:rsidRPr="00932477" w:rsidRDefault="00EC7396" w:rsidP="00AA2F78">
            <w:pPr>
              <w:spacing w:after="0"/>
              <w:jc w:val="center"/>
            </w:pPr>
            <w:r w:rsidRPr="00932477">
              <w:t>94.340</w:t>
            </w:r>
          </w:p>
        </w:tc>
        <w:tc>
          <w:tcPr>
            <w:cnfStyle w:val="000001000000" w:firstRow="0" w:lastRow="0" w:firstColumn="0" w:lastColumn="0" w:oddVBand="0" w:evenVBand="1" w:oddHBand="0" w:evenHBand="0" w:firstRowFirstColumn="0" w:firstRowLastColumn="0" w:lastRowFirstColumn="0" w:lastRowLastColumn="0"/>
            <w:tcW w:w="1440" w:type="dxa"/>
            <w:tcBorders>
              <w:left w:val="none" w:sz="0" w:space="0" w:color="auto"/>
              <w:right w:val="none" w:sz="0" w:space="0" w:color="auto"/>
            </w:tcBorders>
            <w:vAlign w:val="center"/>
          </w:tcPr>
          <w:p w14:paraId="0A8F58D4" w14:textId="77777777" w:rsidR="00EC7396" w:rsidRPr="00932477" w:rsidRDefault="00EC7396" w:rsidP="00AA2F78">
            <w:pPr>
              <w:spacing w:after="0"/>
              <w:jc w:val="center"/>
            </w:pPr>
            <w:r w:rsidRPr="00932477">
              <w:t>29.667</w:t>
            </w:r>
          </w:p>
        </w:tc>
        <w:tc>
          <w:tcPr>
            <w:cnfStyle w:val="000010000000" w:firstRow="0" w:lastRow="0" w:firstColumn="0" w:lastColumn="0" w:oddVBand="1" w:evenVBand="0" w:oddHBand="0" w:evenHBand="0" w:firstRowFirstColumn="0" w:firstRowLastColumn="0" w:lastRowFirstColumn="0" w:lastRowLastColumn="0"/>
            <w:tcW w:w="2530" w:type="dxa"/>
            <w:tcBorders>
              <w:left w:val="none" w:sz="0" w:space="0" w:color="auto"/>
              <w:right w:val="none" w:sz="0" w:space="0" w:color="auto"/>
            </w:tcBorders>
            <w:vAlign w:val="center"/>
          </w:tcPr>
          <w:p w14:paraId="384F6660" w14:textId="77777777" w:rsidR="00EC7396" w:rsidRPr="00932477" w:rsidRDefault="00EC7396" w:rsidP="00AA2F78">
            <w:pPr>
              <w:spacing w:after="0"/>
              <w:jc w:val="center"/>
            </w:pPr>
            <w:r w:rsidRPr="00932477">
              <w:t>2992</w:t>
            </w:r>
          </w:p>
        </w:tc>
        <w:tc>
          <w:tcPr>
            <w:cnfStyle w:val="000001000000" w:firstRow="0" w:lastRow="0" w:firstColumn="0" w:lastColumn="0" w:oddVBand="0" w:evenVBand="1" w:oddHBand="0" w:evenHBand="0" w:firstRowFirstColumn="0" w:firstRowLastColumn="0" w:lastRowFirstColumn="0" w:lastRowLastColumn="0"/>
            <w:tcW w:w="1820" w:type="dxa"/>
            <w:tcBorders>
              <w:left w:val="none" w:sz="0" w:space="0" w:color="auto"/>
              <w:right w:val="none" w:sz="0" w:space="0" w:color="auto"/>
            </w:tcBorders>
            <w:vAlign w:val="center"/>
          </w:tcPr>
          <w:p w14:paraId="591754E7" w14:textId="77777777" w:rsidR="00EC7396" w:rsidRPr="00932477" w:rsidRDefault="00EC7396" w:rsidP="00AA2F78">
            <w:pPr>
              <w:spacing w:after="0"/>
              <w:jc w:val="center"/>
            </w:pPr>
            <w:r w:rsidRPr="00932477">
              <w:t>56312</w:t>
            </w:r>
          </w:p>
        </w:tc>
      </w:tr>
      <w:tr w:rsidR="00EC7396" w:rsidRPr="00932477" w14:paraId="6A5C7C54" w14:textId="77777777" w:rsidTr="00605660">
        <w:trPr>
          <w:cnfStyle w:val="000000100000" w:firstRow="0" w:lastRow="0" w:firstColumn="0" w:lastColumn="0" w:oddVBand="0" w:evenVBand="0" w:oddHBand="1" w:evenHBand="0" w:firstRowFirstColumn="0" w:firstRowLastColumn="0" w:lastRowFirstColumn="0" w:lastRowLastColumn="0"/>
          <w:trHeight w:val="200"/>
          <w:jc w:val="center"/>
        </w:trPr>
        <w:tc>
          <w:tcPr>
            <w:cnfStyle w:val="001000000000" w:firstRow="0" w:lastRow="0" w:firstColumn="1" w:lastColumn="0" w:oddVBand="0" w:evenVBand="0" w:oddHBand="0" w:evenHBand="0" w:firstRowFirstColumn="0" w:firstRowLastColumn="0" w:lastRowFirstColumn="0" w:lastRowLastColumn="0"/>
            <w:tcW w:w="1705" w:type="dxa"/>
            <w:tcBorders>
              <w:top w:val="none" w:sz="0" w:space="0" w:color="auto"/>
              <w:bottom w:val="none" w:sz="0" w:space="0" w:color="auto"/>
            </w:tcBorders>
            <w:vAlign w:val="center"/>
          </w:tcPr>
          <w:p w14:paraId="623892B0" w14:textId="77777777" w:rsidR="00EC7396" w:rsidRPr="00932477" w:rsidRDefault="00EC7396" w:rsidP="00AA2F78">
            <w:pPr>
              <w:spacing w:after="0"/>
              <w:jc w:val="center"/>
              <w:rPr>
                <w:bCs w:val="0"/>
                <w:i/>
              </w:rPr>
            </w:pPr>
            <w:bookmarkStart w:id="11" w:name="_Hlk61387765"/>
            <w:r w:rsidRPr="00932477">
              <w:t>NAQU1*</w:t>
            </w:r>
          </w:p>
        </w:tc>
        <w:tc>
          <w:tcPr>
            <w:cnfStyle w:val="000010000000" w:firstRow="0" w:lastRow="0" w:firstColumn="0" w:lastColumn="0" w:oddVBand="1" w:evenVBand="0" w:oddHBand="0" w:evenHBand="0" w:firstRowFirstColumn="0" w:firstRowLastColumn="0" w:lastRowFirstColumn="0" w:lastRowLastColumn="0"/>
            <w:tcW w:w="1440" w:type="dxa"/>
            <w:tcBorders>
              <w:top w:val="none" w:sz="0" w:space="0" w:color="auto"/>
              <w:left w:val="none" w:sz="0" w:space="0" w:color="auto"/>
              <w:bottom w:val="none" w:sz="0" w:space="0" w:color="auto"/>
              <w:right w:val="none" w:sz="0" w:space="0" w:color="auto"/>
            </w:tcBorders>
            <w:vAlign w:val="center"/>
          </w:tcPr>
          <w:p w14:paraId="2F6044D4" w14:textId="77777777" w:rsidR="00EC7396" w:rsidRPr="00932477" w:rsidRDefault="00EC7396" w:rsidP="00AA2F78">
            <w:pPr>
              <w:spacing w:after="0"/>
              <w:jc w:val="center"/>
            </w:pPr>
            <w:r w:rsidRPr="00932477">
              <w:t>92.067</w:t>
            </w:r>
          </w:p>
        </w:tc>
        <w:tc>
          <w:tcPr>
            <w:cnfStyle w:val="000001000000" w:firstRow="0" w:lastRow="0" w:firstColumn="0" w:lastColumn="0" w:oddVBand="0" w:evenVBand="1" w:oddHBand="0" w:evenHBand="0" w:firstRowFirstColumn="0" w:firstRowLastColumn="0" w:lastRowFirstColumn="0" w:lastRowLastColumn="0"/>
            <w:tcW w:w="1440" w:type="dxa"/>
            <w:tcBorders>
              <w:top w:val="none" w:sz="0" w:space="0" w:color="auto"/>
              <w:left w:val="none" w:sz="0" w:space="0" w:color="auto"/>
              <w:bottom w:val="none" w:sz="0" w:space="0" w:color="auto"/>
              <w:right w:val="none" w:sz="0" w:space="0" w:color="auto"/>
            </w:tcBorders>
            <w:vAlign w:val="center"/>
          </w:tcPr>
          <w:p w14:paraId="1B3D3928" w14:textId="77777777" w:rsidR="00EC7396" w:rsidRPr="00932477" w:rsidRDefault="00EC7396" w:rsidP="00AA2F78">
            <w:pPr>
              <w:spacing w:after="0"/>
              <w:jc w:val="center"/>
            </w:pPr>
            <w:r w:rsidRPr="00932477">
              <w:t>31.483</w:t>
            </w:r>
          </w:p>
        </w:tc>
        <w:tc>
          <w:tcPr>
            <w:cnfStyle w:val="000010000000" w:firstRow="0" w:lastRow="0" w:firstColumn="0" w:lastColumn="0" w:oddVBand="1" w:evenVBand="0" w:oddHBand="0" w:evenHBand="0" w:firstRowFirstColumn="0" w:firstRowLastColumn="0" w:lastRowFirstColumn="0" w:lastRowLastColumn="0"/>
            <w:tcW w:w="2530" w:type="dxa"/>
            <w:tcBorders>
              <w:top w:val="none" w:sz="0" w:space="0" w:color="auto"/>
              <w:left w:val="none" w:sz="0" w:space="0" w:color="auto"/>
              <w:bottom w:val="none" w:sz="0" w:space="0" w:color="auto"/>
              <w:right w:val="none" w:sz="0" w:space="0" w:color="auto"/>
            </w:tcBorders>
            <w:vAlign w:val="center"/>
          </w:tcPr>
          <w:p w14:paraId="16C67998" w14:textId="77777777" w:rsidR="00EC7396" w:rsidRPr="00932477" w:rsidRDefault="00EC7396" w:rsidP="00AA2F78">
            <w:pPr>
              <w:spacing w:after="0"/>
              <w:jc w:val="center"/>
            </w:pPr>
            <w:r w:rsidRPr="00932477">
              <w:t>4508</w:t>
            </w:r>
          </w:p>
        </w:tc>
        <w:tc>
          <w:tcPr>
            <w:cnfStyle w:val="000001000000" w:firstRow="0" w:lastRow="0" w:firstColumn="0" w:lastColumn="0" w:oddVBand="0" w:evenVBand="1" w:oddHBand="0" w:evenHBand="0" w:firstRowFirstColumn="0" w:firstRowLastColumn="0" w:lastRowFirstColumn="0" w:lastRowLastColumn="0"/>
            <w:tcW w:w="1820" w:type="dxa"/>
            <w:tcBorders>
              <w:top w:val="none" w:sz="0" w:space="0" w:color="auto"/>
              <w:left w:val="none" w:sz="0" w:space="0" w:color="auto"/>
              <w:bottom w:val="none" w:sz="0" w:space="0" w:color="auto"/>
              <w:right w:val="none" w:sz="0" w:space="0" w:color="auto"/>
            </w:tcBorders>
            <w:vAlign w:val="center"/>
          </w:tcPr>
          <w:p w14:paraId="57336953" w14:textId="77777777" w:rsidR="00EC7396" w:rsidRPr="00932477" w:rsidRDefault="00EC7396" w:rsidP="00AA2F78">
            <w:pPr>
              <w:spacing w:after="0"/>
              <w:jc w:val="center"/>
            </w:pPr>
            <w:r w:rsidRPr="00932477">
              <w:t>55299</w:t>
            </w:r>
          </w:p>
        </w:tc>
      </w:tr>
      <w:bookmarkEnd w:id="11"/>
      <w:tr w:rsidR="00EC7396" w:rsidRPr="00932477" w14:paraId="52B82AD2" w14:textId="77777777" w:rsidTr="00605660">
        <w:trPr>
          <w:trHeight w:val="227"/>
          <w:jc w:val="center"/>
        </w:trPr>
        <w:tc>
          <w:tcPr>
            <w:cnfStyle w:val="001000000000" w:firstRow="0" w:lastRow="0" w:firstColumn="1" w:lastColumn="0" w:oddVBand="0" w:evenVBand="0" w:oddHBand="0" w:evenHBand="0" w:firstRowFirstColumn="0" w:firstRowLastColumn="0" w:lastRowFirstColumn="0" w:lastRowLastColumn="0"/>
            <w:tcW w:w="1705" w:type="dxa"/>
            <w:vAlign w:val="center"/>
          </w:tcPr>
          <w:p w14:paraId="791A80EC" w14:textId="77777777" w:rsidR="00EC7396" w:rsidRPr="00932477" w:rsidRDefault="00EC7396" w:rsidP="00AA2F78">
            <w:pPr>
              <w:spacing w:after="0"/>
              <w:jc w:val="center"/>
              <w:rPr>
                <w:bCs w:val="0"/>
                <w:i/>
              </w:rPr>
            </w:pPr>
            <w:r w:rsidRPr="00932477">
              <w:t>NAQU2**</w:t>
            </w:r>
          </w:p>
        </w:tc>
        <w:tc>
          <w:tcPr>
            <w:cnfStyle w:val="000010000000" w:firstRow="0" w:lastRow="0" w:firstColumn="0" w:lastColumn="0" w:oddVBand="1" w:evenVBand="0" w:oddHBand="0" w:evenHBand="0" w:firstRowFirstColumn="0" w:firstRowLastColumn="0" w:lastRowFirstColumn="0" w:lastRowLastColumn="0"/>
            <w:tcW w:w="1440" w:type="dxa"/>
            <w:tcBorders>
              <w:left w:val="none" w:sz="0" w:space="0" w:color="auto"/>
              <w:right w:val="none" w:sz="0" w:space="0" w:color="auto"/>
            </w:tcBorders>
            <w:vAlign w:val="center"/>
          </w:tcPr>
          <w:p w14:paraId="08D0D8D8" w14:textId="77777777" w:rsidR="00EC7396" w:rsidRPr="00932477" w:rsidRDefault="00EC7396" w:rsidP="00AA2F78">
            <w:pPr>
              <w:spacing w:after="0"/>
              <w:jc w:val="center"/>
            </w:pPr>
            <w:r w:rsidRPr="00932477">
              <w:t>92.01</w:t>
            </w:r>
          </w:p>
        </w:tc>
        <w:tc>
          <w:tcPr>
            <w:cnfStyle w:val="000001000000" w:firstRow="0" w:lastRow="0" w:firstColumn="0" w:lastColumn="0" w:oddVBand="0" w:evenVBand="1" w:oddHBand="0" w:evenHBand="0" w:firstRowFirstColumn="0" w:firstRowLastColumn="0" w:lastRowFirstColumn="0" w:lastRowLastColumn="0"/>
            <w:tcW w:w="1440" w:type="dxa"/>
            <w:tcBorders>
              <w:left w:val="none" w:sz="0" w:space="0" w:color="auto"/>
              <w:right w:val="none" w:sz="0" w:space="0" w:color="auto"/>
            </w:tcBorders>
            <w:vAlign w:val="center"/>
          </w:tcPr>
          <w:p w14:paraId="4F1B9ABA" w14:textId="77777777" w:rsidR="00EC7396" w:rsidRPr="00932477" w:rsidRDefault="00EC7396" w:rsidP="00AA2F78">
            <w:pPr>
              <w:spacing w:after="0"/>
              <w:jc w:val="center"/>
            </w:pPr>
            <w:r w:rsidRPr="00932477">
              <w:t>31.48</w:t>
            </w:r>
          </w:p>
        </w:tc>
        <w:tc>
          <w:tcPr>
            <w:cnfStyle w:val="000010000000" w:firstRow="0" w:lastRow="0" w:firstColumn="0" w:lastColumn="0" w:oddVBand="1" w:evenVBand="0" w:oddHBand="0" w:evenHBand="0" w:firstRowFirstColumn="0" w:firstRowLastColumn="0" w:lastRowFirstColumn="0" w:lastRowLastColumn="0"/>
            <w:tcW w:w="2530" w:type="dxa"/>
            <w:tcBorders>
              <w:left w:val="none" w:sz="0" w:space="0" w:color="auto"/>
              <w:right w:val="none" w:sz="0" w:space="0" w:color="auto"/>
            </w:tcBorders>
            <w:vAlign w:val="center"/>
          </w:tcPr>
          <w:p w14:paraId="710BBD9D" w14:textId="77777777" w:rsidR="00EC7396" w:rsidRPr="00932477" w:rsidRDefault="00EC7396" w:rsidP="00AA2F78">
            <w:pPr>
              <w:spacing w:after="0"/>
              <w:jc w:val="center"/>
            </w:pPr>
            <w:r w:rsidRPr="00932477">
              <w:t>4507</w:t>
            </w:r>
          </w:p>
        </w:tc>
        <w:tc>
          <w:tcPr>
            <w:cnfStyle w:val="000001000000" w:firstRow="0" w:lastRow="0" w:firstColumn="0" w:lastColumn="0" w:oddVBand="0" w:evenVBand="1" w:oddHBand="0" w:evenHBand="0" w:firstRowFirstColumn="0" w:firstRowLastColumn="0" w:lastRowFirstColumn="0" w:lastRowLastColumn="0"/>
            <w:tcW w:w="1820" w:type="dxa"/>
            <w:tcBorders>
              <w:left w:val="none" w:sz="0" w:space="0" w:color="auto"/>
              <w:right w:val="none" w:sz="0" w:space="0" w:color="auto"/>
            </w:tcBorders>
            <w:vAlign w:val="center"/>
          </w:tcPr>
          <w:p w14:paraId="6A762D63" w14:textId="77777777" w:rsidR="00EC7396" w:rsidRPr="00932477" w:rsidRDefault="00EC7396" w:rsidP="00AA2F78">
            <w:pPr>
              <w:spacing w:after="0"/>
              <w:jc w:val="center"/>
            </w:pPr>
            <w:r w:rsidRPr="00932477">
              <w:t>55299</w:t>
            </w:r>
          </w:p>
        </w:tc>
      </w:tr>
      <w:tr w:rsidR="00EC7396" w:rsidRPr="00932477" w14:paraId="4C181A6E" w14:textId="77777777" w:rsidTr="00605660">
        <w:trPr>
          <w:cnfStyle w:val="000000100000" w:firstRow="0" w:lastRow="0" w:firstColumn="0" w:lastColumn="0" w:oddVBand="0" w:evenVBand="0" w:oddHBand="1" w:evenHBand="0" w:firstRowFirstColumn="0" w:firstRowLastColumn="0" w:lastRowFirstColumn="0" w:lastRowLastColumn="0"/>
          <w:trHeight w:val="272"/>
          <w:jc w:val="center"/>
        </w:trPr>
        <w:tc>
          <w:tcPr>
            <w:cnfStyle w:val="001000000000" w:firstRow="0" w:lastRow="0" w:firstColumn="1" w:lastColumn="0" w:oddVBand="0" w:evenVBand="0" w:oddHBand="0" w:evenHBand="0" w:firstRowFirstColumn="0" w:firstRowLastColumn="0" w:lastRowFirstColumn="0" w:lastRowLastColumn="0"/>
            <w:tcW w:w="1705" w:type="dxa"/>
            <w:tcBorders>
              <w:top w:val="none" w:sz="0" w:space="0" w:color="auto"/>
              <w:bottom w:val="none" w:sz="0" w:space="0" w:color="auto"/>
            </w:tcBorders>
            <w:vAlign w:val="center"/>
          </w:tcPr>
          <w:p w14:paraId="7E4F9DCA" w14:textId="77777777" w:rsidR="00EC7396" w:rsidRPr="00932477" w:rsidRDefault="00EC7396" w:rsidP="00AA2F78">
            <w:pPr>
              <w:spacing w:after="0"/>
              <w:jc w:val="center"/>
              <w:rPr>
                <w:bCs w:val="0"/>
                <w:i/>
              </w:rPr>
            </w:pPr>
            <w:r w:rsidRPr="00932477">
              <w:t>NPCE1</w:t>
            </w:r>
          </w:p>
        </w:tc>
        <w:tc>
          <w:tcPr>
            <w:cnfStyle w:val="000010000000" w:firstRow="0" w:lastRow="0" w:firstColumn="0" w:lastColumn="0" w:oddVBand="1" w:evenVBand="0" w:oddHBand="0" w:evenHBand="0" w:firstRowFirstColumn="0" w:firstRowLastColumn="0" w:lastRowFirstColumn="0" w:lastRowLastColumn="0"/>
            <w:tcW w:w="1440" w:type="dxa"/>
            <w:tcBorders>
              <w:top w:val="none" w:sz="0" w:space="0" w:color="auto"/>
              <w:left w:val="none" w:sz="0" w:space="0" w:color="auto"/>
              <w:bottom w:val="none" w:sz="0" w:space="0" w:color="auto"/>
              <w:right w:val="none" w:sz="0" w:space="0" w:color="auto"/>
            </w:tcBorders>
            <w:vAlign w:val="center"/>
          </w:tcPr>
          <w:p w14:paraId="4F6556FA" w14:textId="77777777" w:rsidR="00EC7396" w:rsidRPr="00932477" w:rsidRDefault="00EC7396" w:rsidP="00AA2F78">
            <w:pPr>
              <w:spacing w:after="0"/>
              <w:jc w:val="center"/>
            </w:pPr>
            <w:r w:rsidRPr="00932477">
              <w:t>91.900</w:t>
            </w:r>
          </w:p>
        </w:tc>
        <w:tc>
          <w:tcPr>
            <w:cnfStyle w:val="000001000000" w:firstRow="0" w:lastRow="0" w:firstColumn="0" w:lastColumn="0" w:oddVBand="0" w:evenVBand="1" w:oddHBand="0" w:evenHBand="0" w:firstRowFirstColumn="0" w:firstRowLastColumn="0" w:lastRowFirstColumn="0" w:lastRowLastColumn="0"/>
            <w:tcW w:w="1440" w:type="dxa"/>
            <w:tcBorders>
              <w:top w:val="none" w:sz="0" w:space="0" w:color="auto"/>
              <w:left w:val="none" w:sz="0" w:space="0" w:color="auto"/>
              <w:bottom w:val="none" w:sz="0" w:space="0" w:color="auto"/>
              <w:right w:val="none" w:sz="0" w:space="0" w:color="auto"/>
            </w:tcBorders>
            <w:vAlign w:val="center"/>
          </w:tcPr>
          <w:p w14:paraId="7DC693C0" w14:textId="77777777" w:rsidR="00EC7396" w:rsidRPr="00932477" w:rsidRDefault="00EC7396" w:rsidP="00AA2F78">
            <w:pPr>
              <w:spacing w:after="0"/>
              <w:jc w:val="center"/>
            </w:pPr>
            <w:r w:rsidRPr="00932477">
              <w:t>31.300</w:t>
            </w:r>
          </w:p>
        </w:tc>
        <w:tc>
          <w:tcPr>
            <w:cnfStyle w:val="000010000000" w:firstRow="0" w:lastRow="0" w:firstColumn="0" w:lastColumn="0" w:oddVBand="1" w:evenVBand="0" w:oddHBand="0" w:evenHBand="0" w:firstRowFirstColumn="0" w:firstRowLastColumn="0" w:lastRowFirstColumn="0" w:lastRowLastColumn="0"/>
            <w:tcW w:w="2530" w:type="dxa"/>
            <w:tcBorders>
              <w:top w:val="none" w:sz="0" w:space="0" w:color="auto"/>
              <w:left w:val="none" w:sz="0" w:space="0" w:color="auto"/>
              <w:bottom w:val="none" w:sz="0" w:space="0" w:color="auto"/>
              <w:right w:val="none" w:sz="0" w:space="0" w:color="auto"/>
            </w:tcBorders>
            <w:vAlign w:val="center"/>
          </w:tcPr>
          <w:p w14:paraId="461F3246" w14:textId="77777777" w:rsidR="00EC7396" w:rsidRPr="00932477" w:rsidRDefault="00EC7396" w:rsidP="00AA2F78">
            <w:pPr>
              <w:spacing w:after="0"/>
              <w:jc w:val="center"/>
            </w:pPr>
            <w:r w:rsidRPr="00932477">
              <w:t>4534</w:t>
            </w:r>
          </w:p>
        </w:tc>
        <w:tc>
          <w:tcPr>
            <w:cnfStyle w:val="000001000000" w:firstRow="0" w:lastRow="0" w:firstColumn="0" w:lastColumn="0" w:oddVBand="0" w:evenVBand="1" w:oddHBand="0" w:evenHBand="0" w:firstRowFirstColumn="0" w:firstRowLastColumn="0" w:lastRowFirstColumn="0" w:lastRowLastColumn="0"/>
            <w:tcW w:w="1820" w:type="dxa"/>
            <w:tcBorders>
              <w:top w:val="none" w:sz="0" w:space="0" w:color="auto"/>
              <w:left w:val="none" w:sz="0" w:space="0" w:color="auto"/>
              <w:bottom w:val="none" w:sz="0" w:space="0" w:color="auto"/>
              <w:right w:val="none" w:sz="0" w:space="0" w:color="auto"/>
            </w:tcBorders>
            <w:vAlign w:val="center"/>
          </w:tcPr>
          <w:p w14:paraId="35D87548" w14:textId="77777777" w:rsidR="00EC7396" w:rsidRPr="00932477" w:rsidRDefault="00EC7396" w:rsidP="00AA2F78">
            <w:pPr>
              <w:spacing w:after="0"/>
              <w:jc w:val="center"/>
            </w:pPr>
            <w:r w:rsidRPr="00932477">
              <w:t>-</w:t>
            </w:r>
          </w:p>
        </w:tc>
      </w:tr>
      <w:tr w:rsidR="00EC7396" w:rsidRPr="00932477" w14:paraId="5A4AFF5E" w14:textId="77777777" w:rsidTr="00605660">
        <w:trPr>
          <w:trHeight w:val="254"/>
          <w:jc w:val="center"/>
        </w:trPr>
        <w:tc>
          <w:tcPr>
            <w:cnfStyle w:val="001000000000" w:firstRow="0" w:lastRow="0" w:firstColumn="1" w:lastColumn="0" w:oddVBand="0" w:evenVBand="0" w:oddHBand="0" w:evenHBand="0" w:firstRowFirstColumn="0" w:firstRowLastColumn="0" w:lastRowFirstColumn="0" w:lastRowLastColumn="0"/>
            <w:tcW w:w="1705" w:type="dxa"/>
            <w:vAlign w:val="center"/>
          </w:tcPr>
          <w:p w14:paraId="53BACE8B" w14:textId="77777777" w:rsidR="00EC7396" w:rsidRPr="00932477" w:rsidRDefault="00EC7396" w:rsidP="00AA2F78">
            <w:pPr>
              <w:spacing w:after="0"/>
              <w:jc w:val="center"/>
              <w:rPr>
                <w:bCs w:val="0"/>
                <w:i/>
              </w:rPr>
            </w:pPr>
            <w:r w:rsidRPr="00932477">
              <w:t>NPCE2</w:t>
            </w:r>
          </w:p>
        </w:tc>
        <w:tc>
          <w:tcPr>
            <w:cnfStyle w:val="000010000000" w:firstRow="0" w:lastRow="0" w:firstColumn="0" w:lastColumn="0" w:oddVBand="1" w:evenVBand="0" w:oddHBand="0" w:evenHBand="0" w:firstRowFirstColumn="0" w:firstRowLastColumn="0" w:lastRowFirstColumn="0" w:lastRowLastColumn="0"/>
            <w:tcW w:w="1440" w:type="dxa"/>
            <w:tcBorders>
              <w:left w:val="none" w:sz="0" w:space="0" w:color="auto"/>
              <w:right w:val="none" w:sz="0" w:space="0" w:color="auto"/>
            </w:tcBorders>
            <w:vAlign w:val="center"/>
          </w:tcPr>
          <w:p w14:paraId="40928981" w14:textId="77777777" w:rsidR="00EC7396" w:rsidRPr="00932477" w:rsidRDefault="00EC7396" w:rsidP="00AA2F78">
            <w:pPr>
              <w:spacing w:after="0"/>
              <w:jc w:val="center"/>
            </w:pPr>
            <w:r w:rsidRPr="00932477">
              <w:t>90.900</w:t>
            </w:r>
          </w:p>
        </w:tc>
        <w:tc>
          <w:tcPr>
            <w:cnfStyle w:val="000001000000" w:firstRow="0" w:lastRow="0" w:firstColumn="0" w:lastColumn="0" w:oddVBand="0" w:evenVBand="1" w:oddHBand="0" w:evenHBand="0" w:firstRowFirstColumn="0" w:firstRowLastColumn="0" w:lastRowFirstColumn="0" w:lastRowLastColumn="0"/>
            <w:tcW w:w="1440" w:type="dxa"/>
            <w:tcBorders>
              <w:left w:val="none" w:sz="0" w:space="0" w:color="auto"/>
              <w:right w:val="none" w:sz="0" w:space="0" w:color="auto"/>
            </w:tcBorders>
            <w:vAlign w:val="center"/>
          </w:tcPr>
          <w:p w14:paraId="50B1FFFD" w14:textId="77777777" w:rsidR="00EC7396" w:rsidRPr="00932477" w:rsidRDefault="00EC7396" w:rsidP="00AA2F78">
            <w:pPr>
              <w:spacing w:after="0"/>
              <w:jc w:val="center"/>
            </w:pPr>
            <w:r w:rsidRPr="00932477">
              <w:t>31.300</w:t>
            </w:r>
          </w:p>
        </w:tc>
        <w:tc>
          <w:tcPr>
            <w:cnfStyle w:val="000010000000" w:firstRow="0" w:lastRow="0" w:firstColumn="0" w:lastColumn="0" w:oddVBand="1" w:evenVBand="0" w:oddHBand="0" w:evenHBand="0" w:firstRowFirstColumn="0" w:firstRowLastColumn="0" w:lastRowFirstColumn="0" w:lastRowLastColumn="0"/>
            <w:tcW w:w="2530" w:type="dxa"/>
            <w:tcBorders>
              <w:left w:val="none" w:sz="0" w:space="0" w:color="auto"/>
              <w:right w:val="none" w:sz="0" w:space="0" w:color="auto"/>
            </w:tcBorders>
            <w:vAlign w:val="center"/>
          </w:tcPr>
          <w:p w14:paraId="57B67CDA" w14:textId="77777777" w:rsidR="00EC7396" w:rsidRPr="00932477" w:rsidRDefault="00EC7396" w:rsidP="00AA2F78">
            <w:pPr>
              <w:spacing w:after="0"/>
              <w:jc w:val="center"/>
            </w:pPr>
            <w:r w:rsidRPr="00932477">
              <w:t>4508</w:t>
            </w:r>
          </w:p>
        </w:tc>
        <w:tc>
          <w:tcPr>
            <w:cnfStyle w:val="000001000000" w:firstRow="0" w:lastRow="0" w:firstColumn="0" w:lastColumn="0" w:oddVBand="0" w:evenVBand="1" w:oddHBand="0" w:evenHBand="0" w:firstRowFirstColumn="0" w:firstRowLastColumn="0" w:lastRowFirstColumn="0" w:lastRowLastColumn="0"/>
            <w:tcW w:w="1820" w:type="dxa"/>
            <w:tcBorders>
              <w:left w:val="none" w:sz="0" w:space="0" w:color="auto"/>
              <w:right w:val="none" w:sz="0" w:space="0" w:color="auto"/>
            </w:tcBorders>
            <w:vAlign w:val="center"/>
          </w:tcPr>
          <w:p w14:paraId="0EE09F46" w14:textId="77777777" w:rsidR="00EC7396" w:rsidRPr="00932477" w:rsidRDefault="00EC7396" w:rsidP="00AA2F78">
            <w:pPr>
              <w:spacing w:after="0"/>
              <w:jc w:val="center"/>
            </w:pPr>
            <w:r w:rsidRPr="00932477">
              <w:t>-</w:t>
            </w:r>
          </w:p>
        </w:tc>
      </w:tr>
      <w:tr w:rsidR="00EC7396" w:rsidRPr="00932477" w14:paraId="78869B6C" w14:textId="77777777" w:rsidTr="00605660">
        <w:trPr>
          <w:cnfStyle w:val="000000100000" w:firstRow="0" w:lastRow="0" w:firstColumn="0" w:lastColumn="0" w:oddVBand="0" w:evenVBand="0" w:oddHBand="1" w:evenHBand="0" w:firstRowFirstColumn="0" w:firstRowLastColumn="0" w:lastRowFirstColumn="0" w:lastRowLastColumn="0"/>
          <w:trHeight w:val="236"/>
          <w:jc w:val="center"/>
        </w:trPr>
        <w:tc>
          <w:tcPr>
            <w:cnfStyle w:val="001000000000" w:firstRow="0" w:lastRow="0" w:firstColumn="1" w:lastColumn="0" w:oddVBand="0" w:evenVBand="0" w:oddHBand="0" w:evenHBand="0" w:firstRowFirstColumn="0" w:firstRowLastColumn="0" w:lastRowFirstColumn="0" w:lastRowLastColumn="0"/>
            <w:tcW w:w="1705" w:type="dxa"/>
            <w:tcBorders>
              <w:top w:val="none" w:sz="0" w:space="0" w:color="auto"/>
              <w:bottom w:val="none" w:sz="0" w:space="0" w:color="auto"/>
            </w:tcBorders>
            <w:vAlign w:val="center"/>
          </w:tcPr>
          <w:p w14:paraId="0A33A92B" w14:textId="77777777" w:rsidR="00EC7396" w:rsidRPr="00932477" w:rsidRDefault="00EC7396" w:rsidP="00AA2F78">
            <w:pPr>
              <w:spacing w:after="0"/>
              <w:jc w:val="center"/>
              <w:rPr>
                <w:bCs w:val="0"/>
                <w:i/>
              </w:rPr>
            </w:pPr>
            <w:r w:rsidRPr="00932477">
              <w:t>RIKAZE*</w:t>
            </w:r>
          </w:p>
        </w:tc>
        <w:tc>
          <w:tcPr>
            <w:cnfStyle w:val="000010000000" w:firstRow="0" w:lastRow="0" w:firstColumn="0" w:lastColumn="0" w:oddVBand="1" w:evenVBand="0" w:oddHBand="0" w:evenHBand="0" w:firstRowFirstColumn="0" w:firstRowLastColumn="0" w:lastRowFirstColumn="0" w:lastRowLastColumn="0"/>
            <w:tcW w:w="1440" w:type="dxa"/>
            <w:tcBorders>
              <w:top w:val="none" w:sz="0" w:space="0" w:color="auto"/>
              <w:left w:val="none" w:sz="0" w:space="0" w:color="auto"/>
              <w:bottom w:val="none" w:sz="0" w:space="0" w:color="auto"/>
              <w:right w:val="none" w:sz="0" w:space="0" w:color="auto"/>
            </w:tcBorders>
            <w:vAlign w:val="center"/>
          </w:tcPr>
          <w:p w14:paraId="7AED9F4C" w14:textId="77777777" w:rsidR="00EC7396" w:rsidRPr="00932477" w:rsidRDefault="00EC7396" w:rsidP="00AA2F78">
            <w:pPr>
              <w:spacing w:after="0"/>
              <w:jc w:val="center"/>
            </w:pPr>
            <w:r w:rsidRPr="00932477">
              <w:t>87.080</w:t>
            </w:r>
          </w:p>
        </w:tc>
        <w:tc>
          <w:tcPr>
            <w:cnfStyle w:val="000001000000" w:firstRow="0" w:lastRow="0" w:firstColumn="0" w:lastColumn="0" w:oddVBand="0" w:evenVBand="1" w:oddHBand="0" w:evenHBand="0" w:firstRowFirstColumn="0" w:firstRowLastColumn="0" w:lastRowFirstColumn="0" w:lastRowLastColumn="0"/>
            <w:tcW w:w="1440" w:type="dxa"/>
            <w:tcBorders>
              <w:top w:val="none" w:sz="0" w:space="0" w:color="auto"/>
              <w:left w:val="none" w:sz="0" w:space="0" w:color="auto"/>
              <w:bottom w:val="none" w:sz="0" w:space="0" w:color="auto"/>
              <w:right w:val="none" w:sz="0" w:space="0" w:color="auto"/>
            </w:tcBorders>
            <w:vAlign w:val="center"/>
          </w:tcPr>
          <w:p w14:paraId="09052E29" w14:textId="77777777" w:rsidR="00EC7396" w:rsidRPr="00932477" w:rsidRDefault="00EC7396" w:rsidP="00AA2F78">
            <w:pPr>
              <w:spacing w:after="0"/>
              <w:jc w:val="center"/>
            </w:pPr>
            <w:r w:rsidRPr="00932477">
              <w:t>28.633</w:t>
            </w:r>
          </w:p>
        </w:tc>
        <w:tc>
          <w:tcPr>
            <w:cnfStyle w:val="000010000000" w:firstRow="0" w:lastRow="0" w:firstColumn="0" w:lastColumn="0" w:oddVBand="1" w:evenVBand="0" w:oddHBand="0" w:evenHBand="0" w:firstRowFirstColumn="0" w:firstRowLastColumn="0" w:lastRowFirstColumn="0" w:lastRowLastColumn="0"/>
            <w:tcW w:w="2530" w:type="dxa"/>
            <w:tcBorders>
              <w:top w:val="none" w:sz="0" w:space="0" w:color="auto"/>
              <w:left w:val="none" w:sz="0" w:space="0" w:color="auto"/>
              <w:bottom w:val="none" w:sz="0" w:space="0" w:color="auto"/>
              <w:right w:val="none" w:sz="0" w:space="0" w:color="auto"/>
            </w:tcBorders>
            <w:vAlign w:val="center"/>
          </w:tcPr>
          <w:p w14:paraId="26C87EA3" w14:textId="77777777" w:rsidR="00EC7396" w:rsidRPr="00932477" w:rsidRDefault="00EC7396" w:rsidP="00AA2F78">
            <w:pPr>
              <w:spacing w:after="0"/>
              <w:jc w:val="center"/>
            </w:pPr>
            <w:r w:rsidRPr="00932477">
              <w:t>4302</w:t>
            </w:r>
          </w:p>
        </w:tc>
        <w:tc>
          <w:tcPr>
            <w:cnfStyle w:val="000001000000" w:firstRow="0" w:lastRow="0" w:firstColumn="0" w:lastColumn="0" w:oddVBand="0" w:evenVBand="1" w:oddHBand="0" w:evenHBand="0" w:firstRowFirstColumn="0" w:firstRowLastColumn="0" w:lastRowFirstColumn="0" w:lastRowLastColumn="0"/>
            <w:tcW w:w="1820" w:type="dxa"/>
            <w:tcBorders>
              <w:top w:val="none" w:sz="0" w:space="0" w:color="auto"/>
              <w:left w:val="none" w:sz="0" w:space="0" w:color="auto"/>
              <w:bottom w:val="none" w:sz="0" w:space="0" w:color="auto"/>
              <w:right w:val="none" w:sz="0" w:space="0" w:color="auto"/>
            </w:tcBorders>
            <w:vAlign w:val="center"/>
          </w:tcPr>
          <w:p w14:paraId="74AEFF57" w14:textId="77777777" w:rsidR="00EC7396" w:rsidRPr="00932477" w:rsidRDefault="00EC7396" w:rsidP="00AA2F78">
            <w:pPr>
              <w:spacing w:after="0"/>
              <w:jc w:val="center"/>
            </w:pPr>
            <w:r w:rsidRPr="00932477">
              <w:t>55664</w:t>
            </w:r>
          </w:p>
        </w:tc>
      </w:tr>
      <w:tr w:rsidR="00EC7396" w:rsidRPr="00932477" w14:paraId="39B5C28E" w14:textId="77777777" w:rsidTr="00605660">
        <w:trPr>
          <w:trHeight w:val="244"/>
          <w:jc w:val="center"/>
        </w:trPr>
        <w:tc>
          <w:tcPr>
            <w:cnfStyle w:val="001000000000" w:firstRow="0" w:lastRow="0" w:firstColumn="1" w:lastColumn="0" w:oddVBand="0" w:evenVBand="0" w:oddHBand="0" w:evenHBand="0" w:firstRowFirstColumn="0" w:firstRowLastColumn="0" w:lastRowFirstColumn="0" w:lastRowLastColumn="0"/>
            <w:tcW w:w="1705" w:type="dxa"/>
            <w:vAlign w:val="center"/>
          </w:tcPr>
          <w:p w14:paraId="5F0570F3" w14:textId="77777777" w:rsidR="00EC7396" w:rsidRPr="00932477" w:rsidRDefault="00EC7396" w:rsidP="00AA2F78">
            <w:pPr>
              <w:spacing w:after="0"/>
              <w:jc w:val="center"/>
              <w:rPr>
                <w:bCs w:val="0"/>
                <w:i/>
              </w:rPr>
            </w:pPr>
            <w:r w:rsidRPr="00932477">
              <w:t>YITUOHE*</w:t>
            </w:r>
          </w:p>
        </w:tc>
        <w:tc>
          <w:tcPr>
            <w:cnfStyle w:val="000010000000" w:firstRow="0" w:lastRow="0" w:firstColumn="0" w:lastColumn="0" w:oddVBand="1" w:evenVBand="0" w:oddHBand="0" w:evenHBand="0" w:firstRowFirstColumn="0" w:firstRowLastColumn="0" w:lastRowFirstColumn="0" w:lastRowLastColumn="0"/>
            <w:tcW w:w="1440" w:type="dxa"/>
            <w:tcBorders>
              <w:left w:val="none" w:sz="0" w:space="0" w:color="auto"/>
              <w:right w:val="none" w:sz="0" w:space="0" w:color="auto"/>
            </w:tcBorders>
            <w:vAlign w:val="center"/>
          </w:tcPr>
          <w:p w14:paraId="6ECAF7B6" w14:textId="77777777" w:rsidR="00EC7396" w:rsidRPr="00932477" w:rsidRDefault="00EC7396" w:rsidP="00AA2F78">
            <w:pPr>
              <w:spacing w:after="0"/>
              <w:jc w:val="center"/>
            </w:pPr>
            <w:r w:rsidRPr="00932477">
              <w:t>92.433</w:t>
            </w:r>
          </w:p>
        </w:tc>
        <w:tc>
          <w:tcPr>
            <w:cnfStyle w:val="000001000000" w:firstRow="0" w:lastRow="0" w:firstColumn="0" w:lastColumn="0" w:oddVBand="0" w:evenVBand="1" w:oddHBand="0" w:evenHBand="0" w:firstRowFirstColumn="0" w:firstRowLastColumn="0" w:lastRowFirstColumn="0" w:lastRowLastColumn="0"/>
            <w:tcW w:w="1440" w:type="dxa"/>
            <w:tcBorders>
              <w:left w:val="none" w:sz="0" w:space="0" w:color="auto"/>
              <w:right w:val="none" w:sz="0" w:space="0" w:color="auto"/>
            </w:tcBorders>
            <w:vAlign w:val="center"/>
          </w:tcPr>
          <w:p w14:paraId="7B8DEE5C" w14:textId="77777777" w:rsidR="00EC7396" w:rsidRPr="00932477" w:rsidRDefault="00EC7396" w:rsidP="00AA2F78">
            <w:pPr>
              <w:spacing w:after="0"/>
              <w:jc w:val="center"/>
            </w:pPr>
            <w:r w:rsidRPr="00932477">
              <w:t>34.210</w:t>
            </w:r>
          </w:p>
        </w:tc>
        <w:tc>
          <w:tcPr>
            <w:cnfStyle w:val="000010000000" w:firstRow="0" w:lastRow="0" w:firstColumn="0" w:lastColumn="0" w:oddVBand="1" w:evenVBand="0" w:oddHBand="0" w:evenHBand="0" w:firstRowFirstColumn="0" w:firstRowLastColumn="0" w:lastRowFirstColumn="0" w:lastRowLastColumn="0"/>
            <w:tcW w:w="2530" w:type="dxa"/>
            <w:tcBorders>
              <w:left w:val="none" w:sz="0" w:space="0" w:color="auto"/>
              <w:right w:val="none" w:sz="0" w:space="0" w:color="auto"/>
            </w:tcBorders>
            <w:vAlign w:val="center"/>
          </w:tcPr>
          <w:p w14:paraId="0EFE3955" w14:textId="77777777" w:rsidR="00EC7396" w:rsidRPr="00932477" w:rsidRDefault="00EC7396" w:rsidP="00AA2F78">
            <w:pPr>
              <w:spacing w:after="0"/>
              <w:jc w:val="center"/>
            </w:pPr>
            <w:r w:rsidRPr="00932477">
              <w:t>4534</w:t>
            </w:r>
          </w:p>
        </w:tc>
        <w:tc>
          <w:tcPr>
            <w:cnfStyle w:val="000001000000" w:firstRow="0" w:lastRow="0" w:firstColumn="0" w:lastColumn="0" w:oddVBand="0" w:evenVBand="1" w:oddHBand="0" w:evenHBand="0" w:firstRowFirstColumn="0" w:firstRowLastColumn="0" w:lastRowFirstColumn="0" w:lastRowLastColumn="0"/>
            <w:tcW w:w="1820" w:type="dxa"/>
            <w:tcBorders>
              <w:left w:val="none" w:sz="0" w:space="0" w:color="auto"/>
              <w:right w:val="none" w:sz="0" w:space="0" w:color="auto"/>
            </w:tcBorders>
            <w:vAlign w:val="center"/>
          </w:tcPr>
          <w:p w14:paraId="49EA39BC" w14:textId="77777777" w:rsidR="00EC7396" w:rsidRPr="00932477" w:rsidRDefault="00EC7396" w:rsidP="00AA2F78">
            <w:pPr>
              <w:spacing w:after="0"/>
              <w:jc w:val="center"/>
            </w:pPr>
            <w:r w:rsidRPr="00932477">
              <w:t>56004</w:t>
            </w:r>
          </w:p>
        </w:tc>
      </w:tr>
    </w:tbl>
    <w:p w14:paraId="4DF61D8E" w14:textId="77777777" w:rsidR="00EC7396" w:rsidRDefault="00EC7396" w:rsidP="00D85BF9"/>
    <w:p w14:paraId="75AB7CA7" w14:textId="04F45887" w:rsidR="00FF0C4F" w:rsidRPr="00381BD2" w:rsidRDefault="00FF0C4F" w:rsidP="00C515DE">
      <w:pPr>
        <w:pStyle w:val="Heading3"/>
        <w:numPr>
          <w:ilvl w:val="2"/>
          <w:numId w:val="27"/>
        </w:numPr>
        <w:ind w:left="540"/>
      </w:pPr>
      <w:r w:rsidRPr="00381BD2">
        <w:t xml:space="preserve">Surface and Tower-Based Measurements </w:t>
      </w:r>
    </w:p>
    <w:p w14:paraId="4EDA19D7" w14:textId="028C3212" w:rsidR="00FF0C4F" w:rsidRPr="00FF0C4F" w:rsidRDefault="00FF0C4F" w:rsidP="008C7C75">
      <w:pPr>
        <w:ind w:firstLine="540"/>
      </w:pPr>
      <w:r w:rsidRPr="00FF0C4F">
        <w:t xml:space="preserve">Surface measurements from NPCE1 and NPCE2 and </w:t>
      </w:r>
      <w:bookmarkStart w:id="12" w:name="_Hlk69856885"/>
      <w:r w:rsidRPr="00FF0C4F">
        <w:t>tower</w:t>
      </w:r>
      <m:oMath>
        <m:r>
          <w:rPr>
            <w:rFonts w:ascii="Cambria Math" w:hAnsi="Cambria Math"/>
          </w:rPr>
          <m:t>-</m:t>
        </m:r>
      </m:oMath>
      <w:r w:rsidRPr="00FF0C4F">
        <w:t xml:space="preserve">based measurements </w:t>
      </w:r>
      <w:bookmarkEnd w:id="12"/>
      <w:r w:rsidRPr="00FF0C4F">
        <w:t>from Naqu1 include air temperature (T), relative humidity (RH), air pressure (P), vapor pressure (e), and wind speed (</w:t>
      </w:r>
      <m:oMath>
        <m:sSub>
          <m:sSubPr>
            <m:ctrlPr>
              <w:rPr>
                <w:rFonts w:ascii="Cambria Math" w:hAnsi="Cambria Math"/>
                <w:i/>
              </w:rPr>
            </m:ctrlPr>
          </m:sSubPr>
          <m:e>
            <m:r>
              <w:rPr>
                <w:rFonts w:ascii="Cambria Math" w:hAnsi="Cambria Math"/>
              </w:rPr>
              <m:t>U</m:t>
            </m:r>
          </m:e>
          <m:sub>
            <m:r>
              <w:rPr>
                <w:rFonts w:ascii="Cambria Math" w:hAnsi="Cambria Math"/>
              </w:rPr>
              <m:t>z</m:t>
            </m:r>
          </m:sub>
        </m:sSub>
      </m:oMath>
      <w:r w:rsidRPr="00FF0C4F">
        <w:t xml:space="preserve">). Tower-based measurements were available at 0.75, 1.5, 3, 6, 12, and 22 m AGL. Data from each site were time series recorded from July 17 to 20, 2014. Each item in the series represents the mean of the data recorded over </w:t>
      </w:r>
      <w:r w:rsidR="005E7A15">
        <w:rPr>
          <w:rFonts w:eastAsia="SimSun" w:hint="eastAsia"/>
          <w:lang w:eastAsia="zh-CN"/>
        </w:rPr>
        <w:t xml:space="preserve">a </w:t>
      </w:r>
      <w:r w:rsidRPr="00FF0C4F">
        <w:t>30</w:t>
      </w:r>
      <m:oMath>
        <m:r>
          <w:rPr>
            <w:rFonts w:eastAsia="SimSun"/>
            <w:lang w:eastAsia="zh-CN"/>
          </w:rPr>
          <m:t>-</m:t>
        </m:r>
      </m:oMath>
      <w:r w:rsidRPr="00FF0C4F">
        <w:t>min period. The tower</w:t>
      </w:r>
      <m:oMath>
        <m:r>
          <w:rPr>
            <w:rFonts w:ascii="Cambria Math" w:hAnsi="Cambria Math"/>
          </w:rPr>
          <m:t>-</m:t>
        </m:r>
      </m:oMath>
      <w:r w:rsidRPr="00FF0C4F">
        <w:t xml:space="preserve">based measurements were used to compute </w:t>
      </w:r>
      <w:r w:rsidR="005E7A15">
        <w:rPr>
          <w:rFonts w:eastAsia="SimSun" w:hint="eastAsia"/>
          <w:lang w:eastAsia="zh-CN"/>
        </w:rPr>
        <w:t xml:space="preserve">the </w:t>
      </w:r>
      <w:r w:rsidRPr="00FF0C4F">
        <w:t xml:space="preserve">mean wind speed </w:t>
      </w:r>
      <w:bookmarkStart w:id="13" w:name="_Hlk60244742"/>
      <m:oMath>
        <m:sSub>
          <m:sSubPr>
            <m:ctrlPr>
              <w:rPr>
                <w:rFonts w:ascii="Cambria Math" w:hAnsi="Cambria Math"/>
                <w:i/>
              </w:rPr>
            </m:ctrlPr>
          </m:sSubPr>
          <m:e>
            <m:r>
              <w:rPr>
                <w:rFonts w:ascii="Cambria Math" w:hAnsi="Cambria Math"/>
              </w:rPr>
              <m:t>U</m:t>
            </m:r>
          </m:e>
          <m:sub>
            <m:r>
              <w:rPr>
                <w:rFonts w:ascii="Cambria Math" w:hAnsi="Cambria Math"/>
              </w:rPr>
              <m:t>z</m:t>
            </m:r>
          </m:sub>
        </m:sSub>
      </m:oMath>
      <w:bookmarkEnd w:id="13"/>
      <w:r w:rsidRPr="00FF0C4F">
        <w:t xml:space="preserve">, </w:t>
      </w:r>
      <w:r w:rsidR="00252E15">
        <w:t xml:space="preserve">the </w:t>
      </w:r>
      <w:r w:rsidRPr="00FF0C4F">
        <w:t xml:space="preserve">potential temperature difference </w:t>
      </w:r>
      <m:oMath>
        <m:sSub>
          <m:sSubPr>
            <m:ctrlPr>
              <w:rPr>
                <w:rFonts w:ascii="Cambria Math" w:hAnsi="Cambria Math"/>
                <w:i/>
              </w:rPr>
            </m:ctrlPr>
          </m:sSubPr>
          <m:e>
            <w:bookmarkStart w:id="14" w:name="_Hlk61385102"/>
            <m:r>
              <w:rPr>
                <w:rFonts w:ascii="Cambria Math" w:hAnsi="Cambria Math"/>
              </w:rPr>
              <m:t>∆θ</m:t>
            </m:r>
            <w:bookmarkEnd w:id="14"/>
            <m:r>
              <w:rPr>
                <w:rFonts w:ascii="Cambria Math" w:hAnsi="Cambria Math"/>
              </w:rPr>
              <m:t>=θ(T</m:t>
            </m:r>
          </m:e>
          <m:sub>
            <m:r>
              <w:rPr>
                <w:rFonts w:ascii="Cambria Math" w:hAnsi="Cambria Math"/>
              </w:rPr>
              <m:t>z</m:t>
            </m:r>
          </m:sub>
        </m:sSub>
        <m:r>
          <w:rPr>
            <w:rFonts w:ascii="Cambria Math" w:hAnsi="Cambria Math"/>
          </w:rPr>
          <m:t>)-</m:t>
        </m:r>
        <m:sSub>
          <m:sSubPr>
            <m:ctrlPr>
              <w:rPr>
                <w:rFonts w:ascii="Cambria Math" w:hAnsi="Cambria Math"/>
                <w:i/>
              </w:rPr>
            </m:ctrlPr>
          </m:sSubPr>
          <m:e>
            <m:r>
              <w:rPr>
                <w:rFonts w:ascii="Cambria Math" w:hAnsi="Cambria Math"/>
              </w:rPr>
              <m:t>θ(T</m:t>
            </m:r>
          </m:e>
          <m:sub>
            <m:r>
              <w:rPr>
                <w:rFonts w:ascii="Cambria Math" w:hAnsi="Cambria Math"/>
              </w:rPr>
              <m:t>s</m:t>
            </m:r>
          </m:sub>
        </m:sSub>
        <m:r>
          <w:rPr>
            <w:rFonts w:ascii="Cambria Math" w:hAnsi="Cambria Math"/>
          </w:rPr>
          <m:t>)</m:t>
        </m:r>
      </m:oMath>
      <w:r w:rsidRPr="00FF0C4F">
        <w:t xml:space="preserve">, and specific humidity difference </w:t>
      </w:r>
      <w:bookmarkStart w:id="15" w:name="_Hlk61385132"/>
      <m:oMath>
        <m:r>
          <w:rPr>
            <w:rFonts w:ascii="Cambria Math" w:hAnsi="Cambria Math"/>
          </w:rPr>
          <m:t>∆q</m:t>
        </m:r>
        <w:bookmarkEnd w:id="15"/>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z</m:t>
            </m:r>
          </m:sub>
        </m:sSub>
      </m:oMath>
      <w:r w:rsidRPr="00FF0C4F">
        <w:t xml:space="preserve">, where subscript </w:t>
      </w:r>
      <w:r w:rsidRPr="00FF0C4F">
        <w:rPr>
          <w:i/>
          <w:iCs/>
        </w:rPr>
        <w:t>s</w:t>
      </w:r>
      <w:r w:rsidRPr="00FF0C4F">
        <w:t xml:space="preserve"> represents 0.75 m AGL and </w:t>
      </w:r>
      <w:r w:rsidRPr="00FF0C4F">
        <w:rPr>
          <w:i/>
          <w:iCs/>
        </w:rPr>
        <w:t>z</w:t>
      </w:r>
      <w:r w:rsidRPr="00FF0C4F">
        <w:t xml:space="preserve"> represents 3 m AGL for temperature and specific humidity</w:t>
      </w:r>
      <w:r w:rsidR="00F677EB">
        <w:t>,</w:t>
      </w:r>
      <w:r w:rsidRPr="00FF0C4F">
        <w:t xml:space="preserve"> and 12 m AGL for wind speed. This study estimated HFX and </w:t>
      </w:r>
      <w:r w:rsidR="000336D6">
        <w:rPr>
          <w:rFonts w:eastAsia="SimSun" w:hint="eastAsia"/>
          <w:lang w:eastAsia="zh-CN"/>
        </w:rPr>
        <w:t xml:space="preserve">the </w:t>
      </w:r>
      <w:r w:rsidRPr="00FF0C4F">
        <w:t xml:space="preserve">latent heat flux (LH) as given in Equations (1) and (2) </w:t>
      </w:r>
      <w:r w:rsidRPr="00FF0C4F">
        <w:fldChar w:fldCharType="begin"/>
      </w:r>
      <w:r w:rsidR="00A44B66">
        <w:instrText xml:space="preserve"> ADDIN ZOTERO_ITEM CSL_CITATION {"citationID":"a1j6gmlfaui","properties":{"formattedCitation":"(Gavil\\uc0\\u225{}n &amp; Berengena, 2006; Verma et al., 1986)","plainCitation":"(Gavilán &amp; Berengena, 2006; Verma et al., 1986)","noteIndex":0},"citationItems":[{"id":77,"uris":["http://zotero.org/users/7904379/items/KHNKU4UZ"],"itemData":{"id":77,"type":"article-journal","container-title":"Boundary-Layer Meteorology","DOI":"10.1007/BF00117459","ISSN":"0006-8314, 1573-1472","issue":"1-2","journalAbbreviation":"Boundary-Layer Meteorol","language":"en","page":"71-91","source":"DOI.org (Crossref)","title":"Eddy fluxes of CO2, water vapor, and sensible heat over a deciduous forest","URL":"http://link.springer.com/10.1007/BF00117459","volume":"36","author":[{"family":"Verma","given":"Shashi B."},{"family":"Baldocchi","given":"Dennis D."},{"family":"Anderson","given":"Dean E."},{"family":"Matt","given":"Detlef R."},{"family":"Clement","given":"Robert J."}],"accessed":{"date-parts":[["2021",3,25]]},"issued":{"date-parts":[["1986",7]]}}},{"id":29,"uris":["http://zotero.org/users/7904379/items/UBTWWW28"],"itemData":{"id":29,"type":"article-journal","container-title":"Irrigation Science","DOI":"10.1007/s00271-006-0040-1","ISSN":"0342-7188, 1432-1319","issue":"2","journalAbbreviation":"Irrig Sci","language":"en","page":"127-140","source":"DOI.org (Crossref)","title":"Accuracy of the Bowen ratio-energy balance method for measuring latent heat flux in a semiarid advective environment","URL":"http://link.springer.com/10.1007/s00271-006-0040-1","volume":"25","author":[{"family":"Gavilán","given":"P."},{"family":"Berengena","given":"J."}],"accessed":{"date-parts":[["2021",3,25]]},"issued":{"date-parts":[["2006",12,12]]}}}],"schema":"https://github.com/citation-style-language/schema/raw/master/csl-citation.json"} </w:instrText>
      </w:r>
      <w:r w:rsidRPr="00FF0C4F">
        <w:fldChar w:fldCharType="separate"/>
      </w:r>
      <w:r w:rsidR="00A44B66" w:rsidRPr="00A44B66">
        <w:t>(Gavilán &amp; Berengena, 2006; Verma et al., 1986)</w:t>
      </w:r>
      <w:r w:rsidRPr="00FF0C4F">
        <w:fldChar w:fldCharType="end"/>
      </w:r>
      <w:r w:rsidRPr="00FF0C4F">
        <w:t xml:space="preserve">: </w:t>
      </w:r>
    </w:p>
    <w:tbl>
      <w:tblPr>
        <w:tblStyle w:val="PlainTable41"/>
        <w:tblW w:w="0" w:type="auto"/>
        <w:jc w:val="right"/>
        <w:tblLook w:val="04A0" w:firstRow="1" w:lastRow="0" w:firstColumn="1" w:lastColumn="0" w:noHBand="0" w:noVBand="1"/>
      </w:tblPr>
      <w:tblGrid>
        <w:gridCol w:w="9360"/>
      </w:tblGrid>
      <w:tr w:rsidR="00FF0C4F" w:rsidRPr="00FF0C4F" w14:paraId="3DF178CC" w14:textId="77777777" w:rsidTr="007A496B">
        <w:trPr>
          <w:cnfStyle w:val="100000000000" w:firstRow="1" w:lastRow="0" w:firstColumn="0" w:lastColumn="0" w:oddVBand="0" w:evenVBand="0" w:oddHBand="0" w:evenHBand="0" w:firstRowFirstColumn="0" w:firstRowLastColumn="0" w:lastRowFirstColumn="0" w:lastRowLastColumn="0"/>
          <w:jc w:val="right"/>
        </w:trPr>
        <w:tc>
          <w:tcPr>
            <w:cnfStyle w:val="001000000000" w:firstRow="0" w:lastRow="0" w:firstColumn="1" w:lastColumn="0" w:oddVBand="0" w:evenVBand="0" w:oddHBand="0" w:evenHBand="0" w:firstRowFirstColumn="0" w:firstRowLastColumn="0" w:lastRowFirstColumn="0" w:lastRowLastColumn="0"/>
            <w:tcW w:w="10456" w:type="dxa"/>
            <w:vAlign w:val="center"/>
          </w:tcPr>
          <w:p w14:paraId="201E1AA9" w14:textId="4934091F" w:rsidR="00FF0C4F" w:rsidRPr="00FF0C4F" w:rsidRDefault="00FF0C4F" w:rsidP="007A496B">
            <w:pPr>
              <w:jc w:val="right"/>
            </w:pPr>
            <m:oMath>
              <m:r>
                <m:rPr>
                  <m:sty m:val="b"/>
                </m:rPr>
                <w:rPr>
                  <w:rFonts w:ascii="Cambria Math" w:hAnsi="Cambria Math"/>
                </w:rPr>
                <m:t>HFX=</m:t>
              </m:r>
              <m:sSub>
                <m:sSubPr>
                  <m:ctrlPr>
                    <w:rPr>
                      <w:rFonts w:ascii="Cambria Math" w:hAnsi="Cambria Math"/>
                      <w:iCs/>
                    </w:rPr>
                  </m:ctrlPr>
                </m:sSubPr>
                <m:e>
                  <m:r>
                    <m:rPr>
                      <m:sty m:val="b"/>
                    </m:rPr>
                    <w:rPr>
                      <w:rFonts w:ascii="Cambria Math" w:hAnsi="Cambria Math"/>
                    </w:rPr>
                    <m:t>C</m:t>
                  </m:r>
                </m:e>
                <m:sub>
                  <m:r>
                    <m:rPr>
                      <m:sty m:val="b"/>
                    </m:rPr>
                    <w:rPr>
                      <w:rFonts w:ascii="Cambria Math" w:hAnsi="Cambria Math"/>
                    </w:rPr>
                    <m:t>H</m:t>
                  </m:r>
                </m:sub>
              </m:sSub>
              <m:r>
                <m:rPr>
                  <m:sty m:val="b"/>
                </m:rPr>
                <w:rPr>
                  <w:rFonts w:ascii="Cambria Math" w:hAnsi="Cambria Math"/>
                </w:rPr>
                <m:t>∙</m:t>
              </m:r>
              <m:sSub>
                <m:sSubPr>
                  <m:ctrlPr>
                    <w:rPr>
                      <w:rFonts w:ascii="Cambria Math" w:hAnsi="Cambria Math"/>
                      <w:iCs/>
                    </w:rPr>
                  </m:ctrlPr>
                </m:sSubPr>
                <m:e>
                  <m:r>
                    <m:rPr>
                      <m:sty m:val="b"/>
                    </m:rPr>
                    <w:rPr>
                      <w:rFonts w:ascii="Cambria Math" w:hAnsi="Cambria Math"/>
                    </w:rPr>
                    <m:t>ρ</m:t>
                  </m:r>
                </m:e>
                <m:sub>
                  <m:r>
                    <m:rPr>
                      <m:sty m:val="b"/>
                    </m:rPr>
                    <w:rPr>
                      <w:rFonts w:ascii="Cambria Math" w:hAnsi="Cambria Math"/>
                    </w:rPr>
                    <m:t>a</m:t>
                  </m:r>
                </m:sub>
              </m:sSub>
              <m:r>
                <m:rPr>
                  <m:sty m:val="b"/>
                </m:rPr>
                <w:rPr>
                  <w:rFonts w:ascii="Cambria Math" w:hAnsi="Cambria Math"/>
                </w:rPr>
                <m:t>∙</m:t>
              </m:r>
              <m:sSub>
                <m:sSubPr>
                  <m:ctrlPr>
                    <w:rPr>
                      <w:rFonts w:ascii="Cambria Math" w:hAnsi="Cambria Math"/>
                      <w:iCs/>
                    </w:rPr>
                  </m:ctrlPr>
                </m:sSubPr>
                <m:e>
                  <m:r>
                    <m:rPr>
                      <m:sty m:val="b"/>
                    </m:rPr>
                    <w:rPr>
                      <w:rFonts w:ascii="Cambria Math" w:hAnsi="Cambria Math"/>
                    </w:rPr>
                    <m:t>C</m:t>
                  </m:r>
                </m:e>
                <m:sub>
                  <m:r>
                    <m:rPr>
                      <m:sty m:val="b"/>
                    </m:rPr>
                    <w:rPr>
                      <w:rFonts w:ascii="Cambria Math" w:hAnsi="Cambria Math"/>
                    </w:rPr>
                    <m:t>p</m:t>
                  </m:r>
                </m:sub>
              </m:sSub>
              <m:r>
                <m:rPr>
                  <m:sty m:val="b"/>
                </m:rPr>
                <w:rPr>
                  <w:rFonts w:ascii="Cambria Math" w:hAnsi="Cambria Math"/>
                </w:rPr>
                <m:t>∙</m:t>
              </m:r>
              <m:sSub>
                <m:sSubPr>
                  <m:ctrlPr>
                    <w:rPr>
                      <w:rFonts w:ascii="Cambria Math" w:hAnsi="Cambria Math"/>
                      <w:iCs/>
                    </w:rPr>
                  </m:ctrlPr>
                </m:sSubPr>
                <m:e>
                  <m:r>
                    <m:rPr>
                      <m:sty m:val="b"/>
                    </m:rPr>
                    <w:rPr>
                      <w:rFonts w:ascii="Cambria Math" w:hAnsi="Cambria Math"/>
                    </w:rPr>
                    <m:t>U</m:t>
                  </m:r>
                </m:e>
                <m:sub>
                  <m:r>
                    <m:rPr>
                      <m:sty m:val="b"/>
                    </m:rPr>
                    <w:rPr>
                      <w:rFonts w:ascii="Cambria Math" w:hAnsi="Cambria Math"/>
                    </w:rPr>
                    <m:t>z</m:t>
                  </m:r>
                </m:sub>
              </m:sSub>
              <m:r>
                <m:rPr>
                  <m:sty m:val="b"/>
                </m:rPr>
                <w:rPr>
                  <w:rFonts w:ascii="Cambria Math" w:hAnsi="Cambria Math"/>
                </w:rPr>
                <m:t>∙∆θ</m:t>
              </m:r>
            </m:oMath>
            <w:r w:rsidRPr="00FF0C4F">
              <w:t xml:space="preserve">                                             (1)</w:t>
            </w:r>
          </w:p>
        </w:tc>
      </w:tr>
      <w:tr w:rsidR="00FF0C4F" w:rsidRPr="00FF0C4F" w14:paraId="59C3AD12" w14:textId="77777777" w:rsidTr="007A496B">
        <w:trPr>
          <w:cnfStyle w:val="000000100000" w:firstRow="0" w:lastRow="0" w:firstColumn="0" w:lastColumn="0" w:oddVBand="0" w:evenVBand="0" w:oddHBand="1" w:evenHBand="0" w:firstRowFirstColumn="0" w:firstRowLastColumn="0" w:lastRowFirstColumn="0" w:lastRowLastColumn="0"/>
          <w:jc w:val="right"/>
        </w:trPr>
        <w:tc>
          <w:tcPr>
            <w:cnfStyle w:val="001000000000" w:firstRow="0" w:lastRow="0" w:firstColumn="1" w:lastColumn="0" w:oddVBand="0" w:evenVBand="0" w:oddHBand="0" w:evenHBand="0" w:firstRowFirstColumn="0" w:firstRowLastColumn="0" w:lastRowFirstColumn="0" w:lastRowLastColumn="0"/>
            <w:tcW w:w="10456" w:type="dxa"/>
            <w:vAlign w:val="center"/>
          </w:tcPr>
          <w:p w14:paraId="73B3F4CF" w14:textId="19F157C1" w:rsidR="00FF0C4F" w:rsidRPr="00FF0C4F" w:rsidRDefault="00FF0C4F" w:rsidP="007A496B">
            <w:pPr>
              <w:jc w:val="right"/>
            </w:pPr>
            <m:oMath>
              <m:r>
                <m:rPr>
                  <m:sty m:val="b"/>
                </m:rPr>
                <w:rPr>
                  <w:rFonts w:ascii="Cambria Math" w:hAnsi="Cambria Math"/>
                </w:rPr>
                <m:t>LH=</m:t>
              </m:r>
              <w:bookmarkStart w:id="16" w:name="_Hlk52908510"/>
              <m:sSub>
                <m:sSubPr>
                  <m:ctrlPr>
                    <w:rPr>
                      <w:rFonts w:ascii="Cambria Math" w:hAnsi="Cambria Math"/>
                    </w:rPr>
                  </m:ctrlPr>
                </m:sSubPr>
                <m:e>
                  <m:r>
                    <m:rPr>
                      <m:sty m:val="b"/>
                    </m:rPr>
                    <w:rPr>
                      <w:rFonts w:ascii="Cambria Math" w:hAnsi="Cambria Math"/>
                    </w:rPr>
                    <m:t>C</m:t>
                  </m:r>
                </m:e>
                <m:sub>
                  <m:r>
                    <m:rPr>
                      <m:sty m:val="b"/>
                    </m:rPr>
                    <w:rPr>
                      <w:rFonts w:ascii="Cambria Math" w:hAnsi="Cambria Math"/>
                    </w:rPr>
                    <m:t>E</m:t>
                  </m:r>
                </m:sub>
              </m:sSub>
              <w:bookmarkEnd w:id="16"/>
              <m:r>
                <m:rPr>
                  <m:sty m:val="b"/>
                </m:rPr>
                <w:rPr>
                  <w:rFonts w:ascii="Cambria Math" w:hAnsi="Cambria Math"/>
                </w:rPr>
                <m:t>∙</m:t>
              </m:r>
              <m:sSub>
                <m:sSubPr>
                  <m:ctrlPr>
                    <w:rPr>
                      <w:rFonts w:ascii="Cambria Math" w:hAnsi="Cambria Math"/>
                    </w:rPr>
                  </m:ctrlPr>
                </m:sSubPr>
                <m:e>
                  <m:r>
                    <m:rPr>
                      <m:sty m:val="b"/>
                    </m:rPr>
                    <w:rPr>
                      <w:rFonts w:ascii="Cambria Math" w:hAnsi="Cambria Math"/>
                    </w:rPr>
                    <m:t>ρ</m:t>
                  </m:r>
                </m:e>
                <m:sub>
                  <m:r>
                    <m:rPr>
                      <m:sty m:val="b"/>
                    </m:rPr>
                    <w:rPr>
                      <w:rFonts w:ascii="Cambria Math" w:hAnsi="Cambria Math"/>
                    </w:rPr>
                    <m:t>a</m:t>
                  </m:r>
                </m:sub>
              </m:sSub>
              <m:r>
                <m:rPr>
                  <m:sty m:val="b"/>
                </m:rPr>
                <w:rPr>
                  <w:rFonts w:ascii="Cambria Math" w:hAnsi="Cambria Math"/>
                </w:rPr>
                <m:t>∙</m:t>
              </m:r>
              <m:sSub>
                <m:sSubPr>
                  <m:ctrlPr>
                    <w:rPr>
                      <w:rFonts w:ascii="Cambria Math" w:hAnsi="Cambria Math"/>
                    </w:rPr>
                  </m:ctrlPr>
                </m:sSubPr>
                <m:e>
                  <m:r>
                    <m:rPr>
                      <m:sty m:val="b"/>
                    </m:rPr>
                    <w:rPr>
                      <w:rFonts w:ascii="Cambria Math" w:hAnsi="Cambria Math"/>
                    </w:rPr>
                    <m:t>L</m:t>
                  </m:r>
                </m:e>
                <m:sub>
                  <m:r>
                    <m:rPr>
                      <m:sty m:val="b"/>
                    </m:rPr>
                    <w:rPr>
                      <w:rFonts w:ascii="Cambria Math" w:hAnsi="Cambria Math"/>
                    </w:rPr>
                    <m:t>v</m:t>
                  </m:r>
                </m:sub>
              </m:sSub>
              <m:r>
                <m:rPr>
                  <m:sty m:val="b"/>
                </m:rPr>
                <w:rPr>
                  <w:rFonts w:ascii="Cambria Math" w:hAnsi="Cambria Math"/>
                </w:rPr>
                <m:t>∙</m:t>
              </m:r>
              <m:sSub>
                <m:sSubPr>
                  <m:ctrlPr>
                    <w:rPr>
                      <w:rFonts w:ascii="Cambria Math" w:hAnsi="Cambria Math"/>
                    </w:rPr>
                  </m:ctrlPr>
                </m:sSubPr>
                <m:e>
                  <m:r>
                    <m:rPr>
                      <m:sty m:val="b"/>
                    </m:rPr>
                    <w:rPr>
                      <w:rFonts w:ascii="Cambria Math" w:hAnsi="Cambria Math"/>
                    </w:rPr>
                    <m:t>U</m:t>
                  </m:r>
                </m:e>
                <m:sub>
                  <m:r>
                    <m:rPr>
                      <m:sty m:val="b"/>
                    </m:rPr>
                    <w:rPr>
                      <w:rFonts w:ascii="Cambria Math" w:hAnsi="Cambria Math"/>
                    </w:rPr>
                    <m:t>z</m:t>
                  </m:r>
                </m:sub>
              </m:sSub>
              <m:r>
                <m:rPr>
                  <m:sty m:val="b"/>
                </m:rPr>
                <w:rPr>
                  <w:rFonts w:ascii="Cambria Math" w:hAnsi="Cambria Math"/>
                </w:rPr>
                <m:t>∙∆q</m:t>
              </m:r>
            </m:oMath>
            <w:r w:rsidRPr="00FF0C4F">
              <w:t xml:space="preserve">                                             (2)</w:t>
            </w:r>
          </w:p>
        </w:tc>
      </w:tr>
    </w:tbl>
    <w:p w14:paraId="42D37FC1" w14:textId="413F47DE" w:rsidR="00FF0C4F" w:rsidRPr="00381BD2" w:rsidRDefault="00FF0C4F" w:rsidP="00D85BF9">
      <w:r w:rsidRPr="00381BD2">
        <w:t xml:space="preserve">where </w:t>
      </w:r>
      <m:oMath>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v</m:t>
            </m:r>
          </m:sub>
        </m:sSub>
        <m:r>
          <w:rPr>
            <w:rFonts w:ascii="Cambria Math" w:hAnsi="Cambria Math"/>
          </w:rPr>
          <m:t>=2.501–</m:t>
        </m:r>
        <m:d>
          <m:dPr>
            <m:ctrlPr>
              <w:rPr>
                <w:rFonts w:ascii="Cambria Math" w:hAnsi="Cambria Math"/>
                <w:i/>
              </w:rPr>
            </m:ctrlPr>
          </m:dPr>
          <m:e>
            <m:r>
              <w:rPr>
                <w:rFonts w:ascii="Cambria Math" w:hAnsi="Cambria Math"/>
              </w:rPr>
              <m:t>2.361.</m:t>
            </m:r>
            <m:sSup>
              <m:sSupPr>
                <m:ctrlPr>
                  <w:rPr>
                    <w:rFonts w:ascii="Cambria Math" w:hAnsi="Cambria Math"/>
                    <w:i/>
                  </w:rPr>
                </m:ctrlPr>
              </m:sSupPr>
              <m:e>
                <m:r>
                  <w:rPr>
                    <w:rFonts w:ascii="Cambria Math" w:hAnsi="Cambria Math"/>
                  </w:rPr>
                  <m:t>10</m:t>
                </m:r>
              </m:e>
              <m:sup>
                <m:r>
                  <w:rPr>
                    <w:rFonts w:ascii="Cambria Math" w:hAnsi="Cambria Math"/>
                  </w:rPr>
                  <m:t>-3</m:t>
                </m:r>
              </m:sup>
            </m:sSup>
          </m:e>
        </m:d>
        <m:r>
          <w:rPr>
            <w:rFonts w:ascii="Cambria Math" w:hAnsi="Cambria Math"/>
          </w:rPr>
          <m:t>∙T</m:t>
        </m:r>
      </m:oMath>
      <w:r w:rsidRPr="00381BD2">
        <w:t xml:space="preserve"> is the latent heat </w:t>
      </w:r>
      <w:r w:rsidR="005C3A0B" w:rsidRPr="00381BD2">
        <w:t xml:space="preserve">of </w:t>
      </w:r>
      <w:r w:rsidR="005C3A0B">
        <w:t>vaporization</w:t>
      </w:r>
      <w:r w:rsidRPr="00381BD2">
        <w:t>,</w:t>
      </w:r>
      <m:oMath>
        <m:r>
          <w:rPr>
            <w:rFonts w:ascii="Cambria Math" w:hAnsi="Cambria Math"/>
          </w:rPr>
          <m:t xml:space="preserve"> </m:t>
        </m:r>
        <m:sSub>
          <m:sSubPr>
            <m:ctrlPr>
              <w:rPr>
                <w:rFonts w:ascii="Cambria Math" w:hAnsi="Cambria Math"/>
                <w:i/>
              </w:rPr>
            </m:ctrlPr>
          </m:sSubPr>
          <m:e>
            <m:r>
              <w:rPr>
                <w:rFonts w:ascii="Cambria Math" w:hAnsi="Cambria Math"/>
              </w:rPr>
              <m:t>C</m:t>
            </m:r>
          </m:e>
          <m:sub>
            <m:r>
              <w:rPr>
                <w:rFonts w:ascii="Cambria Math" w:hAnsi="Cambria Math"/>
              </w:rPr>
              <m:t>p</m:t>
            </m:r>
          </m:sub>
        </m:sSub>
      </m:oMath>
      <w:r w:rsidRPr="00381BD2">
        <w:t xml:space="preserve"> is the specific heat of the air, </w:t>
      </w:r>
      <m:oMath>
        <m:r>
          <w:rPr>
            <w:rFonts w:ascii="Cambria Math" w:hAnsi="Cambria Math"/>
          </w:rPr>
          <m:t xml:space="preserve"> </m:t>
        </m:r>
        <m:sSub>
          <m:sSubPr>
            <m:ctrlPr>
              <w:rPr>
                <w:rFonts w:ascii="Cambria Math" w:hAnsi="Cambria Math"/>
                <w:i/>
              </w:rPr>
            </m:ctrlPr>
          </m:sSubPr>
          <m:e>
            <m:r>
              <w:rPr>
                <w:rFonts w:ascii="Cambria Math" w:hAnsi="Cambria Math"/>
              </w:rPr>
              <m:t>ρ</m:t>
            </m:r>
          </m:e>
          <m:sub>
            <m:r>
              <w:rPr>
                <w:rFonts w:ascii="Cambria Math" w:hAnsi="Cambria Math"/>
              </w:rPr>
              <m:t>a</m:t>
            </m:r>
          </m:sub>
        </m:sSub>
      </m:oMath>
      <w:r w:rsidRPr="00381BD2">
        <w:t xml:space="preserve"> is the mean air density,</w:t>
      </w:r>
      <w:bookmarkStart w:id="17" w:name="_Hlk52366564"/>
      <w:r w:rsidRPr="00381BD2">
        <w:t xml:space="preserve"> and </w:t>
      </w:r>
      <w:bookmarkStart w:id="18" w:name="_Hlk52365173"/>
      <m:oMath>
        <m:sSub>
          <m:sSubPr>
            <m:ctrlPr>
              <w:rPr>
                <w:rFonts w:ascii="Cambria Math" w:hAnsi="Cambria Math"/>
                <w:i/>
              </w:rPr>
            </m:ctrlPr>
          </m:sSubPr>
          <m:e>
            <m:r>
              <w:rPr>
                <w:rFonts w:ascii="Cambria Math" w:hAnsi="Cambria Math"/>
              </w:rPr>
              <m:t>C</m:t>
            </m:r>
          </m:e>
          <m:sub>
            <m:r>
              <w:rPr>
                <w:rFonts w:ascii="Cambria Math" w:hAnsi="Cambria Math"/>
              </w:rPr>
              <m:t>H</m:t>
            </m:r>
          </m:sub>
        </m:sSub>
      </m:oMath>
      <w:bookmarkEnd w:id="17"/>
      <w:r w:rsidRPr="00381BD2">
        <w:t xml:space="preserve"> and </w:t>
      </w:r>
      <w:bookmarkStart w:id="19" w:name="_Hlk52908669"/>
      <m:oMath>
        <m:sSub>
          <m:sSubPr>
            <m:ctrlPr>
              <w:rPr>
                <w:rFonts w:ascii="Cambria Math" w:hAnsi="Cambria Math"/>
                <w:i/>
              </w:rPr>
            </m:ctrlPr>
          </m:sSubPr>
          <m:e>
            <m:r>
              <w:rPr>
                <w:rFonts w:ascii="Cambria Math" w:hAnsi="Cambria Math"/>
              </w:rPr>
              <m:t>C</m:t>
            </m:r>
          </m:e>
          <m:sub>
            <m:r>
              <w:rPr>
                <w:rFonts w:ascii="Cambria Math" w:hAnsi="Cambria Math"/>
              </w:rPr>
              <m:t>E</m:t>
            </m:r>
          </m:sub>
        </m:sSub>
      </m:oMath>
      <w:bookmarkEnd w:id="19"/>
      <w:r w:rsidRPr="00381BD2">
        <w:t xml:space="preserve"> are the bulk transfer coefficients for heat</w:t>
      </w:r>
      <w:bookmarkEnd w:id="18"/>
      <w:r w:rsidRPr="00381BD2">
        <w:t xml:space="preserve"> and moisture, respectively. The estimation was done </w:t>
      </w:r>
      <w:r w:rsidR="0032696E">
        <w:t>assuming</w:t>
      </w:r>
      <w:r w:rsidRPr="00381BD2">
        <w:t xml:space="preserve"> the bulk transfer coefficients equal</w:t>
      </w:r>
      <w:r w:rsidR="0032696E">
        <w:t xml:space="preserve"> to</w:t>
      </w:r>
      <w:r w:rsidRPr="00381BD2">
        <w:t xml:space="preserve"> the drag coefficient </w:t>
      </w:r>
      <m:oMath>
        <m:sSub>
          <m:sSubPr>
            <m:ctrlPr>
              <w:rPr>
                <w:rFonts w:ascii="Cambria Math" w:hAnsi="Cambria Math"/>
                <w:i/>
              </w:rPr>
            </m:ctrlPr>
          </m:sSubPr>
          <m:e>
            <m:r>
              <w:rPr>
                <w:rFonts w:ascii="Cambria Math" w:hAnsi="Cambria Math"/>
              </w:rPr>
              <m:t>(C</m:t>
            </m:r>
          </m:e>
          <m:sub>
            <m:r>
              <w:rPr>
                <w:rFonts w:ascii="Cambria Math" w:hAnsi="Cambria Math"/>
              </w:rPr>
              <m:t>D</m:t>
            </m:r>
          </m:sub>
        </m:sSub>
        <m:r>
          <w:rPr>
            <w:rFonts w:ascii="Cambria Math" w:hAnsi="Cambria Math"/>
          </w:rPr>
          <m:t>)</m:t>
        </m:r>
      </m:oMath>
      <w:r w:rsidRPr="00381BD2">
        <w:t xml:space="preserve">. </w:t>
      </w:r>
      <w:r w:rsidRPr="00381BD2">
        <w:fldChar w:fldCharType="begin"/>
      </w:r>
      <w:r w:rsidR="00EC3304">
        <w:instrText xml:space="preserve"> ADDIN ZOTERO_ITEM CSL_CITATION {"citationID":"a2mctgcbv5q","properties":{"formattedCitation":"(G. Li et al., 1996)","plainCitation":"(G. Li et al., 1996)","dontUpdate":true,"noteIndex":0},"citationItems":[{"id":89,"uris":["http://zotero.org/users/7904379/items/9A5KEGT6"],"itemData":{"id":89,"type":"article-journal","container-title":"Advances in Atmospheric Sciences","DOI":"10.1007/BF03342041","ISSN":"0256-1530, 1861-9533","issue":"4","journalAbbreviation":"Adv. Atmos. Sci.","language":"en","page":"511-518","source":"DOI.org (Crossref)","title":"Determination of the Drag Coefficient over the Tibetan Plateau","URL":"http://link.springer.com/10.1007/BF03342041","volume":"13","author":[{"family":"Li","given":"Guoping"},{"family":"Tingyang","given":"Duan"},{"family":"Jun","given":"Wan"},{"family":"Yuanfa","given":"Gong"},{"family":"Haginoya","given":"Shigenori"},{"family":"Longxun","given":"Chen"},{"family":"Weiliang","given":"Li"}],"accessed":{"date-parts":[["2021",3,25]]},"issued":{"date-parts":[["1996",11]]}}}],"schema":"https://github.com/citation-style-language/schema/raw/master/csl-citation.json"} </w:instrText>
      </w:r>
      <w:r w:rsidRPr="00381BD2">
        <w:fldChar w:fldCharType="separate"/>
      </w:r>
      <w:r w:rsidR="00A44B66" w:rsidRPr="00A44B66">
        <w:t xml:space="preserve">Li et al., </w:t>
      </w:r>
      <w:r w:rsidR="004C506E">
        <w:t>(</w:t>
      </w:r>
      <w:r w:rsidR="00A44B66" w:rsidRPr="00A44B66">
        <w:t>1996)</w:t>
      </w:r>
      <w:r w:rsidRPr="00381BD2">
        <w:fldChar w:fldCharType="end"/>
      </w:r>
      <w:r w:rsidRPr="00381BD2">
        <w:t xml:space="preserve"> and </w:t>
      </w:r>
      <w:r w:rsidRPr="00381BD2">
        <w:fldChar w:fldCharType="begin"/>
      </w:r>
      <w:r w:rsidR="00EC3304">
        <w:instrText xml:space="preserve"> ADDIN ZOTERO_ITEM CSL_CITATION {"citationID":"a2gfunitemr","properties":{"formattedCitation":"(Zhao et al., 2018)","plainCitation":"(Zhao et al., 2018)","dontUpdate":true,"noteIndex":0},"citationItems":[{"id":298,"uris":["http://zotero.org/users/7904379/items/558PUX3B"],"itemData":{"id":298,"type":"article-journal","abstract":"&lt;section class=\"abstract\"&gt;&lt;h2 class=\"abstractTitle text-title my-1\" id=\"d4001e2\"&gt;Abstract&lt;/h2&gt;&lt;p&gt;This paper presents the background, scientific objectives, experimental design, and preliminary achievements of the Third Tibetan Plateau (TP) Atmospheric Scientific Experiment (TIPEX-III) for 8–10 years. It began in 2013 and has expanded plateau-scale observation networks by adding observation stations in data-scarce areas; executed integrated observation missions for the land surface, planetary boundary layer, cloud–precipitation, and troposphere–stratosphere exchange processes by coordinating ground-based, air-based, and satellite facilities; and achieved noticeable progress in data applications. A new estimation gives a smaller bulk transfer coefficient of surface sensible heat over the TP, which results in a reduction of the possibly overestimated heat intensity found in previous studies. Summer cloud–precipitation microphysical characteristics and cloud radiative effects over the TP are distinguished from those over the downstream plains. Warm rain processes play important roles in the development of cloud and precipitation over the TP. The lower-tropospheric ozone maximum over the northeastern TP is attributed to the regional photochemistry and long-range ozone transports, and the heterogeneous chemical processes of depleting ozone near the tropopause might not be a dominant mechanism for the summer upper-tropospheric–lower-stratospheric ozone valley over the southeastern TP. The TP thermodynamic function not only affects the local atmospheric water maintenance and the downstream precipitation and haze events but also modifies extratropical atmospheric teleconnections like the Asia–Pacific Oscillation, subtropical anticyclones over the North Pacific and Atlantic, and temperature and precipitation over Africa, Asia, and North America. These findings provide new insights into understanding land–atmosphere coupled processes over the TP and their effects, improving model parameterization schemes, and enhancing weather and climate forecast skills.&lt;/p&gt;&lt;/section&gt;","container-title":"Bulletin of the American Meteorological Society","DOI":"10.1175/BAMS-D-16-0050.1","ISSN":"0003-0007, 1520-0477","issue":"4","language":"EN","note":"publisher: American Meteorological Society\nsection: Bulletin of the American Meteorological Society","page":"757-776","source":"journals.ametsoc.org","title":"The Third Atmospheric Scientific Experiment for Understanding the Earth–Atmosphere Coupled System over the Tibetan Plateau and Its Effects","URL":"https://journals.ametsoc.org/view/journals/bams/99/4/bams-d-16-0050.1.xml","volume":"99","author":[{"family":"Zhao","given":"Ping"},{"family":"Xu","given":"Xiangde"},{"family":"Chen","given":"Fei"},{"family":"Guo","given":"Xueliang"},{"family":"Zheng","given":"Xiangdong"},{"family":"Liu","given":"Liping"},{"family":"Hong","given":"Yang"},{"family":"Li","given":"Yueqing"},{"family":"La","given":"Zuo"},{"family":"Peng","given":"Hao"},{"family":"Zhong","given":"Linzhi"},{"family":"Ma","given":"Yaoming"},{"family":"Tang","given":"Shihao"},{"family":"Liu","given":"Yimin"},{"family":"Liu","given":"Huizhi"},{"family":"Li","given":"Yaohui"},{"family":"Zhang","given":"Qiang"},{"family":"Hu","given":"Zeyong"},{"family":"Sun","given":"Jihua"},{"family":"Zhang","given":"Shengjun"},{"family":"Dong","given":"Lixin"},{"family":"Zhang","given":"Hezhen"},{"family":"Zhao","given":"Yang"},{"family":"Yan","given":"Xiaolu"},{"family":"Xiao","given":"An"},{"family":"Wan","given":"Wei"},{"family":"Liu","given":"Yu"},{"family":"Chen","given":"Junming"},{"family":"Liu","given":"Ge"},{"family":"Zhaxi","given":"Yangzong"},{"family":"Zhou","given":"Xiuji"}],"accessed":{"date-parts":[["2021",4,16]]},"issued":{"date-parts":[["2018",4,1]]}}}],"schema":"https://github.com/citation-style-language/schema/raw/master/csl-citation.json"} </w:instrText>
      </w:r>
      <w:r w:rsidRPr="00381BD2">
        <w:fldChar w:fldCharType="separate"/>
      </w:r>
      <w:r w:rsidR="00A44B66" w:rsidRPr="00A44B66">
        <w:t xml:space="preserve">Zhao et al., </w:t>
      </w:r>
      <w:r w:rsidR="004C506E">
        <w:t>(</w:t>
      </w:r>
      <w:r w:rsidR="00A44B66" w:rsidRPr="00A44B66">
        <w:t>2018)</w:t>
      </w:r>
      <w:r w:rsidRPr="00381BD2">
        <w:fldChar w:fldCharType="end"/>
      </w:r>
      <w:r w:rsidRPr="00381BD2">
        <w:t xml:space="preserve"> found </w:t>
      </w:r>
      <m:oMath>
        <m:sSub>
          <m:sSubPr>
            <m:ctrlPr>
              <w:rPr>
                <w:rFonts w:ascii="Cambria Math" w:hAnsi="Cambria Math"/>
                <w:i/>
              </w:rPr>
            </m:ctrlPr>
          </m:sSubPr>
          <m:e>
            <m:r>
              <w:rPr>
                <w:rFonts w:ascii="Cambria Math" w:hAnsi="Cambria Math"/>
              </w:rPr>
              <m:t>C</m:t>
            </m:r>
          </m:e>
          <m:sub>
            <m:r>
              <w:rPr>
                <w:rFonts w:ascii="Cambria Math" w:hAnsi="Cambria Math"/>
              </w:rPr>
              <m:t>D</m:t>
            </m:r>
          </m:sub>
        </m:sSub>
        <m:r>
          <w:rPr>
            <w:rFonts w:ascii="Cambria Math" w:hAnsi="Cambria Math"/>
          </w:rPr>
          <m:t>=4.4∙</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381BD2">
        <w:t xml:space="preserve"> for the Naqu area, and there was no need to perform this calculation in this study.</w:t>
      </w:r>
    </w:p>
    <w:p w14:paraId="46D8DE63" w14:textId="32C35101" w:rsidR="00FF0C4F" w:rsidRPr="00201B74" w:rsidRDefault="00FF0C4F" w:rsidP="00C515DE">
      <w:pPr>
        <w:pStyle w:val="Heading3"/>
        <w:numPr>
          <w:ilvl w:val="2"/>
          <w:numId w:val="27"/>
        </w:numPr>
        <w:ind w:left="540"/>
      </w:pPr>
      <w:r w:rsidRPr="00201B74">
        <w:t>L-Band Radiosonde Sounding Measurements</w:t>
      </w:r>
    </w:p>
    <w:p w14:paraId="08D85C8D" w14:textId="2D1EF881" w:rsidR="00FF0C4F" w:rsidRPr="00FF0C4F" w:rsidRDefault="00FF0C4F" w:rsidP="008C7C75">
      <w:pPr>
        <w:ind w:firstLine="540"/>
      </w:pPr>
      <w:r w:rsidRPr="00FF0C4F">
        <w:t>The L-band radiosonde sounding stations are indicated with an asterisk in Table 1. The variables used in this study include air temperature, wind speed, wind azimuth, air pressure, relative humidity, and geographical height. The data were recorded each minute for about 1.5 hours and were available at the predetermined synoptic times, except on July 18, 2014, where 3 soundings were launched, at 0615UTC, 1115UTC, and 2315UTC, over Naqu1. Wind speed and azimuth were used to decouple the wind field into meridional and zonal wind components. The latter was used as input for observation nudging.</w:t>
      </w:r>
      <w:bookmarkStart w:id="20" w:name="_Hlk59010551"/>
    </w:p>
    <w:p w14:paraId="6F6345DE" w14:textId="31D95BF8" w:rsidR="00FF0C4F" w:rsidRPr="00C62730" w:rsidRDefault="00FF0C4F" w:rsidP="00C515DE">
      <w:pPr>
        <w:pStyle w:val="Heading3"/>
        <w:numPr>
          <w:ilvl w:val="2"/>
          <w:numId w:val="27"/>
        </w:numPr>
        <w:ind w:left="540"/>
        <w:rPr>
          <w:iCs/>
        </w:rPr>
      </w:pPr>
      <w:r w:rsidRPr="00C62730">
        <w:lastRenderedPageBreak/>
        <w:t>Automatic Laser Ceilometer Measurements</w:t>
      </w:r>
    </w:p>
    <w:bookmarkEnd w:id="20"/>
    <w:p w14:paraId="4E7C3BC6" w14:textId="4E84FC0A" w:rsidR="00FF0C4F" w:rsidRPr="00FF0C4F" w:rsidRDefault="00FF0C4F" w:rsidP="008C7C75">
      <w:pPr>
        <w:ind w:firstLine="540"/>
        <w:rPr>
          <w:b/>
          <w:bCs/>
        </w:rPr>
      </w:pPr>
      <w:r w:rsidRPr="00FF0C4F">
        <w:t xml:space="preserve">The ABL height data were determined over Naqu2 with a Vaisala CL31 automatic laser ceilometer. </w:t>
      </w:r>
      <w:bookmarkStart w:id="21" w:name="_Hlk59014958"/>
      <w:r w:rsidRPr="00FF0C4F">
        <w:t xml:space="preserve">The </w:t>
      </w:r>
      <w:r w:rsidRPr="00FF0C4F">
        <w:rPr>
          <w:rFonts w:hint="eastAsia"/>
        </w:rPr>
        <w:t>CL31</w:t>
      </w:r>
      <w:bookmarkEnd w:id="21"/>
      <w:r w:rsidRPr="00FF0C4F">
        <w:t xml:space="preserve"> has a time resolution of 16 s and a vertical resolution of 5 m. The </w:t>
      </w:r>
      <w:r w:rsidRPr="00FF0C4F">
        <w:rPr>
          <w:rFonts w:hint="eastAsia"/>
        </w:rPr>
        <w:t>CL31</w:t>
      </w:r>
      <w:r w:rsidRPr="00FF0C4F">
        <w:t xml:space="preserve"> used in this study is a mini-Lidar made in Finland and maintained by China Ocean University. The CL31 is used for active remote sensing measurements to characterize the ABL height with the backscatter signal and has good accuracy </w:t>
      </w:r>
      <w:r w:rsidRPr="00FF0C4F">
        <w:fldChar w:fldCharType="begin"/>
      </w:r>
      <w:r w:rsidR="00A44B66">
        <w:instrText xml:space="preserve"> ADDIN ZOTERO_ITEM CSL_CITATION {"citationID":"avjunht3kd","properties":{"formattedCitation":"(Kotthaus &amp; Grimmond, 2018; Sok\\uc0\\u243{}\\uc0\\u322{} et al., 2014)","plainCitation":"(Kotthaus &amp; Grimmond, 2018; Sokół et al., 2014)","noteIndex":0},"citationItems":[{"id":90,"uris":["http://zotero.org/users/7904379/items/8SQBZPZK"],"itemData":{"id":90,"type":"article-journal","abstract":"The use of Automatic Lidars and Ceilometers (ALC) is increasingly extended beyond monitoring cloud base height to the study of atmospheric boundary layer (ABL) dynamics. Therefore, long-term sensor network observations require robust algorithms to automatically detect the mixed layer height (ZML). Here, a novel automatic algorithm CABAM (Characterising the Atmospheric Boundary layer based on ALC Measurements) is presented. CABAM is the first non-proprietary mixed layer height algorithm specifically designed for the commonly deployed Vaisala CL31 ceilometer. The method tracks ZML, takes into account precipitation, classifies the ABL based on cloud cover and cloud type, and determines the relation between ZML and cloud base height. CABAM relies solely on ALC measurements. Results perform well against independent reference (AMDAR: Aircraft Meteorological Data Relay) measurements and supervised ZML detection. AMDAR-derived temperature inversion heights allow ZML evaluation throughout the day. Very good agreement is found in the afternoon when the mixed layer height extends over the full ABL. However, during night or the morning transition the temperature inversion is more likely associated with the top of the residual layer. From comparison with SYNOP reports, the ABL classification scheme generally correctly distinguishes between convective and stratiform boundary-layer clouds, with slightly better performance during daytime. Applied to 6 years of ALC observations in central London, Kotthaus and Grimmond (), a companion paper, demonstrate CABAM results are valuable to characterise the urban boundary layer over London, United Kingdom, where clouds of various types are frequent.","container-title":"Quarterly Journal of the Royal Meteorological Society","DOI":"https://doi.org/10.1002/qj.3299","ISSN":"1477-870X","issue":"714","language":"en","note":"_eprint: https://rmets.onlinelibrary.wiley.com/doi/pdf/10.1002/qj.3299","page":"1525-1538","source":"Wiley Online Library","title":"Atmospheric boundary-layer characteristics from ceilometer measurements. Part 1: A new method to track mixed layer height and classify clouds","title-short":"Atmospheric boundary-layer characteristics from ceilometer measurements. Part 1","URL":"https://rmets.onlinelibrary.wiley.com/doi/abs/10.1002/qj.3299","volume":"144","author":[{"family":"Kotthaus","given":"Simone"},{"family":"Grimmond","given":"C. Sue B."}],"accessed":{"date-parts":[["2021",3,25]]},"issued":{"date-parts":[["2018"]]}}},{"id":93,"uris":["http://zotero.org/users/7904379/items/HA3BU6WE"],"itemData":{"id":93,"type":"article-journal","abstract":"The morning transition of the atmospheric boundary layer from nighttime to daytime conditions was investigated using the Vaisala’s CL-31 ceilometer, located at Magurele, Romania (44.35°N, 26.03°E). Based on the 5-days backward trajectories, we rejected those measurements which were related to the intrusions of long-range transported particles. In the several discussed cases, which are representative for the morning transition in spring and summer seasons over Magurele, the increasing depth of the boundary layer related to the local aerosol load was well discernible. The dynamic change of its depth was estimated with errors using a simple method based on finding the minimum of the first derivative of the ceilometer signal. In the summer, the increase of the boundary layer depth due to the morning transition from the nighttime to daytime conditions starts on average of about 80 min earlier and the growth rate of this depth is 143 ± 6 m/h and about 37% slower than in the spring case.","container-title":"Acta Geophysica","DOI":"10.2478/s11600-013-0158-5","ISSN":"1895-7455","issue":"2","journalAbbreviation":"Acta Geophys.","language":"en","page":"367-380","source":"Springer Link","title":"Evaluation of the boundary layer morning transition using the CL-31 ceilometer signals","URL":"https://doi.org/10.2478/s11600-013-0158-5","volume":"62","author":[{"family":"Sokół","given":"Paulina"},{"family":"Stachlewska","given":"Iwona S."},{"family":"Ungureanu","given":"Ioana"},{"family":"Stefan","given":"Sabina"}],"accessed":{"date-parts":[["2021",3,25]]},"issued":{"date-parts":[["2014",4,1]]}}}],"schema":"https://github.com/citation-style-language/schema/raw/master/csl-citation.json"} </w:instrText>
      </w:r>
      <w:r w:rsidRPr="00FF0C4F">
        <w:fldChar w:fldCharType="separate"/>
      </w:r>
      <w:r w:rsidR="00A44B66" w:rsidRPr="00A44B66">
        <w:t>(Kotthaus &amp; Grimmond, 2018; Sokół et al., 2014)</w:t>
      </w:r>
      <w:r w:rsidRPr="00FF0C4F">
        <w:fldChar w:fldCharType="end"/>
      </w:r>
      <w:r w:rsidRPr="00FF0C4F">
        <w:t>. This study used the measurements from the CL31 as a reference for the simulated ABL</w:t>
      </w:r>
      <w:r w:rsidR="007B139F">
        <w:t xml:space="preserve">. </w:t>
      </w:r>
      <w:r w:rsidRPr="00FF0C4F">
        <w:t xml:space="preserve">The purpose of using the CL31 measurement was to avoid a false ABL </w:t>
      </w:r>
      <w:r w:rsidR="00080C3B">
        <w:t>depth</w:t>
      </w:r>
      <w:r w:rsidRPr="00FF0C4F">
        <w:t xml:space="preserve"> estimation. </w:t>
      </w:r>
    </w:p>
    <w:p w14:paraId="0F0E0AF3" w14:textId="62D60B77" w:rsidR="00FF0C4F" w:rsidRPr="00381BD2" w:rsidRDefault="00FF0C4F" w:rsidP="00C515DE">
      <w:pPr>
        <w:pStyle w:val="Heading3"/>
        <w:numPr>
          <w:ilvl w:val="2"/>
          <w:numId w:val="27"/>
        </w:numPr>
        <w:ind w:left="540"/>
      </w:pPr>
      <w:r w:rsidRPr="00381BD2">
        <w:t>Ka-Band Millimeter-Wave Radar and Fengyun 2D Satellite Images</w:t>
      </w:r>
    </w:p>
    <w:p w14:paraId="28C6D4F6" w14:textId="75DEBDE6" w:rsidR="00FF0C4F" w:rsidRPr="00FF0C4F" w:rsidRDefault="00FF0C4F" w:rsidP="008C7C75">
      <w:pPr>
        <w:ind w:firstLine="540"/>
      </w:pPr>
      <w:r w:rsidRPr="00FF0C4F">
        <w:t xml:space="preserve">The cloud row data were determined over Naqu2 using a </w:t>
      </w:r>
      <w:bookmarkStart w:id="22" w:name="_Hlk59966187"/>
      <w:r w:rsidRPr="00FF0C4F">
        <w:t xml:space="preserve">Ka-band </w:t>
      </w:r>
      <w:r w:rsidR="00A41C39" w:rsidRPr="00FF0C4F">
        <w:t>millimeter</w:t>
      </w:r>
      <m:oMath>
        <m:r>
          <w:rPr>
            <w:rFonts w:ascii="Cambria Math" w:hAnsi="Cambria Math"/>
          </w:rPr>
          <m:t>-</m:t>
        </m:r>
      </m:oMath>
      <w:r w:rsidRPr="00FF0C4F">
        <w:t xml:space="preserve">wave </w:t>
      </w:r>
      <w:bookmarkEnd w:id="22"/>
      <w:r w:rsidRPr="00FF0C4F">
        <w:t xml:space="preserve">cloud radar. The device has a time resolution of 0.85 s and </w:t>
      </w:r>
      <w:r w:rsidR="00252E15">
        <w:t xml:space="preserve">a </w:t>
      </w:r>
      <w:r w:rsidRPr="00FF0C4F">
        <w:t xml:space="preserve">vertical resolution of 30 m. The data from July 19, 2014, were used to retrieve the radar reflectivity. The radar reflectivity mentioned here is a measure of the fraction of the precipitation intensity reflected from the cloud surface. The millimeter-wave cloud radar data browsing software, HMB-Disp, provided by Naqu2 was used to extract the radar reflectivity. Visible light 2D images from the Fengyun (FY-2D) geostationary meteorological satellite at </w:t>
      </w:r>
      <w:bookmarkStart w:id="23" w:name="_Hlk59966537"/>
      <w:r w:rsidRPr="00FF0C4F">
        <w:t>16:45 local standard time (LST) on July 19, 2014</w:t>
      </w:r>
      <w:bookmarkEnd w:id="23"/>
      <w:r w:rsidRPr="00FF0C4F">
        <w:t>, were also used as a reference to simulated reflectivity. The original data has a horizontal resolution of 5600 × 4800 pixels.</w:t>
      </w:r>
    </w:p>
    <w:p w14:paraId="41F58528" w14:textId="2B4E76EF" w:rsidR="00FB0DBD" w:rsidRDefault="003F64C8" w:rsidP="00C515DE">
      <w:pPr>
        <w:pStyle w:val="Heading2"/>
        <w:numPr>
          <w:ilvl w:val="1"/>
          <w:numId w:val="27"/>
        </w:numPr>
        <w:ind w:left="450"/>
      </w:pPr>
      <w:r>
        <w:t>WRF</w:t>
      </w:r>
      <w:r w:rsidR="00B17AA7">
        <w:t xml:space="preserve"> Modeling</w:t>
      </w:r>
      <w:r w:rsidR="006D5C25">
        <w:t xml:space="preserve"> Framework</w:t>
      </w:r>
    </w:p>
    <w:p w14:paraId="71058B0A" w14:textId="4C54C2DD" w:rsidR="00722877" w:rsidRPr="00C62730" w:rsidRDefault="00722877" w:rsidP="00C515DE">
      <w:pPr>
        <w:pStyle w:val="Heading3"/>
        <w:numPr>
          <w:ilvl w:val="2"/>
          <w:numId w:val="27"/>
        </w:numPr>
        <w:ind w:left="540"/>
      </w:pPr>
      <w:r w:rsidRPr="00C62730">
        <w:t>WRF Model Description</w:t>
      </w:r>
    </w:p>
    <w:p w14:paraId="7CB3E50E" w14:textId="19BB9654" w:rsidR="00722877" w:rsidRDefault="00722877" w:rsidP="00375201">
      <w:pPr>
        <w:ind w:firstLine="540"/>
      </w:pPr>
      <w:bookmarkStart w:id="24" w:name="_Hlk69687739"/>
      <w:r w:rsidRPr="00722877">
        <w:t>The WRF model is a non</w:t>
      </w:r>
      <m:oMath>
        <m:r>
          <w:rPr>
            <w:rFonts w:ascii="Cambria Math" w:hAnsi="Cambria Math"/>
          </w:rPr>
          <m:t>-</m:t>
        </m:r>
      </m:oMath>
      <w:r w:rsidRPr="00722877">
        <w:t xml:space="preserve">hydrostatic, compressible atmospheric model, which is the most widely used </w:t>
      </w:r>
      <w:r w:rsidR="00E5691B">
        <w:t xml:space="preserve">in </w:t>
      </w:r>
      <w:r w:rsidRPr="00722877">
        <w:t xml:space="preserve">NWP for research and operational needs </w:t>
      </w:r>
      <w:r w:rsidRPr="00722877">
        <w:fldChar w:fldCharType="begin"/>
      </w:r>
      <w:r w:rsidR="00A44B66">
        <w:instrText xml:space="preserve"> ADDIN ZOTERO_ITEM CSL_CITATION {"citationID":"a2dmgrmt8k2","properties":{"formattedCitation":"(Powers et al., 2017)","plainCitation":"(Powers et al., 2017)","noteIndex":0},"citationItems":[{"id":365,"uris":["http://zotero.org/users/7904379/items/P5RU9FZX"],"itemData":{"id":365,"type":"article-journal","abstract":"&lt;section class=\"abstract\"&gt;&lt;h2 class=\"abstractTitle text-title my-1\" id=\"d1156e2\"&gt;Abstract&lt;/h2&gt;&lt;p&gt;Since its initial release in 2000, the Weather Research and Forecasting (WRF) Model has become one of the world’s most widely used numerical weather prediction models. Designed to serve both research and operational needs, it has grown to offer a spectrum of options and capabilities for a wide range of applications. In addition, it underlies a number of tailored systems that address Earth system modeling beyond weather. While the WRF Model has a centralized support effort, it has become a truly community model, driven by the developments and contributions of an active worldwide user base. The WRF Model sees significant use for operational forecasting, and its research implementations are pushing the boundaries of finescale atmospheric simulation. Future model directions include developments in physics, exploiting emerging compute technologies, and ever-innovative applications. From its contributions to research, forecasting, educational, and commercial efforts worldwide, the WRF Model has made a significant mark on numerical weather prediction and atmospheric science.&lt;/p&gt;&lt;/section&gt;","container-title":"Bulletin of the American Meteorological Society","DOI":"10.1175/BAMS-D-15-00308.1","ISSN":"0003-0007, 1520-0477","issue":"8","language":"EN","note":"publisher: American Meteorological Society\nsection: Bulletin of the American Meteorological Society","page":"1717-1737","source":"journals.ametsoc.org","title":"The Weather Research and Forecasting Model: Overview, System Efforts, and Future Directions","title-short":"The Weather Research and Forecasting Model","URL":"https://journals.ametsoc.org/view/journals/bams/98/8/bams-d-15-00308.1.xml","volume":"98","author":[{"family":"Powers","given":"Jordan G."},{"family":"Klemp","given":"Joseph B."},{"family":"Skamarock","given":"William C."},{"family":"Davis","given":"Christopher A."},{"family":"Dudhia","given":"Jimy"},{"family":"Gill","given":"David O."},{"family":"Coen","given":"Janice L."},{"family":"Gochis","given":"David J."},{"family":"Ahmadov","given":"Ravan"},{"family":"Peckham","given":"Steven E."},{"family":"Grell","given":"Georg A."},{"family":"Michalakes","given":"John"},{"family":"Trahan","given":"Samuel"},{"family":"Benjamin","given":"Stanley G."},{"family":"Alexander","given":"Curtis R."},{"family":"Dimego","given":"Geoffrey J."},{"family":"Wang","given":"Wei"},{"family":"Schwartz","given":"Craig S."},{"family":"Romine","given":"Glen S."},{"family":"Liu","given":"Zhiquan"},{"family":"Snyder","given":"Chris"},{"family":"Chen","given":"Fei"},{"family":"Barlage","given":"Michael J."},{"family":"Yu","given":"Wei"},{"family":"Duda","given":"Michael G."}],"accessed":{"date-parts":[["2021",4,19]]},"issued":{"date-parts":[["2017",8,1]]}}}],"schema":"https://github.com/citation-style-language/schema/raw/master/csl-citation.json"} </w:instrText>
      </w:r>
      <w:r w:rsidRPr="00722877">
        <w:fldChar w:fldCharType="separate"/>
      </w:r>
      <w:r w:rsidR="00A44B66" w:rsidRPr="00A44B66">
        <w:t>(Powers et al., 2017)</w:t>
      </w:r>
      <w:r w:rsidRPr="00722877">
        <w:fldChar w:fldCharType="end"/>
      </w:r>
      <w:r w:rsidRPr="00722877">
        <w:t xml:space="preserve">. The WRF model has grid nesting capability, which allows simultaneous multiscale simulation </w:t>
      </w:r>
      <w:r w:rsidRPr="00722877">
        <w:fldChar w:fldCharType="begin"/>
      </w:r>
      <w:r w:rsidR="00A44B66">
        <w:instrText xml:space="preserve"> ADDIN ZOTERO_ITEM CSL_CITATION {"citationID":"a1nuc0lmude","properties":{"formattedCitation":"(Powers et al., 2017; Skamarock et al., 2008)","plainCitation":"(Powers et al., 2017; Skamarock et al., 2008)","noteIndex":0},"citationItems":[{"id":63,"uris":["http://zotero.org/users/7904379/items/AGQIY7XM"],"itemData":{"id":63,"type":"report","language":"en","note":"dimensions: 1002 KB\nmedium: application/pdf\nDOI: 10.5065/D68S4MVH","page":"1002 KB","publisher":"UCAR/NCAR","source":"DOI.org (Datacite)","title":"A Description of the Advanced Research WRF Version 3","URL":"http://opensky.ucar.edu/islandora/object/technotes:500","author":[{"family":"Skamarock","given":"William"},{"family":"Klemp","given":"Joseph"},{"family":"Dudhia","given":"Jimy"},{"family":"Gill","given":"David"},{"family":"Barker","given":"Dale"},{"family":"Wang","given":"Wei"},{"family":"Huang","given":"Xiang-Yu"},{"family":"Duda","given":"Michael"}],"accessed":{"date-parts":[["2021",3,25]]},"issued":{"date-parts":[["2008",6]]}}},{"id":365,"uris":["http://zotero.org/users/7904379/items/P5RU9FZX"],"itemData":{"id":365,"type":"article-journal","abstract":"&lt;section class=\"abstract\"&gt;&lt;h2 class=\"abstractTitle text-title my-1\" id=\"d1156e2\"&gt;Abstract&lt;/h2&gt;&lt;p&gt;Since its initial release in 2000, the Weather Research and Forecasting (WRF) Model has become one of the world’s most widely used numerical weather prediction models. Designed to serve both research and operational needs, it has grown to offer a spectrum of options and capabilities for a wide range of applications. In addition, it underlies a number of tailored systems that address Earth system modeling beyond weather. While the WRF Model has a centralized support effort, it has become a truly community model, driven by the developments and contributions of an active worldwide user base. The WRF Model sees significant use for operational forecasting, and its research implementations are pushing the boundaries of finescale atmospheric simulation. Future model directions include developments in physics, exploiting emerging compute technologies, and ever-innovative applications. From its contributions to research, forecasting, educational, and commercial efforts worldwide, the WRF Model has made a significant mark on numerical weather prediction and atmospheric science.&lt;/p&gt;&lt;/section&gt;","container-title":"Bulletin of the American Meteorological Society","DOI":"10.1175/BAMS-D-15-00308.1","ISSN":"0003-0007, 1520-0477","issue":"8","language":"EN","note":"publisher: American Meteorological Society\nsection: Bulletin of the American Meteorological Society","page":"1717-1737","source":"journals.ametsoc.org","title":"The Weather Research and Forecasting Model: Overview, System Efforts, and Future Directions","title-short":"The Weather Research and Forecasting Model","URL":"https://journals.ametsoc.org/view/journals/bams/98/8/bams-d-15-00308.1.xml","volume":"98","author":[{"family":"Powers","given":"Jordan G."},{"family":"Klemp","given":"Joseph B."},{"family":"Skamarock","given":"William C."},{"family":"Davis","given":"Christopher A."},{"family":"Dudhia","given":"Jimy"},{"family":"Gill","given":"David O."},{"family":"Coen","given":"Janice L."},{"family":"Gochis","given":"David J."},{"family":"Ahmadov","given":"Ravan"},{"family":"Peckham","given":"Steven E."},{"family":"Grell","given":"Georg A."},{"family":"Michalakes","given":"John"},{"family":"Trahan","given":"Samuel"},{"family":"Benjamin","given":"Stanley G."},{"family":"Alexander","given":"Curtis R."},{"family":"Dimego","given":"Geoffrey J."},{"family":"Wang","given":"Wei"},{"family":"Schwartz","given":"Craig S."},{"family":"Romine","given":"Glen S."},{"family":"Liu","given":"Zhiquan"},{"family":"Snyder","given":"Chris"},{"family":"Chen","given":"Fei"},{"family":"Barlage","given":"Michael J."},{"family":"Yu","given":"Wei"},{"family":"Duda","given":"Michael G."}],"accessed":{"date-parts":[["2021",4,19]]},"issued":{"date-parts":[["2017",8,1]]}}}],"schema":"https://github.com/citation-style-language/schema/raw/master/csl-citation.json"} </w:instrText>
      </w:r>
      <w:r w:rsidRPr="00722877">
        <w:fldChar w:fldCharType="separate"/>
      </w:r>
      <w:r w:rsidR="00A44B66" w:rsidRPr="00A44B66">
        <w:t>(Powers et al., 2017; Skamarock et al., 2008)</w:t>
      </w:r>
      <w:r w:rsidRPr="00722877">
        <w:fldChar w:fldCharType="end"/>
      </w:r>
      <w:r w:rsidRPr="00722877">
        <w:t>.</w:t>
      </w:r>
      <w:bookmarkEnd w:id="24"/>
      <w:r w:rsidRPr="00722877">
        <w:t xml:space="preserve"> The model has several initialization programs for idealized and real</w:t>
      </w:r>
      <m:oMath>
        <m:r>
          <w:rPr>
            <w:rFonts w:ascii="Cambria Math" w:hAnsi="Cambria Math"/>
          </w:rPr>
          <m:t>-</m:t>
        </m:r>
      </m:oMath>
      <w:r w:rsidRPr="00722877">
        <w:t>data simulation cases and provides several parameterization options, such as land surface, surface layer, planetary boundary layer (PBL), microphysics, C</w:t>
      </w:r>
      <w:r w:rsidR="009A011B">
        <w:rPr>
          <w:rFonts w:eastAsia="SimSun" w:hint="eastAsia"/>
          <w:lang w:eastAsia="zh-CN"/>
        </w:rPr>
        <w:t>C</w:t>
      </w:r>
      <w:r w:rsidRPr="00722877">
        <w:t xml:space="preserve"> parameterization </w:t>
      </w:r>
      <w:r w:rsidRPr="00722877">
        <w:fldChar w:fldCharType="begin"/>
      </w:r>
      <w:r w:rsidR="00A44B66">
        <w:instrText xml:space="preserve"> ADDIN ZOTERO_ITEM CSL_CITATION {"citationID":"ac199eofrs","properties":{"formattedCitation":"(Gentry &amp; Lackmann, 2010)","plainCitation":"(Gentry &amp; Lackmann, 2010)","noteIndex":0},"citationItems":[{"id":52,"uris":["http://zotero.org/users/7904379/items/4D7J7NFH"],"itemData":{"id":52,"type":"article-journal","abstract":"Abstract\n            The Weather Research and Forecasting (WRF) model is used to test the sensitivity of simulations of Hurricane Ivan (2004) to changes in horizontal grid spacing for grid lengths from 8 to 1 km. As resolution is increased, minimum central pressure decreases significantly (by 30 hPa from 8- to 1-km grid spacing), although this increase in intensity is not uniform across similar reductions in grid spacing, even when pressure fields are interpolated to a common grid. This implies that the additional strengthening of the simulated tropical cyclone (TC) at higher resolution is not attributable to sampling, but is due to changes in the representation of physical processes important to TC intensity.\n            The most apparent changes in simulated TC structure with resolution occur near a grid length of 4 km. At 4-km grid spacing and below, polygonal eyewall segments appear, suggestive of breaking vortex Rossby waves. With sub-4-km grid lengths, localized, intense updraft cores within the eyewall are numerous and both polygonal and circular eyewall shapes appear regularly. Higher-resolution simulations produce a greater variety of shapes, transitioning more frequently between polygonal and circular eyewalls relative to lower-resolution simulations. It is hypothesized that this is because of the ability to resolve a greater range of wavenumbers in high-resolution simulations. Also, as resolution is increased, a broader range of updraft and downdraft velocities is present in the eyewall. These results suggest that grid spacing of 2 km or less is needed for representation of important physical processes in the TC eyewall. Grid-length and domain size suggestions for operational prediction are provided; for operational prediction, a grid length of 3 km or less is recommended.","container-title":"Monthly Weather Review","DOI":"10.1175/2009MWR2976.1","ISSN":"1520-0493, 0027-0644","issue":"3","language":"en","page":"688-704","source":"DOI.org (Crossref)","title":"Sensitivity of Simulated Tropical Cyclone Structure and Intensity to Horizontal Resolution","URL":"http://journals.ametsoc.org/doi/10.1175/2009MWR2976.1","volume":"138","author":[{"family":"Gentry","given":"Megan S."},{"family":"Lackmann","given":"Gary M."}],"accessed":{"date-parts":[["2021",3,25]]},"issued":{"date-parts":[["2010",3,1]]}}}],"schema":"https://github.com/citation-style-language/schema/raw/master/csl-citation.json"} </w:instrText>
      </w:r>
      <w:r w:rsidRPr="00722877">
        <w:fldChar w:fldCharType="separate"/>
      </w:r>
      <w:r w:rsidR="00A44B66" w:rsidRPr="00A44B66">
        <w:t>(Gentry &amp; Lackmann, 2010)</w:t>
      </w:r>
      <w:r w:rsidRPr="00722877">
        <w:fldChar w:fldCharType="end"/>
      </w:r>
      <w:r w:rsidRPr="00722877">
        <w:t>, and adaptive subgrid</w:t>
      </w:r>
      <m:oMath>
        <m:r>
          <w:rPr>
            <w:rFonts w:ascii="Cambria Math" w:hAnsi="Cambria Math"/>
          </w:rPr>
          <m:t>-</m:t>
        </m:r>
      </m:oMath>
      <w:r w:rsidRPr="00722877">
        <w:t xml:space="preserve">scale (SGS) mixing parameterization </w:t>
      </w:r>
      <w:r w:rsidRPr="00722877">
        <w:fldChar w:fldCharType="begin"/>
      </w:r>
      <w:r w:rsidR="00A44B66">
        <w:instrText xml:space="preserve"> ADDIN ZOTERO_ITEM CSL_CITATION {"citationID":"a6ss17ot8e","properties":{"formattedCitation":"(Canuto &amp; Cheng, 1997; Y. Liu et al., 2011; Takemi &amp; Rotunno, 2003)","plainCitation":"(Canuto &amp; Cheng, 1997; Y. Liu et al., 2011; Takemi &amp; Rotunno, 2003)","noteIndex":0},"citationItems":[{"id":86,"uris":["http://zotero.org/users/7904379/items/RJXV6VDZ"],"itemData":{"id":86,"type":"article-journal","abstract":"&lt;section class=\"abstract\"&gt;&lt;h2 class=\"abstractTitle text-title my-1\" id=\"d1375e2\"&gt;Abstract&lt;/h2&gt;&lt;p&gt;Using the newly developed Weather Research and Forecasting (WRF) model, this study investigates the effects of subgrid mixing and numerical filtering in mesoscale cloud simulations by examining the sensitivities to the parameters in turbulence-closure schemes as well as the parameters in the numerical filters. Three-dimensional simulations of squall lines in both no-shear and strong-shear environments have been performed. Using the Smagorinsky or 1.5-order turbulent kinetic energy (TKE) subgrid model with standard values for the model constants and no explicit numerical filter, the solution in the no-shear environment is characterized by many poorly resolved grid-scale cells. In the past, such grid-scale noise was avoided by adding a numerical filter which, however, produces excessive damping of the physical small-scale eddies. Without using such a filter, it was found that by increasing the proportionality constant in the eddy viscosity coefficient in the subgrid turbulence models, the cells become well resolved, but that further increases in the constant overly smooth the cells. Such solution sensitivity is also found in the strong-shear cases. The simulations using the subgrid models with viscosity coefficients 1.5 to 2 times larger than those widely used in other cloud models retain more power in short scales, but without an unwanted buildup of energy; with these optimum values, no numerical filters are required to avoid computational noise. These optimum constants do not depend significantly on grid spacings of &lt;em&gt;O&lt;/em&gt;(1 km). Therefore, it is concluded that by using the eddy viscosity formulation appropriate for mesoscale cloud simulations, the use of artificial numerical filters is avoided, and the mixing processes are represented by more physically based turbulence-closure models.&lt;/p&gt;&lt;/section&gt;","container-title":"Monthly Weather Review","DOI":"10.1175/1520-0493(2003)131&lt;2085:TEOSMM&gt;2.0.CO;2","ISSN":"1520-0493, 0027-0644","issue":"9","language":"EN","note":"publisher: American Meteorological Society\nsection: Monthly Weather Review","page":"2085-2101","source":"journals.ametsoc.org","title":"The Effects of Subgrid Model Mixing and Numerical Filtering in Simulations of Mesoscale Cloud Systems","URL":"https://journals.ametsoc.org/view/journals/mwre/131/9/1520-0493_2003_131_2085_teosmm_2.0.co_2.xml","volume":"131","author":[{"family":"Takemi","given":"Tetsuya"},{"family":"Rotunno","given":"Richard"}],"accessed":{"date-parts":[["2021",3,25]]},"issued":{"date-parts":[["2003",9,1]]}}},{"id":8,"uris":["http://zotero.org/users/7904379/items/8E3QJDQJ"],"itemData":{"id":8,"type":"article-journal","container-title":"Physics of Fluids","DOI":"10.1063/1.869251","ISSN":"1070-6631, 1089-7666","issue":"5","journalAbbreviation":"Physics of Fluids","language":"en","page":"1368-1378","source":"DOI.org (Crossref)","title":"Determination of the Smagorinsky–Lilly constant CS","URL":"http://aip.scitation.org/doi/10.1063/1.869251","volume":"9","author":[{"family":"Canuto","given":"V. M."},{"family":"Cheng","given":"Y."}],"accessed":{"date-parts":[["2021",3,25]]},"issued":{"date-parts":[["1997",5]]}}},{"id":49,"uris":["http://zotero.org/users/7904379/items/LJXUIMWB"],"itemData":{"id":49,"type":"article-journal","container-title":"Journal of Wind Engineering and Industrial Aerodynamics","DOI":"10.1016/j.jweia.2011.01.013","ISSN":"01676105","issue":"4","journalAbbreviation":"Journal of Wind Engineering and Industrial Aerodynamics","language":"en","page":"308-319","source":"DOI.org (Crossref)","title":"Simultaneous nested modeling from the synoptic scale to the LES scale for wind energy applications","URL":"https://linkinghub.elsevier.com/retrieve/pii/S0167610511000158","volume":"99","author":[{"family":"Liu","given":"Yubao"},{"family":"Warner","given":"Tom"},{"family":"Liu","given":"Yuewei"},{"family":"Vincent","given":"Claire"},{"family":"Wu","given":"Wanli"},{"family":"Mahoney","given":"Bill"},{"family":"Swerdlin","given":"Scott"},{"family":"Parks","given":"Keith"},{"family":"Boehnert","given":"Jennifer"}],"accessed":{"date-parts":[["2021",3,25]]},"issued":{"date-parts":[["2011",4]]}}}],"schema":"https://github.com/citation-style-language/schema/raw/master/csl-citation.json"} </w:instrText>
      </w:r>
      <w:r w:rsidRPr="00722877">
        <w:fldChar w:fldCharType="separate"/>
      </w:r>
      <w:r w:rsidR="00A44B66" w:rsidRPr="00A44B66">
        <w:t>(Canuto &amp; Cheng, 1997; Y. Liu et al., 2011; Takemi &amp; Rotunno, 2003)</w:t>
      </w:r>
      <w:r w:rsidRPr="00722877">
        <w:fldChar w:fldCharType="end"/>
      </w:r>
      <w:r w:rsidRPr="00722877">
        <w:t>. In this model, the turbulent kinetic energy and non</w:t>
      </w:r>
      <m:oMath>
        <m:r>
          <w:rPr>
            <w:rFonts w:ascii="Cambria Math" w:hAnsi="Cambria Math"/>
          </w:rPr>
          <m:t>-</m:t>
        </m:r>
      </m:oMath>
      <w:r w:rsidRPr="00722877">
        <w:t xml:space="preserve">local closure schemes enable the PBL to develop with entrainment </w:t>
      </w:r>
      <w:r w:rsidRPr="00722877">
        <w:fldChar w:fldCharType="begin"/>
      </w:r>
      <w:r w:rsidR="00A44B66">
        <w:instrText xml:space="preserve"> ADDIN ZOTERO_ITEM CSL_CITATION {"citationID":"a2o2d6sed2v","properties":{"formattedCitation":"(Dai et al., 2014; Dudhia, 2014; Shin &amp; Dudhia, 2016; Skamarock et al., 2008)","plainCitation":"(Dai et al., 2014; Dudhia, 2014; Shin &amp; Dudhia, 2016; Skamarock et al., 2008)","noteIndex":0},"citationItems":[{"id":19,"uris":["http://zotero.org/users/7904379/items/JNYCRZAZ"],"itemData":{"id":19,"type":"article-journal","container-title":"Boundary-Layer Meteorology","DOI":"10.1007/s10546-014-9929-z","ISSN":"0006-8314, 1573-1472","issue":"3","journalAbbreviation":"Boundary-Layer Meteorol","language":"en","page":"277-302","source":"DOI.org (Crossref)","title":"Determining Boundary-Layer Height from Aircraft Measurements","URL":"http://link.springer.com/10.1007/s10546-014-9929-z","volume":"152","author":[{"family":"Dai","given":"C."},{"family":"Wang","given":"Q."},{"family":"Kalogiros","given":"J. A."},{"family":"Lenschow","given":"D. H."},{"family":"Gao","given":"Z."},{"family":"Zhou","given":"M."}],"accessed":{"date-parts":[["2021",3,25]]},"issued":{"date-parts":[["2014",9]]}}},{"id":24,"uris":["http://zotero.org/users/7904379/items/C63ZUENL"],"itemData":{"id":24,"type":"article-journal","container-title":"Asia-Pacific Journal of Atmospheric Sciences","DOI":"10.1007/s13143-014-0031-8","ISSN":"1976-7633, 1976-7951","issue":"1","journalAbbreviation":"Asia-Pacific J Atmos Sci","language":"en","page":"121-131","source":"DOI.org (Crossref)","title":"A history of mesoscale model development","URL":"http://link.springer.com/10.1007/s13143-014-0031-8","volume":"50","author":[{"family":"Dudhia","given":"Jimy"}],"accessed":{"date-parts":[["2021",3,25]]},"issued":{"date-parts":[["2014",1]]}}},{"id":94,"uris":["http://zotero.org/users/7904379/items/BRSB5VBD"],"itemData":{"id":94,"type":"article-journal","abstract":"Abstract\n            Planetary boundary layer (PBL) parameterizations in mesoscale models have been developed for horizontal resolutions that cannot resolve any turbulence in the PBL, and evaluation of these parameterizations has been focused on profiles of mean and parameterized flux. Meanwhile, the recent increase in computing power has been allowing numerical weather prediction (NWP) at horizontal grid spacings finer than 1 km, at which kilometer-scale large eddies in the convective PBL are partly resolvable. This study evaluates the performance of convective PBL parameterizations in the Weather Research and Forecasting (WRF) Model at subkilometer grid spacings. The evaluation focuses on resolved turbulence statistics, considering expectations for improvement in the resolved fields by using the fine meshes. The parameterizations include four nonlocal schemes—Yonsei University (YSU), asymmetric convective model 2 (ACM2), eddy diffusivity mass flux (EDMF), and total energy mass flux (TEMF)—and one local scheme, the Mellor–Yamada–Nakanishi–Niino (MYNN) level-2.5 model.\n            Key findings are as follows: 1) None of the PBL schemes is scale-aware. Instead, each has its own best performing resolution in parameterizing subgrid-scale (SGS) vertical transport and resolving eddies, and the resolution appears to be different between heat and momentum. 2) All the selected schemes reproduce total vertical heat transport well, as resolved transport compensates differences of the parameterized SGS transport from the reference SGS transport. This interaction between the resolved and SGS parts is not found in momentum. 3) Those schemes that more accurately reproduce one feature (e.g., thermodynamic transport, momentum transport, energy spectrum, or probability density function of resolved vertical velocity) do not necessarily perform well for other aspects.","container-title":"Monthly Weather Review","DOI":"10.1175/MWR-D-15-0208.1","ISSN":"0027-0644, 1520-0493","issue":"3","language":"en","page":"1161-1177","source":"DOI.org (Crossref)","title":"Evaluation of PBL Parameterizations in WRF at Subkilometer Grid Spacings: Turbulence Statistics in the Dry Convective Boundary Layer","title-short":"Evaluation of PBL Parameterizations in WRF at Subkilometer Grid Spacings","URL":"http://journals.ametsoc.org/doi/10.1175/MWR-D-15-0208.1","volume":"144","author":[{"family":"Shin","given":"Hyeyum Hailey"},{"family":"Dudhia","given":"Jimy"}],"accessed":{"date-parts":[["2021",3,25]]},"issued":{"date-parts":[["2016",3,1]]}}},{"id":63,"uris":["http://zotero.org/users/7904379/items/AGQIY7XM"],"itemData":{"id":63,"type":"report","language":"en","note":"dimensions: 1002 KB\nmedium: application/pdf\nDOI: 10.5065/D68S4MVH","page":"1002 KB","publisher":"UCAR/NCAR","source":"DOI.org (Datacite)","title":"A Description of the Advanced Research WRF Version 3","URL":"http://opensky.ucar.edu/islandora/object/technotes:500","author":[{"family":"Skamarock","given":"William"},{"family":"Klemp","given":"Joseph"},{"family":"Dudhia","given":"Jimy"},{"family":"Gill","given":"David"},{"family":"Barker","given":"Dale"},{"family":"Wang","given":"Wei"},{"family":"Huang","given":"Xiang-Yu"},{"family":"Duda","given":"Michael"}],"accessed":{"date-parts":[["2021",3,25]]},"issued":{"date-parts":[["2008",6]]}}}],"schema":"https://github.com/citation-style-language/schema/raw/master/csl-citation.json"} </w:instrText>
      </w:r>
      <w:r w:rsidRPr="00722877">
        <w:fldChar w:fldCharType="separate"/>
      </w:r>
      <w:r w:rsidR="00A44B66" w:rsidRPr="00A44B66">
        <w:t>(Dai et al., 2014; Dudhia, 2014; Shin &amp; Dudhia, 2016; Skamarock et al., 2008)</w:t>
      </w:r>
      <w:r w:rsidRPr="00722877">
        <w:fldChar w:fldCharType="end"/>
      </w:r>
      <w:r w:rsidRPr="00722877">
        <w:t xml:space="preserve">. </w:t>
      </w:r>
    </w:p>
    <w:p w14:paraId="1915F60B" w14:textId="519D66D9" w:rsidR="006B4C10" w:rsidRDefault="006B4C10" w:rsidP="00375201">
      <w:pPr>
        <w:ind w:firstLine="540"/>
      </w:pPr>
      <w:r w:rsidRPr="00722877">
        <w:t>As mentioned above, the WRF model has more computing power and allows the coupled WRF</w:t>
      </w:r>
      <m:oMath>
        <m:r>
          <w:rPr>
            <w:rFonts w:ascii="Cambria Math" w:hAnsi="Cambria Math"/>
          </w:rPr>
          <m:t>-</m:t>
        </m:r>
      </m:oMath>
      <w:r w:rsidRPr="00722877">
        <w:t>LES to perform real case simulation</w:t>
      </w:r>
      <w:r w:rsidR="00401E6F">
        <w:t>s</w:t>
      </w:r>
      <w:r w:rsidRPr="00722877">
        <w:t xml:space="preserve"> </w:t>
      </w:r>
      <w:r w:rsidR="0008367C">
        <w:t>at</w:t>
      </w:r>
      <w:r w:rsidRPr="00722877">
        <w:t xml:space="preserve"> meso</w:t>
      </w:r>
      <m:oMath>
        <m:r>
          <w:rPr>
            <w:rFonts w:ascii="Cambria Math" w:hAnsi="Cambria Math"/>
          </w:rPr>
          <m:t>-</m:t>
        </m:r>
      </m:oMath>
      <w:r w:rsidRPr="00722877">
        <w:t xml:space="preserve"> </w:t>
      </w:r>
      <w:r w:rsidR="0008367C">
        <w:t>and</w:t>
      </w:r>
      <w:r w:rsidRPr="00722877">
        <w:t xml:space="preserve"> micro</w:t>
      </w:r>
      <m:oMath>
        <m:r>
          <w:rPr>
            <w:rFonts w:ascii="Cambria Math" w:hAnsi="Cambria Math"/>
          </w:rPr>
          <m:t>-</m:t>
        </m:r>
      </m:oMath>
      <w:r w:rsidRPr="00722877">
        <w:t>scale</w:t>
      </w:r>
      <w:r w:rsidR="00A43075">
        <w:t>s</w:t>
      </w:r>
      <w:r w:rsidRPr="00722877">
        <w:t xml:space="preserve"> resolution</w:t>
      </w:r>
      <w:r w:rsidR="00F84A2B">
        <w:t>s</w:t>
      </w:r>
      <w:r w:rsidR="0008367C">
        <w:t xml:space="preserve"> </w:t>
      </w:r>
      <w:r w:rsidRPr="00722877">
        <w:fldChar w:fldCharType="begin"/>
      </w:r>
      <w:r w:rsidR="00C62A9A">
        <w:instrText xml:space="preserve"> ADDIN ZOTERO_ITEM CSL_CITATION {"citationID":"a20fufbj48u","properties":{"formattedCitation":"(Y. Liu et al., 2020; Talbot et al., 2012)","plainCitation":"(Y. Liu et al., 2020; Talbot et al., 2012)","noteIndex":0},"citationItems":[{"id":72,"uris":["http://zotero.org/users/7904379/items/LEVUMHVU"],"itemData":{"id":72,"type":"article-journal","abstract":"&lt;section class=\"abstract\"&gt;&lt;h2 class=\"abstractTitle text-title my-1\" id=\"d5e2\"&gt;Abstract&lt;/h2&gt;&lt;p&gt;This paper assesses the performance of the Weather Research and Forecasting Model (WRF) as a tool for multiscale atmospheric simulations. Tests are performed in real and idealized cases with multiple configurations and with resolutions ranging from the mesoscale (gridcell size ~10 km) for the real cases to local scales (gridcell size ~50 m) for both real and idealized cases. All idealized simulations and the finest real-case simulations use the turbulence-resolving large-eddy simulation mode of WRF (WRF-LES). Tests in neutral conditions and with idealized forcing are first performed to assess the model’s sensitivity to grid resolutions and subgrid-scale parameterizations and to optimize the setup of the real cases. An increase in horizontal model resolution is found to be more beneficial than an increase in vertical resolution. WRF-LES is then tested, using extensive observational data, in real-world cases over complex terrain through nested simulations in which the mesoscale domains drive the LES domains. Analysis of the mesoscale simulations indicates that the data needed to force the largest simulated domain and to initialize surface parameters have the strongest influence on the results. Similarly, LES model fields are primarily influenced by their mesoscale meteorological forcing. As a result, the nesting of LES models down to a 50-m resolution does not improve all aspects of hydrometeorological predictions. Advantages of using fine-resolution LES are noted at nighttime (under stable conditions) and over heterogeneous surfaces when local properties are required or when resolving small-scale surface features is desirable.&lt;/p&gt;&lt;/section&gt;","container-title":"Journal of Hydrometeorology","DOI":"10.1175/JHM-D-11-048.1","ISSN":"1525-7541, 1525-755X","issue":"5","language":"EN","note":"publisher: American Meteorological Society\nsection: Journal of Hydrometeorology","page":"1421-1441","source":"journals.ametsoc.org","title":"Nested Mesoscale Large-Eddy Simulations with WRF: Performance in Real Test Cases","title-short":"Nested Mesoscale Large-Eddy Simulations with WRF","URL":"https://journals.ametsoc.org/view/journals/hydr/13/5/jhm-d-11-048_1.xml","volume":"13","author":[{"family":"Talbot","given":"Charles"},{"family":"Bou-Zeid","given":"Elie"},{"family":"Smith","given":"Jim"}],"accessed":{"date-parts":[["2021",3,25]]},"issued":{"date-parts":[["2012",10,1]]}}},{"id":381,"uris":["http://zotero.org/users/7904379/items/95QS9UH3"],"itemData":{"id":381,"type":"article-journal","abstract":"&lt;section class=\"abstract\"&gt;&lt;h2 class=\"abstractTitle text-title my-1\" id=\"d1742e2\"&gt;Abstract&lt;/h2&gt;&lt;p&gt;A multiscale modeling study of a real case has been conducted to explore the capability of the large-eddy simulation version of the Weather Research and Forecasting Model (WRF-LES) over Xiaohaituo Mountain (a game zone for the Beijing, China, 2022 Winter Olympic Games). In comparing WRF-LES results with observations collected during the Mountain Terrain Atmospheric Observations and Modeling (MOUNTAOM) field campaign, it is found that at 37-m resolution with LES settings, the model can reasonably capture both large-scale events and microscale atmospheric circulation characteristics. Employing the Shuttle Radar Topography Mission 1 arc s dataset (SRTM1; ~30 m) high-resolution topographic dataset instead of the traditional USGS_30s (~900 m) dataset effectively improves the model capability for reproducing fluctuations and turbulent features of surface winds. Five sensitivity experiments are conducted to investigate the impact of different PBL treatments, including YSU/Shin and Hong (SH) PBL schemes and LES with 1.5-order turbulence kinetic energy closure model (1.5TKE), Smagorinsky (SMAG), and nonlinear backscatter and anisotropy (NBA) subgrid-scale (SGS) stress models. In this case, at gray-zone scales, differences between YSU and SH are negligible. LES outperform two PBL schemes that generate smaller turbulence kinetic energy and increase the model errors for mean wind speed, energy spectra, and probability density functions of velocity. Another key finding is that wind field features in the boundary layer over complex terrain are more sensitive to the choice of SGS models than above the boundary layer. With the increase of model resolution, the effects of the SGS model become more significant, especially for the statistical characteristics of turbulence. Among these three SGS models, NBA has the best performance. Overall, this study demonstrates that WRF-LES is a promising tool for simulating real weather flows over complex terrain.&lt;/p&gt;&lt;/section&gt;","container-title":"Journal of Applied Meteorology and Climatology","DOI":"10.1175/JAMC-D-19-0304.1","ISSN":"1558-8424, 1558-8432","issue":"9","language":"EN","note":"publisher: American Meteorological Society\nsection: Journal of Applied Meteorology and Climatology","page":"1481-1501","source":"journals.ametsoc.org","title":"Simulation of Flow Fields in Complex Terrain with WRF-LES: Sensitivity Assessment of Different PBL Treatments","title-short":"Simulation of Flow Fields in Complex Terrain with WRF-LES","URL":"https://journals.ametsoc.org/view/journals/apme/59/9/jamcD190304.xml","volume":"59","author":[{"family":"Liu","given":"Yubao"},{"family":"Muñoz-Esparza","given":"Domingo"},{"family":"Hu","given":"Fei"},{"family":"Yan","given":"Chao"},{"family":"Miao","given":"Shiguang"}],"accessed":{"date-parts":[["2021",4,20]]},"issued":{"date-parts":[["2020",9,18]]}}}],"schema":"https://github.com/citation-style-language/schema/raw/master/csl-citation.json"} </w:instrText>
      </w:r>
      <w:r w:rsidRPr="00722877">
        <w:fldChar w:fldCharType="separate"/>
      </w:r>
      <w:r w:rsidR="00C62A9A" w:rsidRPr="00C62A9A">
        <w:t>(Y. Liu et al., 2020; Talbot et al., 2012)</w:t>
      </w:r>
      <w:r w:rsidRPr="00722877">
        <w:fldChar w:fldCharType="end"/>
      </w:r>
      <w:r w:rsidRPr="00722877">
        <w:t xml:space="preserve">. The purpose of applying the LES is to </w:t>
      </w:r>
      <w:r w:rsidR="00DE3C61">
        <w:rPr>
          <w:rFonts w:eastAsia="SimSun" w:hint="eastAsia"/>
          <w:lang w:eastAsia="zh-CN"/>
        </w:rPr>
        <w:t>implicitly calculate</w:t>
      </w:r>
      <w:r w:rsidRPr="00722877">
        <w:t xml:space="preserve"> the small-scale turbulence from the flow field and explicitly resolve the largest scales of energy production, while the basis of the LES strategy in the WRF model is low</w:t>
      </w:r>
      <m:oMath>
        <m:r>
          <w:rPr>
            <w:rFonts w:ascii="Cambria Math" w:hAnsi="Cambria Math"/>
          </w:rPr>
          <m:t>-</m:t>
        </m:r>
      </m:oMath>
      <w:r w:rsidRPr="00722877">
        <w:t xml:space="preserve">pass filtering </w:t>
      </w:r>
      <w:r w:rsidRPr="00722877">
        <w:fldChar w:fldCharType="begin"/>
      </w:r>
      <w:r w:rsidR="00EC3304">
        <w:instrText xml:space="preserve"> ADDIN ZOTERO_ITEM CSL_CITATION {"citationID":"a1435nh9pbl","properties":{"formattedCitation":"(Chow et al., 2005; Chow &amp; Street, 2009; Mirocha et al., 2010; Shin &amp; Dudhia, 2016)","plainCitation":"(Chow et al., 2005; Chow &amp; Street, 2009; Mirocha et al., 2010; Shin &amp; Dudhia, 2016)","noteIndex":0},"citationItems":[{"id":13,"uris":["http://zotero.org/users/7904379/items/C5BAGKZV"],"itemData":{"id":13,"type":"article-journal","abstract":"Abstract\n            Standard turbulence closures for large-eddy simulations of atmospheric flow based on finite-difference or finite-volume codes use eddy-viscosity models and hence ignore the contribution of the resolved subfilter-scale stresses. These eddy-viscosity closures are unable to produce the expected logarithmic region near the surface in neutral boundary layer flows. Here, explicit filtering and reconstruction are used to improve the representation of the resolvable subfilter-scale (RSFS) stresses, and a dynamic eddy-viscosity model is used for the subgrid-scale (SGS) stresses. Combining reconstruction and eddy-viscosity models yields a sophisticated (and higher order) version of the well-known mixed model of Bardina et al.; the explicit filtering and reconstruction procedures clearly delineate the contribution of the RSFS and SGS motions. A near-wall stress model is implemented to supplement the turbulence models and account for the stress induced by filtering near a solid boundary as well as the effect of the large grid aspect ratio. Results for neutral boundary layer flow over a rough wall using the combined dynamic reconstruction model and the near-wall stress model show excellent agreement with similarity theory logarithmic velocity profiles, a significant improvement over standard eddy-viscosity closures. Stress profiles also exhibit the expected pattern with increased reconstruction level.","container-title":"Journal of the Atmospheric Sciences","DOI":"10.1175/JAS3456.1","ISSN":"1520-0469, 0022-4928","issue":"7","language":"en","page":"2058-2077","source":"DOI.org (Crossref)","title":"Explicit Filtering and Reconstruction Turbulence Modeling for Large-Eddy Simulation of Neutral Boundary Layer Flow","URL":"https://journals.ametsoc.org/doi/10.1175/JAS3456.1","volume":"62","author":[{"family":"Chow","given":"Fotini Katopodes"},{"family":"Street","given":"Robert L."},{"family":"Xue","given":"Ming"},{"family":"Ferziger","given":"Joel H."}],"accessed":{"date-parts":[["2021",3,25]]},"issued":{"date-parts":[["2005",7,1]]}}},{"id":94,"uris":["http://zotero.org/users/7904379/items/BRSB5VBD"],"itemData":{"id":94,"type":"article-journal","abstract":"Abstract\n            Planetary boundary layer (PBL) parameterizations in mesoscale models have been developed for horizontal resolutions that cannot resolve any turbulence in the PBL, and evaluation of these parameterizations has been focused on profiles of mean and parameterized flux. Meanwhile, the recent increase in computing power has been allowing numerical weather prediction (NWP) at horizontal grid spacings finer than 1 km, at which kilometer-scale large eddies in the convective PBL are partly resolvable. This study evaluates the performance of convective PBL parameterizations in the Weather Research and Forecasting (WRF) Model at subkilometer grid spacings. The evaluation focuses on resolved turbulence statistics, considering expectations for improvement in the resolved fields by using the fine meshes. The parameterizations include four nonlocal schemes—Yonsei University (YSU), asymmetric convective model 2 (ACM2), eddy diffusivity mass flux (EDMF), and total energy mass flux (TEMF)—and one local scheme, the Mellor–Yamada–Nakanishi–Niino (MYNN) level-2.5 model.\n            Key findings are as follows: 1) None of the PBL schemes is scale-aware. Instead, each has its own best performing resolution in parameterizing subgrid-scale (SGS) vertical transport and resolving eddies, and the resolution appears to be different between heat and momentum. 2) All the selected schemes reproduce total vertical heat transport well, as resolved transport compensates differences of the parameterized SGS transport from the reference SGS transport. This interaction between the resolved and SGS parts is not found in momentum. 3) Those schemes that more accurately reproduce one feature (e.g., thermodynamic transport, momentum transport, energy spectrum, or probability density function of resolved vertical velocity) do not necessarily perform well for other aspects.","container-title":"Monthly Weather Review","DOI":"10.1175/MWR-D-15-0208.1","ISSN":"0027-0644, 1520-0493","issue":"3","language":"en","page":"1161-1177","source":"DOI.org (Crossref)","title":"Evaluation of PBL Parameterizations in WRF at Subkilometer Grid Spacings: Turbulence Statistics in the Dry Convective Boundary Layer","title-short":"Evaluation of PBL Parameterizations in WRF at Subkilometer Grid Spacings","URL":"http://journals.ametsoc.org/doi/10.1175/MWR-D-15-0208.1","volume":"144","author":[{"family":"Shin","given":"Hyeyum Hailey"},{"family":"Dudhia","given":"Jimy"}],"accessed":{"date-parts":[["2021",3,25]]},"issued":{"date-parts":[["2016",3,1]]}}},{"id":"j94seLCz/wtDl91rZ","uris":["http://zotero.org/users/7904379/items/LBKR3TY4"],"itemData":{"id":373,"type":"article-journal","abstract":"&lt;section class=\"abstract\"&gt;&lt;h2 class=\"abstractTitle text-title my-1\" id=\"d5e2\"&gt;Abstract&lt;/h2&gt;&lt;p&gt;Two formulations of a nonlinear turbulence subfilter-scale (SFS) stress model were implemented into the Advanced Research Weather Research and Forecasting model (ARW-WRF) version 3.0 for improved large-eddy simulation performance. The new models were evaluated against the WRF model’s standard Smagorinsky and 1.5-order turbulence kinetic energy (TKE) linear eddy-viscosity SFS stress models in simulations of geostrophically forced, neutral boundary layer flow over both flat terrain and a shallow, symmetric transverse ridge. Comparisons of simulation results with similarity profiles indicate that the nonlinear models significantly improve agreement with the expected profiles near the surface, reducing the overprediction of near-surface stress characteristic of linear eddy-viscosity models with no near-wall damping. Comparisons of simulations conducted using different mesh sizes indicate that the nonlinear model simulations at coarser resolutions agree more closely with the higher-resolution results than corresponding lower-resolution simulations using the standard WRF SFS stress models. The nonlinear models produced flows featuring a broader range of eddy sizes, with less spectral power at lower frequencies and more spectral power at higher frequencies. In simulated flow over the transverse ridge, distributions of flow separation and reversal near the surface simulated at higher resolution were likewise better depicted in coarser-resolution simulations using the nonlinear models.&lt;/p&gt;&lt;/section&gt;","container-title":"Monthly Weather Review","DOI":"10.1175/2010MWR3286.1","ISSN":"1520-0493, 0027-0644","issue":"11","language":"EN","note":"publisher: American Meteorological Society\nsection: Monthly Weather Review","page":"4212-4228","source":"journals.ametsoc.org","title":"Implementation of a Nonlinear Subfilter Turbulence Stress Model for Large-Eddy Simulation in the Advanced Research WRF Model","volume":"138","author":[{"family":"Mirocha","given":"J. D."},{"family":"Lundquist","given":"J. K."},{"family":"Kosović","given":"B."}],"issued":{"date-parts":[["2010",11,1]]}}},{"id":11,"uris":["http://zotero.org/users/7904379/items/KM4JS3VV"],"itemData":{"id":11,"type":"article-journal","abstract":"Abstract\n            The evaluation of turbulence closure models for large-eddy simulation (LES) has primarily been performed over flat terrain, where comparisons with theory and observations are simplified. The authors have previously developed improved closure models using explicit filtering and reconstruction, together with a dynamic eddy-viscosity model and a near-wall stress term. This dynamic reconstruction model (DRM) is a mixed model, combining scale-similarity and eddy-viscosity components. The DRM gave improved results over standard eddy-viscosity models for neutral boundary layer flow over flat but rough terrain, yielding the expected logarithmic velocity profiles near the wall. The results from the studies over flat terrain are now extended to flow over full-scale topography. The test case is flow over Askervein Hill, an isolated hill in western Scotland, where a field campaign was conducted in 1983 with the purpose of capturing wind data representing atmospheric episodes under near-neutral stratification and steady wind conditions. This widely studied flow provides a more challenging test case for the new turbulence models because of the sloping terrain and separation in the lee of the hill. Since an LES formulation is used, a number of simulation features are different than those typically used in the Askervein literature. The simulations are inherently unsteady, the inflow conditions are provided by a separate turbulent flow database, and (uniquely herein) ensemble averages of the turbulent flow results are used in comparisons with field data. Results indicate that the DRM can improve the predictions of flow speedup and especially turbulent kinetic energy (TKE) over the hill when compared with the standard TKE-1.5 model. This is the first study, to the authors’ knowledge, in which explicit filtering and reconstruction (scale similarity) and dynamic turbulence models have been applied to full-scale simulations of the atmospheric boundary layer over terrain. Simulations with the lowest level of reconstruction are straightforward. Increased levels of reconstruction, however, present difficulties when used with a dynamic eddy-viscosity model. An alternative mixed model is proposed to avoid the complexities associated with the dynamic procedure and to allow higher levels of reconstruction; this mixed model combines a standard TKE-1.5 eddy-viscosity closure with velocity reconstruction to form a simple and efficient turbulence model that gives good results for both mean flow and turbulence over Askervein Hill. The results indicate that significant improvements in LES over complex terrain can be obtained by the use of mixed models that combine scale-similarity and eddy-viscosity components.","container-title":"Journal of Applied Meteorology and Climatology","DOI":"10.1175/2008JAMC1862.1","ISSN":"1558-8432, 1558-8424","issue":"5","language":"en","page":"1050-1065","source":"DOI.org (Crossref)","title":"Evaluation of Turbulence Closure Models for Large-Eddy Simulation over Complex Terrain: Flow over Askervein Hill","title-short":"Evaluation of Turbulence Closure Models for Large-Eddy Simulation over Complex Terrain","URL":"http://journals.ametsoc.org/doi/10.1175/2008JAMC1862.1","volume":"48","author":[{"family":"Chow","given":"Fotini Katopodes"},{"family":"Street","given":"Robert L."}],"accessed":{"date-parts":[["2021",3,25]]},"issued":{"date-parts":[["2009",5,1]]}}}],"schema":"https://github.com/citation-style-language/schema/raw/master/csl-citation.json"} </w:instrText>
      </w:r>
      <w:r w:rsidRPr="00722877">
        <w:fldChar w:fldCharType="separate"/>
      </w:r>
      <w:r w:rsidR="00A44B66" w:rsidRPr="00A44B66">
        <w:t>(Chow et al., 2005; Chow &amp; Street, 2009; Mirocha et al., 2010; Shin &amp; Dudhia, 2016)</w:t>
      </w:r>
      <w:r w:rsidRPr="00722877">
        <w:fldChar w:fldCharType="end"/>
      </w:r>
      <w:r w:rsidRPr="00722877">
        <w:t xml:space="preserve">. </w:t>
      </w:r>
      <w:r w:rsidR="00F677EB">
        <w:t>T</w:t>
      </w:r>
      <w:r w:rsidRPr="00722877">
        <w:t>he application of coupled WRF-LES in real case mode uses a surface layer scheme to connect the lower boundary and the atmosphere</w:t>
      </w:r>
      <w:r w:rsidR="00F84A2B">
        <w:t>.</w:t>
      </w:r>
    </w:p>
    <w:p w14:paraId="3AE379A9" w14:textId="4C3DE5A7" w:rsidR="00667CE5" w:rsidRPr="00667CE5" w:rsidRDefault="00667CE5" w:rsidP="00667CE5">
      <w:pPr>
        <w:rPr>
          <w:i/>
        </w:rPr>
      </w:pPr>
      <w:r w:rsidRPr="00667CE5">
        <w:rPr>
          <w:b/>
          <w:bCs/>
        </w:rPr>
        <w:lastRenderedPageBreak/>
        <w:t xml:space="preserve">Table </w:t>
      </w:r>
      <w:r w:rsidRPr="00667CE5">
        <w:rPr>
          <w:b/>
          <w:bCs/>
        </w:rPr>
        <w:fldChar w:fldCharType="begin"/>
      </w:r>
      <w:r w:rsidRPr="00667CE5">
        <w:rPr>
          <w:b/>
          <w:bCs/>
        </w:rPr>
        <w:instrText xml:space="preserve"> SEQ Table \* ARABIC </w:instrText>
      </w:r>
      <w:r w:rsidRPr="00667CE5">
        <w:rPr>
          <w:b/>
          <w:bCs/>
        </w:rPr>
        <w:fldChar w:fldCharType="separate"/>
      </w:r>
      <w:r w:rsidR="004302F1">
        <w:rPr>
          <w:b/>
          <w:bCs/>
          <w:noProof/>
        </w:rPr>
        <w:t>2</w:t>
      </w:r>
      <w:r w:rsidRPr="00667CE5">
        <w:fldChar w:fldCharType="end"/>
      </w:r>
      <w:r w:rsidRPr="00667CE5">
        <w:rPr>
          <w:b/>
          <w:bCs/>
        </w:rPr>
        <w:t xml:space="preserve">. </w:t>
      </w:r>
      <w:r w:rsidRPr="00667CE5">
        <w:t xml:space="preserve">Five nesting domains,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i=1-5</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i=1-5</m:t>
            </m:r>
          </m:sub>
        </m:sSub>
      </m:oMath>
      <w:r w:rsidRPr="00667CE5">
        <w:rPr>
          <w:b/>
          <w:bCs/>
        </w:rPr>
        <w:t>,</w:t>
      </w:r>
      <w:r w:rsidRPr="00667CE5">
        <w:t xml:space="preserve"> represent grid spacing (m) where i ranges from 1 to 5 to represent the domains </w:t>
      </w:r>
      <m:oMath>
        <m:sSub>
          <m:sSubPr>
            <m:ctrlPr>
              <w:rPr>
                <w:rFonts w:ascii="Cambria Math" w:hAnsi="Cambria Math"/>
                <w:i/>
              </w:rPr>
            </m:ctrlPr>
          </m:sSubPr>
          <m:e>
            <m:r>
              <w:rPr>
                <w:rFonts w:ascii="Cambria Math" w:hAnsi="Cambria Math"/>
              </w:rPr>
              <m:t>D0</m:t>
            </m:r>
          </m:e>
          <m:sub>
            <m:r>
              <w:rPr>
                <w:rFonts w:ascii="Cambria Math" w:hAnsi="Cambria Math"/>
              </w:rPr>
              <m:t>i=1</m:t>
            </m:r>
          </m:sub>
        </m:sSub>
        <m:r>
          <m:rPr>
            <m:sty m:val="bi"/>
          </m:rPr>
          <w:rPr>
            <w:rFonts w:ascii="Cambria Math" w:hAnsi="Cambria Math"/>
          </w:rPr>
          <m:t>,</m:t>
        </m:r>
        <m:sSub>
          <m:sSubPr>
            <m:ctrlPr>
              <w:rPr>
                <w:rFonts w:ascii="Cambria Math" w:hAnsi="Cambria Math"/>
                <w:i/>
              </w:rPr>
            </m:ctrlPr>
          </m:sSubPr>
          <m:e>
            <m:r>
              <w:rPr>
                <w:rFonts w:ascii="Cambria Math" w:hAnsi="Cambria Math"/>
              </w:rPr>
              <m:t>D0</m:t>
            </m:r>
          </m:e>
          <m:sub>
            <m:r>
              <w:rPr>
                <w:rFonts w:ascii="Cambria Math" w:hAnsi="Cambria Math"/>
              </w:rPr>
              <m:t>i=2</m:t>
            </m:r>
          </m:sub>
        </m:sSub>
        <m:r>
          <w:rPr>
            <w:rFonts w:ascii="Cambria Math" w:hAnsi="Cambria Math"/>
          </w:rPr>
          <m:t>,</m:t>
        </m:r>
        <m:sSub>
          <m:sSubPr>
            <m:ctrlPr>
              <w:rPr>
                <w:rFonts w:ascii="Cambria Math" w:hAnsi="Cambria Math"/>
                <w:i/>
              </w:rPr>
            </m:ctrlPr>
          </m:sSubPr>
          <m:e>
            <m:r>
              <w:rPr>
                <w:rFonts w:ascii="Cambria Math" w:hAnsi="Cambria Math"/>
              </w:rPr>
              <m:t>D0</m:t>
            </m:r>
          </m:e>
          <m:sub>
            <m:r>
              <w:rPr>
                <w:rFonts w:ascii="Cambria Math" w:hAnsi="Cambria Math"/>
              </w:rPr>
              <m:t>i=3</m:t>
            </m:r>
          </m:sub>
        </m:sSub>
        <m:r>
          <w:rPr>
            <w:rFonts w:ascii="Cambria Math" w:hAnsi="Cambria Math"/>
          </w:rPr>
          <m:t>,</m:t>
        </m:r>
        <m:sSub>
          <m:sSubPr>
            <m:ctrlPr>
              <w:rPr>
                <w:rFonts w:ascii="Cambria Math" w:hAnsi="Cambria Math"/>
                <w:i/>
              </w:rPr>
            </m:ctrlPr>
          </m:sSubPr>
          <m:e>
            <m:r>
              <w:rPr>
                <w:rFonts w:ascii="Cambria Math" w:hAnsi="Cambria Math"/>
              </w:rPr>
              <m:t>D0</m:t>
            </m:r>
          </m:e>
          <m:sub>
            <m:r>
              <w:rPr>
                <w:rFonts w:ascii="Cambria Math" w:hAnsi="Cambria Math"/>
              </w:rPr>
              <m:t>i=4</m:t>
            </m:r>
          </m:sub>
        </m:sSub>
        <m:r>
          <w:rPr>
            <w:rFonts w:ascii="Cambria Math" w:hAnsi="Cambria Math"/>
          </w:rPr>
          <m:t xml:space="preserve">,, </m:t>
        </m:r>
        <m:r>
          <m:rPr>
            <m:sty m:val="p"/>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D0</m:t>
            </m:r>
          </m:e>
          <m:sub>
            <m:r>
              <w:rPr>
                <w:rFonts w:ascii="Cambria Math" w:hAnsi="Cambria Math"/>
              </w:rPr>
              <m:t>i=5</m:t>
            </m:r>
          </m:sub>
        </m:sSub>
      </m:oMath>
      <w:r w:rsidRPr="00667CE5">
        <w:t xml:space="preserve">; </w:t>
      </w:r>
      <m:oMath>
        <m:r>
          <w:rPr>
            <w:rFonts w:ascii="Cambria Math" w:hAnsi="Cambria Math"/>
          </w:rPr>
          <m:t>∂t(s)</m:t>
        </m:r>
      </m:oMath>
      <w:r w:rsidRPr="00667CE5">
        <w:t xml:space="preserve">, the time step in seconds; </w:t>
      </w:r>
      <m:oMath>
        <m:r>
          <m:rPr>
            <m:scr m:val="script"/>
          </m:rPr>
          <w:rPr>
            <w:rFonts w:ascii="Cambria Math" w:hAnsi="Cambria Math"/>
          </w:rPr>
          <m:t>A</m:t>
        </m:r>
      </m:oMath>
      <w:r w:rsidRPr="00667CE5">
        <w:t xml:space="preserve"> is the area of the domain (km</w:t>
      </w:r>
      <w:r w:rsidRPr="00667CE5">
        <w:rPr>
          <w:vertAlign w:val="superscript"/>
        </w:rPr>
        <w:t>2</w:t>
      </w:r>
      <w:r w:rsidRPr="00667CE5">
        <w:t>).</w:t>
      </w:r>
      <w:r w:rsidRPr="006B4C10">
        <w:rPr>
          <w:iCs/>
        </w:rPr>
        <w:t xml:space="preserve"> </w:t>
      </w:r>
    </w:p>
    <w:tbl>
      <w:tblPr>
        <w:tblStyle w:val="TableGridLight1"/>
        <w:tblW w:w="9090" w:type="dxa"/>
        <w:tblLayout w:type="fixed"/>
        <w:tblLook w:val="04A0" w:firstRow="1" w:lastRow="0" w:firstColumn="1" w:lastColumn="0" w:noHBand="0" w:noVBand="1"/>
      </w:tblPr>
      <w:tblGrid>
        <w:gridCol w:w="1980"/>
        <w:gridCol w:w="1980"/>
        <w:gridCol w:w="1890"/>
        <w:gridCol w:w="1890"/>
        <w:gridCol w:w="1350"/>
      </w:tblGrid>
      <w:tr w:rsidR="00667CE5" w:rsidRPr="00932477" w14:paraId="4AA87513" w14:textId="77777777" w:rsidTr="00932477">
        <w:trPr>
          <w:trHeight w:val="314"/>
        </w:trPr>
        <w:tc>
          <w:tcPr>
            <w:tcW w:w="9090" w:type="dxa"/>
            <w:gridSpan w:val="5"/>
            <w:vAlign w:val="center"/>
          </w:tcPr>
          <w:p w14:paraId="148197C7" w14:textId="77777777" w:rsidR="00667CE5" w:rsidRPr="00932477" w:rsidRDefault="00667CE5" w:rsidP="006B4C10">
            <w:pPr>
              <w:spacing w:after="0"/>
              <w:jc w:val="center"/>
              <w:rPr>
                <w:sz w:val="16"/>
                <w:szCs w:val="16"/>
              </w:rPr>
            </w:pPr>
            <w:r w:rsidRPr="00932477">
              <w:rPr>
                <w:sz w:val="16"/>
                <w:szCs w:val="16"/>
              </w:rPr>
              <w:t>Mesoscale Simulation Runs</w:t>
            </w:r>
          </w:p>
        </w:tc>
      </w:tr>
      <w:tr w:rsidR="00667CE5" w:rsidRPr="00932477" w14:paraId="5234F557" w14:textId="77777777" w:rsidTr="00932477">
        <w:trPr>
          <w:trHeight w:val="314"/>
        </w:trPr>
        <w:tc>
          <w:tcPr>
            <w:tcW w:w="1980" w:type="dxa"/>
            <w:vAlign w:val="center"/>
          </w:tcPr>
          <w:p w14:paraId="3BA03431" w14:textId="77777777" w:rsidR="00667CE5" w:rsidRPr="00932477" w:rsidRDefault="00667CE5" w:rsidP="006B4C10">
            <w:pPr>
              <w:spacing w:after="0"/>
              <w:jc w:val="center"/>
              <w:rPr>
                <w:sz w:val="16"/>
                <w:szCs w:val="16"/>
              </w:rPr>
            </w:pPr>
            <w:r w:rsidRPr="00932477">
              <w:rPr>
                <w:sz w:val="16"/>
                <w:szCs w:val="16"/>
              </w:rPr>
              <w:t>Simulation Type</w:t>
            </w:r>
          </w:p>
        </w:tc>
        <w:tc>
          <w:tcPr>
            <w:tcW w:w="1980" w:type="dxa"/>
            <w:vAlign w:val="center"/>
          </w:tcPr>
          <w:p w14:paraId="0BFF10EC" w14:textId="77777777" w:rsidR="00667CE5" w:rsidRPr="00932477" w:rsidRDefault="00BB4B77" w:rsidP="006B4C10">
            <w:pPr>
              <w:spacing w:after="0"/>
              <w:jc w:val="center"/>
              <w:rPr>
                <w:sz w:val="16"/>
                <w:szCs w:val="16"/>
              </w:rPr>
            </w:pPr>
            <m:oMath>
              <m:sSub>
                <m:sSubPr>
                  <m:ctrlPr>
                    <w:rPr>
                      <w:rFonts w:ascii="Cambria Math" w:hAnsi="Cambria Math"/>
                      <w:sz w:val="16"/>
                      <w:szCs w:val="16"/>
                    </w:rPr>
                  </m:ctrlPr>
                </m:sSubPr>
                <m:e>
                  <m:r>
                    <m:rPr>
                      <m:sty m:val="p"/>
                    </m:rPr>
                    <w:rPr>
                      <w:rFonts w:ascii="Cambria Math" w:hAnsi="Cambria Math"/>
                      <w:sz w:val="16"/>
                      <w:szCs w:val="16"/>
                    </w:rPr>
                    <m:t>∆</m:t>
                  </m:r>
                  <m:r>
                    <w:rPr>
                      <w:rFonts w:ascii="Cambria Math" w:hAnsi="Cambria Math"/>
                      <w:sz w:val="16"/>
                      <w:szCs w:val="16"/>
                    </w:rPr>
                    <m:t>x</m:t>
                  </m:r>
                </m:e>
                <m:sub>
                  <m:r>
                    <w:rPr>
                      <w:rFonts w:ascii="Cambria Math" w:hAnsi="Cambria Math"/>
                      <w:sz w:val="16"/>
                      <w:szCs w:val="16"/>
                    </w:rPr>
                    <m:t>i</m:t>
                  </m:r>
                  <m:r>
                    <m:rPr>
                      <m:sty m:val="p"/>
                    </m:rPr>
                    <w:rPr>
                      <w:rFonts w:ascii="Cambria Math" w:hAnsi="Cambria Math"/>
                      <w:sz w:val="16"/>
                      <w:szCs w:val="16"/>
                    </w:rPr>
                    <m:t>=1-5</m:t>
                  </m:r>
                </m:sub>
              </m:sSub>
              <m:r>
                <m:rPr>
                  <m:sty m:val="p"/>
                </m:rPr>
                <w:rPr>
                  <w:rFonts w:ascii="Cambria Math" w:hAnsi="Cambria Math"/>
                  <w:sz w:val="16"/>
                  <w:szCs w:val="16"/>
                </w:rPr>
                <m:t>=</m:t>
              </m:r>
              <m:sSub>
                <m:sSubPr>
                  <m:ctrlPr>
                    <w:rPr>
                      <w:rFonts w:ascii="Cambria Math" w:hAnsi="Cambria Math"/>
                      <w:sz w:val="16"/>
                      <w:szCs w:val="16"/>
                    </w:rPr>
                  </m:ctrlPr>
                </m:sSubPr>
                <m:e>
                  <m:r>
                    <m:rPr>
                      <m:sty m:val="p"/>
                    </m:rPr>
                    <w:rPr>
                      <w:rFonts w:ascii="Cambria Math" w:hAnsi="Cambria Math"/>
                      <w:sz w:val="16"/>
                      <w:szCs w:val="16"/>
                    </w:rPr>
                    <m:t>∆</m:t>
                  </m:r>
                  <m:r>
                    <w:rPr>
                      <w:rFonts w:ascii="Cambria Math" w:hAnsi="Cambria Math"/>
                      <w:sz w:val="16"/>
                      <w:szCs w:val="16"/>
                    </w:rPr>
                    <m:t>y</m:t>
                  </m:r>
                </m:e>
                <m:sub>
                  <m:r>
                    <w:rPr>
                      <w:rFonts w:ascii="Cambria Math" w:hAnsi="Cambria Math"/>
                      <w:sz w:val="16"/>
                      <w:szCs w:val="16"/>
                    </w:rPr>
                    <m:t>i</m:t>
                  </m:r>
                  <m:r>
                    <m:rPr>
                      <m:sty m:val="p"/>
                    </m:rPr>
                    <w:rPr>
                      <w:rFonts w:ascii="Cambria Math" w:hAnsi="Cambria Math"/>
                      <w:sz w:val="16"/>
                      <w:szCs w:val="16"/>
                    </w:rPr>
                    <m:t>=1-5</m:t>
                  </m:r>
                </m:sub>
              </m:sSub>
            </m:oMath>
            <w:r w:rsidR="00667CE5" w:rsidRPr="00932477">
              <w:rPr>
                <w:sz w:val="16"/>
                <w:szCs w:val="16"/>
              </w:rPr>
              <w:t xml:space="preserve"> (m)</w:t>
            </w:r>
          </w:p>
        </w:tc>
        <w:tc>
          <w:tcPr>
            <w:tcW w:w="1890" w:type="dxa"/>
            <w:vAlign w:val="center"/>
          </w:tcPr>
          <w:p w14:paraId="5338EE66" w14:textId="66A05D19" w:rsidR="00667CE5" w:rsidRPr="00932477" w:rsidRDefault="00667CE5" w:rsidP="006B4C10">
            <w:pPr>
              <w:spacing w:after="0"/>
              <w:jc w:val="center"/>
              <w:rPr>
                <w:sz w:val="16"/>
                <w:szCs w:val="16"/>
              </w:rPr>
            </w:pPr>
            <w:r w:rsidRPr="00932477">
              <w:rPr>
                <w:sz w:val="16"/>
                <w:szCs w:val="16"/>
              </w:rPr>
              <w:t>Horizontal Grids Points</w:t>
            </w:r>
          </w:p>
        </w:tc>
        <w:tc>
          <w:tcPr>
            <w:tcW w:w="1890" w:type="dxa"/>
            <w:vAlign w:val="center"/>
          </w:tcPr>
          <w:p w14:paraId="4A1E8F87" w14:textId="77777777" w:rsidR="00667CE5" w:rsidRPr="00932477" w:rsidRDefault="00667CE5" w:rsidP="006B4C10">
            <w:pPr>
              <w:spacing w:after="0"/>
              <w:jc w:val="center"/>
              <w:rPr>
                <w:sz w:val="16"/>
                <w:szCs w:val="16"/>
              </w:rPr>
            </w:pPr>
            <m:oMath>
              <m:r>
                <m:rPr>
                  <m:scr m:val="script"/>
                </m:rPr>
                <w:rPr>
                  <w:rFonts w:ascii="Cambria Math" w:hAnsi="Cambria Math"/>
                  <w:sz w:val="16"/>
                  <w:szCs w:val="16"/>
                </w:rPr>
                <m:t>A</m:t>
              </m:r>
            </m:oMath>
            <w:r w:rsidRPr="00932477">
              <w:rPr>
                <w:i/>
                <w:sz w:val="16"/>
                <w:szCs w:val="16"/>
              </w:rPr>
              <w:t xml:space="preserve"> </w:t>
            </w:r>
            <w:bookmarkStart w:id="25" w:name="_Hlk91706464"/>
            <w:r w:rsidRPr="00932477">
              <w:rPr>
                <w:sz w:val="16"/>
                <w:szCs w:val="16"/>
              </w:rPr>
              <w:t>(km</w:t>
            </w:r>
            <w:r w:rsidRPr="00932477">
              <w:rPr>
                <w:sz w:val="16"/>
                <w:szCs w:val="16"/>
                <w:vertAlign w:val="superscript"/>
              </w:rPr>
              <w:t>2</w:t>
            </w:r>
            <w:r w:rsidRPr="00932477">
              <w:rPr>
                <w:sz w:val="16"/>
                <w:szCs w:val="16"/>
              </w:rPr>
              <w:t>)</w:t>
            </w:r>
            <w:bookmarkEnd w:id="25"/>
          </w:p>
        </w:tc>
        <w:tc>
          <w:tcPr>
            <w:tcW w:w="1350" w:type="dxa"/>
            <w:vAlign w:val="center"/>
          </w:tcPr>
          <w:p w14:paraId="11750B08" w14:textId="77777777" w:rsidR="00667CE5" w:rsidRPr="00932477" w:rsidRDefault="00667CE5" w:rsidP="006B4C10">
            <w:pPr>
              <w:spacing w:after="0"/>
              <w:jc w:val="center"/>
              <w:rPr>
                <w:sz w:val="16"/>
                <w:szCs w:val="16"/>
              </w:rPr>
            </w:pPr>
            <m:oMath>
              <m:r>
                <w:rPr>
                  <w:rFonts w:ascii="Cambria Math" w:hAnsi="Cambria Math"/>
                  <w:sz w:val="16"/>
                  <w:szCs w:val="16"/>
                </w:rPr>
                <m:t>∂t</m:t>
              </m:r>
            </m:oMath>
            <w:r w:rsidRPr="00932477">
              <w:rPr>
                <w:sz w:val="16"/>
                <w:szCs w:val="16"/>
              </w:rPr>
              <w:t>(s)</w:t>
            </w:r>
          </w:p>
        </w:tc>
      </w:tr>
      <w:tr w:rsidR="00667CE5" w:rsidRPr="00932477" w14:paraId="598AEFB7" w14:textId="77777777" w:rsidTr="00932477">
        <w:trPr>
          <w:trHeight w:val="332"/>
        </w:trPr>
        <w:tc>
          <w:tcPr>
            <w:tcW w:w="1980" w:type="dxa"/>
            <w:vAlign w:val="center"/>
          </w:tcPr>
          <w:p w14:paraId="54B4F6BA" w14:textId="77777777" w:rsidR="00667CE5" w:rsidRPr="00932477" w:rsidRDefault="00BB4B77" w:rsidP="006B4C10">
            <w:pPr>
              <w:spacing w:after="0"/>
              <w:jc w:val="center"/>
              <w:rPr>
                <w:sz w:val="16"/>
                <w:szCs w:val="16"/>
              </w:rPr>
            </w:pPr>
            <m:oMath>
              <m:sSub>
                <m:sSubPr>
                  <m:ctrlPr>
                    <w:rPr>
                      <w:rFonts w:ascii="Cambria Math" w:hAnsi="Cambria Math"/>
                      <w:i/>
                      <w:sz w:val="16"/>
                      <w:szCs w:val="16"/>
                    </w:rPr>
                  </m:ctrlPr>
                </m:sSubPr>
                <m:e>
                  <m:r>
                    <w:rPr>
                      <w:rFonts w:ascii="Cambria Math" w:hAnsi="Cambria Math"/>
                      <w:sz w:val="16"/>
                      <w:szCs w:val="16"/>
                    </w:rPr>
                    <m:t>D0</m:t>
                  </m:r>
                </m:e>
                <m:sub>
                  <m:r>
                    <w:rPr>
                      <w:rFonts w:ascii="Cambria Math" w:hAnsi="Cambria Math"/>
                      <w:sz w:val="16"/>
                      <w:szCs w:val="16"/>
                    </w:rPr>
                    <m:t>i=1</m:t>
                  </m:r>
                </m:sub>
              </m:sSub>
            </m:oMath>
            <w:r w:rsidR="00667CE5" w:rsidRPr="00932477">
              <w:rPr>
                <w:sz w:val="16"/>
                <w:szCs w:val="16"/>
              </w:rPr>
              <w:t xml:space="preserve"> Mesoscale</w:t>
            </w:r>
            <m:oMath>
              <m:r>
                <w:rPr>
                  <w:rFonts w:ascii="Cambria Math" w:hAnsi="Cambria Math"/>
                  <w:sz w:val="16"/>
                  <w:szCs w:val="16"/>
                </w:rPr>
                <m:t>-γ</m:t>
              </m:r>
            </m:oMath>
          </w:p>
        </w:tc>
        <w:tc>
          <w:tcPr>
            <w:tcW w:w="1980" w:type="dxa"/>
            <w:vAlign w:val="center"/>
          </w:tcPr>
          <w:p w14:paraId="3D6A1B88" w14:textId="77777777" w:rsidR="00667CE5" w:rsidRPr="00932477" w:rsidRDefault="00667CE5" w:rsidP="006B4C10">
            <w:pPr>
              <w:spacing w:after="0"/>
              <w:jc w:val="center"/>
              <w:rPr>
                <w:sz w:val="16"/>
                <w:szCs w:val="16"/>
              </w:rPr>
            </w:pPr>
            <w:r w:rsidRPr="00932477">
              <w:rPr>
                <w:sz w:val="16"/>
                <w:szCs w:val="16"/>
              </w:rPr>
              <w:t>9,234</w:t>
            </w:r>
          </w:p>
        </w:tc>
        <w:tc>
          <w:tcPr>
            <w:tcW w:w="1890" w:type="dxa"/>
            <w:vAlign w:val="center"/>
          </w:tcPr>
          <w:p w14:paraId="2AAF01B4" w14:textId="77777777" w:rsidR="00667CE5" w:rsidRPr="00932477" w:rsidRDefault="00667CE5" w:rsidP="006B4C10">
            <w:pPr>
              <w:spacing w:after="0"/>
              <w:jc w:val="center"/>
              <w:rPr>
                <w:sz w:val="16"/>
                <w:szCs w:val="16"/>
              </w:rPr>
            </w:pPr>
            <m:oMath>
              <m:r>
                <w:rPr>
                  <w:rFonts w:ascii="Cambria Math" w:hAnsi="Cambria Math"/>
                  <w:sz w:val="16"/>
                  <w:szCs w:val="16"/>
                </w:rPr>
                <m:t xml:space="preserve">150 </m:t>
              </m:r>
              <m:r>
                <m:rPr>
                  <m:sty m:val="p"/>
                </m:rPr>
                <w:rPr>
                  <w:rFonts w:ascii="Cambria Math" w:hAnsi="Cambria Math"/>
                  <w:sz w:val="16"/>
                  <w:szCs w:val="16"/>
                </w:rPr>
                <m:t>×</m:t>
              </m:r>
            </m:oMath>
            <w:r w:rsidRPr="00932477">
              <w:rPr>
                <w:sz w:val="16"/>
                <w:szCs w:val="16"/>
              </w:rPr>
              <w:t xml:space="preserve"> 150</w:t>
            </w:r>
          </w:p>
        </w:tc>
        <w:tc>
          <w:tcPr>
            <w:tcW w:w="1890" w:type="dxa"/>
            <w:vAlign w:val="center"/>
          </w:tcPr>
          <w:p w14:paraId="16E1334E" w14:textId="77777777" w:rsidR="00667CE5" w:rsidRPr="00932477" w:rsidRDefault="00667CE5" w:rsidP="006B4C10">
            <w:pPr>
              <w:spacing w:after="0"/>
              <w:jc w:val="center"/>
              <w:rPr>
                <w:sz w:val="16"/>
                <w:szCs w:val="16"/>
              </w:rPr>
            </w:pPr>
            <w:r w:rsidRPr="00932477">
              <w:rPr>
                <w:sz w:val="16"/>
                <w:szCs w:val="16"/>
              </w:rPr>
              <w:t>1385.1</w:t>
            </w:r>
            <m:oMath>
              <m:r>
                <w:rPr>
                  <w:rFonts w:ascii="Cambria Math" w:hAnsi="Cambria Math"/>
                  <w:sz w:val="16"/>
                  <w:szCs w:val="16"/>
                </w:rPr>
                <m:t xml:space="preserve"> </m:t>
              </m:r>
              <m:r>
                <m:rPr>
                  <m:sty m:val="p"/>
                </m:rPr>
                <w:rPr>
                  <w:rFonts w:ascii="Cambria Math" w:hAnsi="Cambria Math"/>
                  <w:sz w:val="16"/>
                  <w:szCs w:val="16"/>
                </w:rPr>
                <m:t xml:space="preserve">× </m:t>
              </m:r>
            </m:oMath>
            <w:r w:rsidRPr="00932477">
              <w:rPr>
                <w:sz w:val="16"/>
                <w:szCs w:val="16"/>
                <w:lang w:val="en-US"/>
              </w:rPr>
              <w:t>1385.1</w:t>
            </w:r>
          </w:p>
        </w:tc>
        <w:tc>
          <w:tcPr>
            <w:tcW w:w="1350" w:type="dxa"/>
            <w:vAlign w:val="center"/>
          </w:tcPr>
          <w:p w14:paraId="5879F3CD" w14:textId="77777777" w:rsidR="00667CE5" w:rsidRPr="00932477" w:rsidRDefault="00667CE5" w:rsidP="006B4C10">
            <w:pPr>
              <w:spacing w:after="0"/>
              <w:jc w:val="center"/>
              <w:rPr>
                <w:sz w:val="16"/>
                <w:szCs w:val="16"/>
              </w:rPr>
            </w:pPr>
            <w:r w:rsidRPr="00932477">
              <w:rPr>
                <w:sz w:val="16"/>
                <w:szCs w:val="16"/>
              </w:rPr>
              <w:t>15</w:t>
            </w:r>
          </w:p>
        </w:tc>
      </w:tr>
      <w:tr w:rsidR="00667CE5" w:rsidRPr="00932477" w14:paraId="22BFAF3E" w14:textId="77777777" w:rsidTr="00932477">
        <w:trPr>
          <w:trHeight w:val="221"/>
        </w:trPr>
        <w:tc>
          <w:tcPr>
            <w:tcW w:w="1980" w:type="dxa"/>
            <w:vAlign w:val="center"/>
          </w:tcPr>
          <w:p w14:paraId="421B1D11" w14:textId="77777777" w:rsidR="00667CE5" w:rsidRPr="00932477" w:rsidRDefault="00BB4B77" w:rsidP="006B4C10">
            <w:pPr>
              <w:spacing w:after="0"/>
              <w:jc w:val="center"/>
              <w:rPr>
                <w:sz w:val="16"/>
                <w:szCs w:val="16"/>
              </w:rPr>
            </w:pPr>
            <m:oMath>
              <m:sSub>
                <m:sSubPr>
                  <m:ctrlPr>
                    <w:rPr>
                      <w:rFonts w:ascii="Cambria Math" w:hAnsi="Cambria Math"/>
                      <w:i/>
                      <w:sz w:val="16"/>
                      <w:szCs w:val="16"/>
                    </w:rPr>
                  </m:ctrlPr>
                </m:sSubPr>
                <m:e>
                  <m:r>
                    <w:rPr>
                      <w:rFonts w:ascii="Cambria Math" w:hAnsi="Cambria Math"/>
                      <w:sz w:val="16"/>
                      <w:szCs w:val="16"/>
                    </w:rPr>
                    <m:t>D0</m:t>
                  </m:r>
                </m:e>
                <m:sub>
                  <m:r>
                    <w:rPr>
                      <w:rFonts w:ascii="Cambria Math" w:hAnsi="Cambria Math"/>
                      <w:sz w:val="16"/>
                      <w:szCs w:val="16"/>
                    </w:rPr>
                    <m:t>i=2</m:t>
                  </m:r>
                </m:sub>
              </m:sSub>
            </m:oMath>
            <w:r w:rsidR="00667CE5" w:rsidRPr="00932477">
              <w:rPr>
                <w:sz w:val="16"/>
                <w:szCs w:val="16"/>
              </w:rPr>
              <w:t xml:space="preserve"> Mesoscale</w:t>
            </w:r>
            <m:oMath>
              <m:r>
                <w:rPr>
                  <w:rFonts w:ascii="Cambria Math" w:hAnsi="Cambria Math"/>
                  <w:sz w:val="16"/>
                  <w:szCs w:val="16"/>
                </w:rPr>
                <m:t>-γ</m:t>
              </m:r>
            </m:oMath>
          </w:p>
        </w:tc>
        <w:tc>
          <w:tcPr>
            <w:tcW w:w="1980" w:type="dxa"/>
            <w:vAlign w:val="center"/>
          </w:tcPr>
          <w:p w14:paraId="2536E9FF" w14:textId="77777777" w:rsidR="00667CE5" w:rsidRPr="00932477" w:rsidRDefault="00667CE5" w:rsidP="006B4C10">
            <w:pPr>
              <w:spacing w:after="0"/>
              <w:jc w:val="center"/>
              <w:rPr>
                <w:sz w:val="16"/>
                <w:szCs w:val="16"/>
              </w:rPr>
            </w:pPr>
            <w:r w:rsidRPr="00932477">
              <w:rPr>
                <w:sz w:val="16"/>
                <w:szCs w:val="16"/>
              </w:rPr>
              <w:t>3,078</w:t>
            </w:r>
          </w:p>
        </w:tc>
        <w:tc>
          <w:tcPr>
            <w:tcW w:w="1890" w:type="dxa"/>
            <w:vAlign w:val="center"/>
          </w:tcPr>
          <w:p w14:paraId="46BBA6CA" w14:textId="77777777" w:rsidR="00667CE5" w:rsidRPr="00932477" w:rsidRDefault="00667CE5" w:rsidP="006B4C10">
            <w:pPr>
              <w:spacing w:after="0"/>
              <w:jc w:val="center"/>
              <w:rPr>
                <w:sz w:val="16"/>
                <w:szCs w:val="16"/>
              </w:rPr>
            </w:pPr>
            <m:oMath>
              <m:r>
                <w:rPr>
                  <w:rFonts w:ascii="Cambria Math" w:hAnsi="Cambria Math"/>
                  <w:sz w:val="16"/>
                  <w:szCs w:val="16"/>
                </w:rPr>
                <m:t xml:space="preserve">150 </m:t>
              </m:r>
              <m:r>
                <m:rPr>
                  <m:sty m:val="p"/>
                </m:rPr>
                <w:rPr>
                  <w:rFonts w:ascii="Cambria Math" w:hAnsi="Cambria Math"/>
                  <w:sz w:val="16"/>
                  <w:szCs w:val="16"/>
                </w:rPr>
                <m:t xml:space="preserve">× </m:t>
              </m:r>
            </m:oMath>
            <w:r w:rsidRPr="00932477">
              <w:rPr>
                <w:sz w:val="16"/>
                <w:szCs w:val="16"/>
              </w:rPr>
              <w:t>150</w:t>
            </w:r>
          </w:p>
        </w:tc>
        <w:tc>
          <w:tcPr>
            <w:tcW w:w="1890" w:type="dxa"/>
            <w:vAlign w:val="center"/>
          </w:tcPr>
          <w:p w14:paraId="27FA7458" w14:textId="77777777" w:rsidR="00667CE5" w:rsidRPr="00932477" w:rsidRDefault="00667CE5" w:rsidP="006B4C10">
            <w:pPr>
              <w:spacing w:after="0"/>
              <w:jc w:val="center"/>
              <w:rPr>
                <w:sz w:val="16"/>
                <w:szCs w:val="16"/>
              </w:rPr>
            </w:pPr>
            <w:r w:rsidRPr="00932477">
              <w:rPr>
                <w:sz w:val="16"/>
                <w:szCs w:val="16"/>
              </w:rPr>
              <w:t>461.7</w:t>
            </w:r>
            <m:oMath>
              <m:r>
                <w:rPr>
                  <w:rFonts w:ascii="Cambria Math" w:hAnsi="Cambria Math"/>
                  <w:sz w:val="16"/>
                  <w:szCs w:val="16"/>
                </w:rPr>
                <m:t xml:space="preserve"> </m:t>
              </m:r>
              <m:r>
                <m:rPr>
                  <m:sty m:val="p"/>
                </m:rPr>
                <w:rPr>
                  <w:rFonts w:ascii="Cambria Math" w:hAnsi="Cambria Math"/>
                  <w:sz w:val="16"/>
                  <w:szCs w:val="16"/>
                </w:rPr>
                <m:t>×</m:t>
              </m:r>
            </m:oMath>
            <w:r w:rsidRPr="00932477">
              <w:rPr>
                <w:sz w:val="16"/>
                <w:szCs w:val="16"/>
              </w:rPr>
              <w:t xml:space="preserve"> 461.7</w:t>
            </w:r>
          </w:p>
        </w:tc>
        <w:tc>
          <w:tcPr>
            <w:tcW w:w="1350" w:type="dxa"/>
            <w:vAlign w:val="center"/>
          </w:tcPr>
          <w:p w14:paraId="4E4E0918" w14:textId="77777777" w:rsidR="00667CE5" w:rsidRPr="00932477" w:rsidRDefault="00667CE5" w:rsidP="006B4C10">
            <w:pPr>
              <w:spacing w:after="0"/>
              <w:jc w:val="center"/>
              <w:rPr>
                <w:sz w:val="16"/>
                <w:szCs w:val="16"/>
              </w:rPr>
            </w:pPr>
            <w:r w:rsidRPr="00932477">
              <w:rPr>
                <w:sz w:val="16"/>
                <w:szCs w:val="16"/>
              </w:rPr>
              <w:t>5</w:t>
            </w:r>
          </w:p>
        </w:tc>
      </w:tr>
      <w:tr w:rsidR="00667CE5" w:rsidRPr="00932477" w14:paraId="48FBD411" w14:textId="77777777" w:rsidTr="00932477">
        <w:trPr>
          <w:trHeight w:val="296"/>
        </w:trPr>
        <w:tc>
          <w:tcPr>
            <w:tcW w:w="1980" w:type="dxa"/>
            <w:vAlign w:val="center"/>
          </w:tcPr>
          <w:p w14:paraId="2EB2A8FA" w14:textId="31207195" w:rsidR="00667CE5" w:rsidRPr="00932477" w:rsidRDefault="00BB4B77" w:rsidP="006B4C10">
            <w:pPr>
              <w:spacing w:after="0"/>
              <w:jc w:val="center"/>
              <w:rPr>
                <w:sz w:val="16"/>
                <w:szCs w:val="16"/>
              </w:rPr>
            </w:pPr>
            <m:oMath>
              <m:sSub>
                <m:sSubPr>
                  <m:ctrlPr>
                    <w:rPr>
                      <w:rFonts w:ascii="Cambria Math" w:hAnsi="Cambria Math"/>
                      <w:i/>
                      <w:sz w:val="16"/>
                      <w:szCs w:val="16"/>
                    </w:rPr>
                  </m:ctrlPr>
                </m:sSubPr>
                <m:e>
                  <m:r>
                    <w:rPr>
                      <w:rFonts w:ascii="Cambria Math" w:hAnsi="Cambria Math"/>
                      <w:sz w:val="16"/>
                      <w:szCs w:val="16"/>
                    </w:rPr>
                    <m:t>D0</m:t>
                  </m:r>
                </m:e>
                <m:sub>
                  <m:r>
                    <w:rPr>
                      <w:rFonts w:ascii="Cambria Math" w:hAnsi="Cambria Math"/>
                      <w:sz w:val="16"/>
                      <w:szCs w:val="16"/>
                    </w:rPr>
                    <m:t>i=3</m:t>
                  </m:r>
                </m:sub>
              </m:sSub>
            </m:oMath>
            <w:r w:rsidR="00667CE5" w:rsidRPr="00932477">
              <w:rPr>
                <w:sz w:val="16"/>
                <w:szCs w:val="16"/>
              </w:rPr>
              <w:t xml:space="preserve"> Microscale</w:t>
            </w:r>
            <m:oMath>
              <m:r>
                <w:rPr>
                  <w:rFonts w:ascii="Cambria Math" w:hAnsi="Cambria Math"/>
                  <w:sz w:val="16"/>
                  <w:szCs w:val="16"/>
                </w:rPr>
                <m:t>-α</m:t>
              </m:r>
            </m:oMath>
          </w:p>
        </w:tc>
        <w:tc>
          <w:tcPr>
            <w:tcW w:w="1980" w:type="dxa"/>
            <w:vAlign w:val="center"/>
          </w:tcPr>
          <w:p w14:paraId="1709554A" w14:textId="77777777" w:rsidR="00667CE5" w:rsidRPr="00932477" w:rsidRDefault="00667CE5" w:rsidP="006B4C10">
            <w:pPr>
              <w:spacing w:after="0"/>
              <w:jc w:val="center"/>
              <w:rPr>
                <w:sz w:val="16"/>
                <w:szCs w:val="16"/>
              </w:rPr>
            </w:pPr>
            <w:r w:rsidRPr="00932477">
              <w:rPr>
                <w:sz w:val="16"/>
                <w:szCs w:val="16"/>
              </w:rPr>
              <w:t>1,026</w:t>
            </w:r>
          </w:p>
        </w:tc>
        <w:tc>
          <w:tcPr>
            <w:tcW w:w="1890" w:type="dxa"/>
            <w:vAlign w:val="center"/>
          </w:tcPr>
          <w:p w14:paraId="5C19C2E2" w14:textId="77777777" w:rsidR="00667CE5" w:rsidRPr="00932477" w:rsidRDefault="00667CE5" w:rsidP="006B4C10">
            <w:pPr>
              <w:spacing w:after="0"/>
              <w:jc w:val="center"/>
              <w:rPr>
                <w:sz w:val="16"/>
                <w:szCs w:val="16"/>
              </w:rPr>
            </w:pPr>
            <m:oMath>
              <m:r>
                <w:rPr>
                  <w:rFonts w:ascii="Cambria Math" w:hAnsi="Cambria Math"/>
                  <w:sz w:val="16"/>
                  <w:szCs w:val="16"/>
                </w:rPr>
                <m:t xml:space="preserve">150 </m:t>
              </m:r>
              <m:r>
                <m:rPr>
                  <m:sty m:val="p"/>
                </m:rPr>
                <w:rPr>
                  <w:rFonts w:ascii="Cambria Math" w:hAnsi="Cambria Math"/>
                  <w:sz w:val="16"/>
                  <w:szCs w:val="16"/>
                </w:rPr>
                <m:t>×</m:t>
              </m:r>
              <m:r>
                <w:rPr>
                  <w:rFonts w:ascii="Cambria Math" w:hAnsi="Cambria Math"/>
                  <w:sz w:val="16"/>
                  <w:szCs w:val="16"/>
                </w:rPr>
                <m:t xml:space="preserve"> </m:t>
              </m:r>
            </m:oMath>
            <w:r w:rsidRPr="00932477">
              <w:rPr>
                <w:sz w:val="16"/>
                <w:szCs w:val="16"/>
              </w:rPr>
              <w:t>150</w:t>
            </w:r>
          </w:p>
        </w:tc>
        <w:tc>
          <w:tcPr>
            <w:tcW w:w="1890" w:type="dxa"/>
            <w:vAlign w:val="center"/>
          </w:tcPr>
          <w:p w14:paraId="6356517C" w14:textId="77777777" w:rsidR="00667CE5" w:rsidRPr="00932477" w:rsidRDefault="00667CE5" w:rsidP="006B4C10">
            <w:pPr>
              <w:spacing w:after="0"/>
              <w:jc w:val="center"/>
              <w:rPr>
                <w:sz w:val="16"/>
                <w:szCs w:val="16"/>
              </w:rPr>
            </w:pPr>
            <w:r w:rsidRPr="00932477">
              <w:rPr>
                <w:sz w:val="16"/>
                <w:szCs w:val="16"/>
              </w:rPr>
              <w:t>153.9</w:t>
            </w:r>
            <m:oMath>
              <m:r>
                <w:rPr>
                  <w:rFonts w:ascii="Cambria Math" w:hAnsi="Cambria Math"/>
                  <w:sz w:val="16"/>
                  <w:szCs w:val="16"/>
                </w:rPr>
                <m:t xml:space="preserve"> </m:t>
              </m:r>
              <m:r>
                <m:rPr>
                  <m:sty m:val="p"/>
                </m:rPr>
                <w:rPr>
                  <w:rFonts w:ascii="Cambria Math" w:hAnsi="Cambria Math"/>
                  <w:sz w:val="16"/>
                  <w:szCs w:val="16"/>
                </w:rPr>
                <m:t>×</m:t>
              </m:r>
            </m:oMath>
            <w:r w:rsidRPr="00932477">
              <w:rPr>
                <w:sz w:val="16"/>
                <w:szCs w:val="16"/>
              </w:rPr>
              <w:t xml:space="preserve"> 153.9</w:t>
            </w:r>
          </w:p>
        </w:tc>
        <w:tc>
          <w:tcPr>
            <w:tcW w:w="1350" w:type="dxa"/>
            <w:vAlign w:val="center"/>
          </w:tcPr>
          <w:p w14:paraId="0180E5C8" w14:textId="44B23161" w:rsidR="00667CE5" w:rsidRPr="00932477" w:rsidRDefault="00667CE5" w:rsidP="006B4C10">
            <w:pPr>
              <w:spacing w:after="0"/>
              <w:jc w:val="center"/>
              <w:rPr>
                <w:sz w:val="16"/>
                <w:szCs w:val="16"/>
              </w:rPr>
            </w:pPr>
            <m:oMathPara>
              <m:oMath>
                <m:r>
                  <m:rPr>
                    <m:sty m:val="p"/>
                  </m:rPr>
                  <w:rPr>
                    <w:rFonts w:ascii="Cambria Math" w:hAnsi="Cambria Math"/>
                    <w:sz w:val="16"/>
                    <w:szCs w:val="16"/>
                  </w:rPr>
                  <m:t>5/3</m:t>
                </m:r>
              </m:oMath>
            </m:oMathPara>
          </w:p>
        </w:tc>
      </w:tr>
      <w:tr w:rsidR="00667CE5" w:rsidRPr="00932477" w14:paraId="1CED4544" w14:textId="77777777" w:rsidTr="00932477">
        <w:trPr>
          <w:trHeight w:val="314"/>
        </w:trPr>
        <w:tc>
          <w:tcPr>
            <w:tcW w:w="9090" w:type="dxa"/>
            <w:gridSpan w:val="5"/>
            <w:vAlign w:val="center"/>
          </w:tcPr>
          <w:p w14:paraId="000362AD" w14:textId="77777777" w:rsidR="00667CE5" w:rsidRPr="00932477" w:rsidRDefault="00667CE5" w:rsidP="006B4C10">
            <w:pPr>
              <w:spacing w:after="0"/>
              <w:jc w:val="center"/>
              <w:rPr>
                <w:sz w:val="16"/>
                <w:szCs w:val="16"/>
              </w:rPr>
            </w:pPr>
            <w:r w:rsidRPr="00932477">
              <w:rPr>
                <w:sz w:val="16"/>
                <w:szCs w:val="16"/>
              </w:rPr>
              <w:t>Large-Eddy Simulation Runs</w:t>
            </w:r>
          </w:p>
        </w:tc>
      </w:tr>
      <w:tr w:rsidR="00667CE5" w:rsidRPr="00932477" w14:paraId="669AD061" w14:textId="77777777" w:rsidTr="00932477">
        <w:trPr>
          <w:trHeight w:val="350"/>
        </w:trPr>
        <w:tc>
          <w:tcPr>
            <w:tcW w:w="1980" w:type="dxa"/>
            <w:vAlign w:val="center"/>
          </w:tcPr>
          <w:p w14:paraId="558700F1" w14:textId="77777777" w:rsidR="00667CE5" w:rsidRPr="00932477" w:rsidRDefault="00BB4B77" w:rsidP="006B4C10">
            <w:pPr>
              <w:spacing w:after="0"/>
              <w:jc w:val="center"/>
              <w:rPr>
                <w:sz w:val="16"/>
                <w:szCs w:val="16"/>
              </w:rPr>
            </w:pPr>
            <m:oMath>
              <m:sSub>
                <m:sSubPr>
                  <m:ctrlPr>
                    <w:rPr>
                      <w:rFonts w:ascii="Cambria Math" w:hAnsi="Cambria Math"/>
                      <w:i/>
                      <w:sz w:val="16"/>
                      <w:szCs w:val="16"/>
                    </w:rPr>
                  </m:ctrlPr>
                </m:sSubPr>
                <m:e>
                  <m:r>
                    <w:rPr>
                      <w:rFonts w:ascii="Cambria Math" w:hAnsi="Cambria Math"/>
                      <w:sz w:val="16"/>
                      <w:szCs w:val="16"/>
                    </w:rPr>
                    <m:t>D0</m:t>
                  </m:r>
                </m:e>
                <m:sub>
                  <m:r>
                    <w:rPr>
                      <w:rFonts w:ascii="Cambria Math" w:hAnsi="Cambria Math"/>
                      <w:sz w:val="16"/>
                      <w:szCs w:val="16"/>
                    </w:rPr>
                    <m:t>i=4</m:t>
                  </m:r>
                </m:sub>
              </m:sSub>
            </m:oMath>
            <w:r w:rsidR="00667CE5" w:rsidRPr="00932477">
              <w:rPr>
                <w:sz w:val="16"/>
                <w:szCs w:val="16"/>
              </w:rPr>
              <w:t xml:space="preserve"> </w:t>
            </w:r>
            <w:r w:rsidR="00667CE5" w:rsidRPr="00932477">
              <w:rPr>
                <w:sz w:val="16"/>
                <w:szCs w:val="16"/>
                <w:lang w:val="en-US"/>
              </w:rPr>
              <w:t>Microscale</w:t>
            </w:r>
            <m:oMath>
              <m:r>
                <w:rPr>
                  <w:rFonts w:ascii="Cambria Math" w:hAnsi="Cambria Math"/>
                  <w:sz w:val="16"/>
                  <w:szCs w:val="16"/>
                  <w:lang w:val="en-US"/>
                </w:rPr>
                <m:t>-α</m:t>
              </m:r>
            </m:oMath>
          </w:p>
        </w:tc>
        <w:tc>
          <w:tcPr>
            <w:tcW w:w="1980" w:type="dxa"/>
            <w:vAlign w:val="center"/>
          </w:tcPr>
          <w:p w14:paraId="373C10E7" w14:textId="77777777" w:rsidR="00667CE5" w:rsidRPr="00932477" w:rsidRDefault="00667CE5" w:rsidP="006B4C10">
            <w:pPr>
              <w:spacing w:after="0"/>
              <w:jc w:val="center"/>
              <w:rPr>
                <w:sz w:val="16"/>
                <w:szCs w:val="16"/>
              </w:rPr>
            </w:pPr>
            <w:r w:rsidRPr="00932477">
              <w:rPr>
                <w:sz w:val="16"/>
                <w:szCs w:val="16"/>
              </w:rPr>
              <w:t>342</w:t>
            </w:r>
          </w:p>
        </w:tc>
        <w:tc>
          <w:tcPr>
            <w:tcW w:w="1890" w:type="dxa"/>
            <w:vAlign w:val="center"/>
          </w:tcPr>
          <w:p w14:paraId="16614CEE" w14:textId="77777777" w:rsidR="00667CE5" w:rsidRPr="00932477" w:rsidRDefault="00667CE5" w:rsidP="006B4C10">
            <w:pPr>
              <w:spacing w:after="0"/>
              <w:jc w:val="center"/>
              <w:rPr>
                <w:sz w:val="16"/>
                <w:szCs w:val="16"/>
              </w:rPr>
            </w:pPr>
            <m:oMath>
              <m:r>
                <w:rPr>
                  <w:rFonts w:ascii="Cambria Math" w:hAnsi="Cambria Math"/>
                  <w:sz w:val="16"/>
                  <w:szCs w:val="16"/>
                </w:rPr>
                <m:t xml:space="preserve">150 </m:t>
              </m:r>
              <m:r>
                <m:rPr>
                  <m:sty m:val="p"/>
                </m:rPr>
                <w:rPr>
                  <w:rFonts w:ascii="Cambria Math" w:hAnsi="Cambria Math"/>
                  <w:sz w:val="16"/>
                  <w:szCs w:val="16"/>
                </w:rPr>
                <m:t xml:space="preserve">× </m:t>
              </m:r>
            </m:oMath>
            <w:r w:rsidRPr="00932477">
              <w:rPr>
                <w:sz w:val="16"/>
                <w:szCs w:val="16"/>
              </w:rPr>
              <w:t>150</w:t>
            </w:r>
          </w:p>
        </w:tc>
        <w:tc>
          <w:tcPr>
            <w:tcW w:w="1890" w:type="dxa"/>
            <w:vAlign w:val="center"/>
          </w:tcPr>
          <w:p w14:paraId="2DD1063A" w14:textId="77777777" w:rsidR="00667CE5" w:rsidRPr="00932477" w:rsidRDefault="00667CE5" w:rsidP="006B4C10">
            <w:pPr>
              <w:spacing w:after="0"/>
              <w:jc w:val="center"/>
              <w:rPr>
                <w:sz w:val="16"/>
                <w:szCs w:val="16"/>
              </w:rPr>
            </w:pPr>
            <w:r w:rsidRPr="00932477">
              <w:rPr>
                <w:sz w:val="16"/>
                <w:szCs w:val="16"/>
              </w:rPr>
              <w:t>51.3</w:t>
            </w:r>
            <m:oMath>
              <m:r>
                <w:rPr>
                  <w:rFonts w:ascii="Cambria Math" w:hAnsi="Cambria Math"/>
                  <w:sz w:val="16"/>
                  <w:szCs w:val="16"/>
                </w:rPr>
                <m:t xml:space="preserve"> </m:t>
              </m:r>
              <m:r>
                <m:rPr>
                  <m:sty m:val="p"/>
                </m:rPr>
                <w:rPr>
                  <w:rFonts w:ascii="Cambria Math" w:hAnsi="Cambria Math"/>
                  <w:sz w:val="16"/>
                  <w:szCs w:val="16"/>
                </w:rPr>
                <m:t>×</m:t>
              </m:r>
            </m:oMath>
            <w:r w:rsidRPr="00932477">
              <w:rPr>
                <w:sz w:val="16"/>
                <w:szCs w:val="16"/>
              </w:rPr>
              <w:t xml:space="preserve"> 51.3</w:t>
            </w:r>
          </w:p>
        </w:tc>
        <w:tc>
          <w:tcPr>
            <w:tcW w:w="1350" w:type="dxa"/>
            <w:vAlign w:val="center"/>
          </w:tcPr>
          <w:p w14:paraId="46E8A8A6" w14:textId="77777777" w:rsidR="00667CE5" w:rsidRPr="00932477" w:rsidRDefault="00667CE5" w:rsidP="006B4C10">
            <w:pPr>
              <w:spacing w:after="0"/>
              <w:jc w:val="center"/>
              <w:rPr>
                <w:sz w:val="16"/>
                <w:szCs w:val="16"/>
              </w:rPr>
            </w:pPr>
            <w:r w:rsidRPr="00932477">
              <w:rPr>
                <w:sz w:val="16"/>
                <w:szCs w:val="16"/>
              </w:rPr>
              <w:t>3/20</w:t>
            </w:r>
          </w:p>
        </w:tc>
      </w:tr>
      <w:tr w:rsidR="00667CE5" w:rsidRPr="00932477" w14:paraId="21508B14" w14:textId="77777777" w:rsidTr="00932477">
        <w:trPr>
          <w:trHeight w:val="278"/>
        </w:trPr>
        <w:tc>
          <w:tcPr>
            <w:tcW w:w="1980" w:type="dxa"/>
            <w:vAlign w:val="center"/>
          </w:tcPr>
          <w:p w14:paraId="5C38FE8A" w14:textId="77777777" w:rsidR="00667CE5" w:rsidRPr="00932477" w:rsidRDefault="00BB4B77" w:rsidP="006B4C10">
            <w:pPr>
              <w:spacing w:after="0"/>
              <w:jc w:val="center"/>
              <w:rPr>
                <w:sz w:val="16"/>
                <w:szCs w:val="16"/>
              </w:rPr>
            </w:pPr>
            <m:oMath>
              <m:sSub>
                <m:sSubPr>
                  <m:ctrlPr>
                    <w:rPr>
                      <w:rFonts w:ascii="Cambria Math" w:hAnsi="Cambria Math"/>
                      <w:i/>
                      <w:sz w:val="16"/>
                      <w:szCs w:val="16"/>
                    </w:rPr>
                  </m:ctrlPr>
                </m:sSubPr>
                <m:e>
                  <m:r>
                    <w:rPr>
                      <w:rFonts w:ascii="Cambria Math" w:hAnsi="Cambria Math"/>
                      <w:sz w:val="16"/>
                      <w:szCs w:val="16"/>
                    </w:rPr>
                    <m:t>D0</m:t>
                  </m:r>
                </m:e>
                <m:sub>
                  <m:r>
                    <w:rPr>
                      <w:rFonts w:ascii="Cambria Math" w:hAnsi="Cambria Math"/>
                      <w:sz w:val="16"/>
                      <w:szCs w:val="16"/>
                    </w:rPr>
                    <m:t>i=5</m:t>
                  </m:r>
                </m:sub>
              </m:sSub>
            </m:oMath>
            <w:r w:rsidR="00667CE5" w:rsidRPr="00932477">
              <w:rPr>
                <w:sz w:val="16"/>
                <w:szCs w:val="16"/>
              </w:rPr>
              <w:t xml:space="preserve"> </w:t>
            </w:r>
            <w:r w:rsidR="00667CE5" w:rsidRPr="00932477">
              <w:rPr>
                <w:sz w:val="16"/>
                <w:szCs w:val="16"/>
                <w:lang w:val="en-US"/>
              </w:rPr>
              <w:t>Microscale</w:t>
            </w:r>
            <m:oMath>
              <m:r>
                <w:rPr>
                  <w:rFonts w:ascii="Cambria Math" w:hAnsi="Cambria Math"/>
                  <w:sz w:val="16"/>
                  <w:szCs w:val="16"/>
                  <w:lang w:val="en-US"/>
                </w:rPr>
                <m:t>-β</m:t>
              </m:r>
            </m:oMath>
          </w:p>
        </w:tc>
        <w:tc>
          <w:tcPr>
            <w:tcW w:w="1980" w:type="dxa"/>
            <w:vAlign w:val="center"/>
          </w:tcPr>
          <w:p w14:paraId="1189E427" w14:textId="77777777" w:rsidR="00667CE5" w:rsidRPr="00932477" w:rsidRDefault="00667CE5" w:rsidP="006B4C10">
            <w:pPr>
              <w:spacing w:after="0"/>
              <w:jc w:val="center"/>
              <w:rPr>
                <w:sz w:val="16"/>
                <w:szCs w:val="16"/>
              </w:rPr>
            </w:pPr>
            <w:r w:rsidRPr="00932477">
              <w:rPr>
                <w:sz w:val="16"/>
                <w:szCs w:val="16"/>
              </w:rPr>
              <w:t>114</w:t>
            </w:r>
          </w:p>
        </w:tc>
        <w:tc>
          <w:tcPr>
            <w:tcW w:w="1890" w:type="dxa"/>
            <w:vAlign w:val="center"/>
          </w:tcPr>
          <w:p w14:paraId="720274D8" w14:textId="77777777" w:rsidR="00667CE5" w:rsidRPr="00932477" w:rsidRDefault="00667CE5" w:rsidP="006B4C10">
            <w:pPr>
              <w:spacing w:after="0"/>
              <w:jc w:val="center"/>
              <w:rPr>
                <w:sz w:val="16"/>
                <w:szCs w:val="16"/>
              </w:rPr>
            </w:pPr>
            <m:oMath>
              <m:r>
                <w:rPr>
                  <w:rFonts w:ascii="Cambria Math" w:hAnsi="Cambria Math"/>
                  <w:sz w:val="16"/>
                  <w:szCs w:val="16"/>
                </w:rPr>
                <m:t xml:space="preserve">150 </m:t>
              </m:r>
              <m:r>
                <m:rPr>
                  <m:sty m:val="p"/>
                </m:rPr>
                <w:rPr>
                  <w:rFonts w:ascii="Cambria Math" w:hAnsi="Cambria Math"/>
                  <w:sz w:val="16"/>
                  <w:szCs w:val="16"/>
                </w:rPr>
                <m:t xml:space="preserve">× </m:t>
              </m:r>
            </m:oMath>
            <w:r w:rsidRPr="00932477">
              <w:rPr>
                <w:sz w:val="16"/>
                <w:szCs w:val="16"/>
              </w:rPr>
              <w:t>150</w:t>
            </w:r>
          </w:p>
        </w:tc>
        <w:tc>
          <w:tcPr>
            <w:tcW w:w="1890" w:type="dxa"/>
            <w:vAlign w:val="center"/>
          </w:tcPr>
          <w:p w14:paraId="63498A03" w14:textId="77777777" w:rsidR="00667CE5" w:rsidRPr="00932477" w:rsidRDefault="00667CE5" w:rsidP="006B4C10">
            <w:pPr>
              <w:spacing w:after="0"/>
              <w:jc w:val="center"/>
              <w:rPr>
                <w:sz w:val="16"/>
                <w:szCs w:val="16"/>
              </w:rPr>
            </w:pPr>
            <w:r w:rsidRPr="00932477">
              <w:rPr>
                <w:sz w:val="16"/>
                <w:szCs w:val="16"/>
              </w:rPr>
              <w:t>17.1</w:t>
            </w:r>
            <m:oMath>
              <m:r>
                <w:rPr>
                  <w:rFonts w:ascii="Cambria Math" w:hAnsi="Cambria Math"/>
                  <w:sz w:val="16"/>
                  <w:szCs w:val="16"/>
                </w:rPr>
                <m:t xml:space="preserve"> </m:t>
              </m:r>
              <m:r>
                <m:rPr>
                  <m:sty m:val="p"/>
                </m:rPr>
                <w:rPr>
                  <w:rFonts w:ascii="Cambria Math" w:hAnsi="Cambria Math"/>
                  <w:sz w:val="16"/>
                  <w:szCs w:val="16"/>
                </w:rPr>
                <m:t>×</m:t>
              </m:r>
            </m:oMath>
            <w:r w:rsidRPr="00932477">
              <w:rPr>
                <w:sz w:val="16"/>
                <w:szCs w:val="16"/>
              </w:rPr>
              <w:t xml:space="preserve"> 17.1</w:t>
            </w:r>
          </w:p>
        </w:tc>
        <w:tc>
          <w:tcPr>
            <w:tcW w:w="1350" w:type="dxa"/>
            <w:vAlign w:val="center"/>
          </w:tcPr>
          <w:p w14:paraId="1740858F" w14:textId="77777777" w:rsidR="00667CE5" w:rsidRPr="00932477" w:rsidRDefault="00667CE5" w:rsidP="006B4C10">
            <w:pPr>
              <w:spacing w:after="0"/>
              <w:jc w:val="center"/>
              <w:rPr>
                <w:sz w:val="16"/>
                <w:szCs w:val="16"/>
              </w:rPr>
            </w:pPr>
            <w:r w:rsidRPr="00932477">
              <w:rPr>
                <w:sz w:val="16"/>
                <w:szCs w:val="16"/>
              </w:rPr>
              <w:t>1/20</w:t>
            </w:r>
          </w:p>
        </w:tc>
      </w:tr>
    </w:tbl>
    <w:p w14:paraId="5E3633C5" w14:textId="2056CEE5" w:rsidR="00667CE5" w:rsidRDefault="004A2926" w:rsidP="00667CE5">
      <w:pPr>
        <w:jc w:val="center"/>
      </w:pPr>
      <w:r>
        <w:rPr>
          <w:noProof/>
          <w:lang w:eastAsia="zh-CN" w:bidi="ar-SA"/>
        </w:rPr>
        <w:drawing>
          <wp:inline distT="0" distB="0" distL="0" distR="0" wp14:anchorId="1703D963" wp14:editId="234BA7E6">
            <wp:extent cx="4891177" cy="3931920"/>
            <wp:effectExtent l="0" t="0" r="5080" b="0"/>
            <wp:docPr id="18" name="Picture 17">
              <a:extLst xmlns:a="http://schemas.openxmlformats.org/drawingml/2006/main">
                <a:ext uri="{FF2B5EF4-FFF2-40B4-BE49-F238E27FC236}">
                  <a16:creationId xmlns:a16="http://schemas.microsoft.com/office/drawing/2014/main" id="{A868C9BD-26F8-45E6-9980-A4ECE909E2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A868C9BD-26F8-45E6-9980-A4ECE909E29A}"/>
                        </a:ext>
                      </a:extLst>
                    </pic:cNvPr>
                    <pic:cNvPicPr>
                      <a:picLocks noChangeAspect="1"/>
                    </pic:cNvPicPr>
                  </pic:nvPicPr>
                  <pic:blipFill>
                    <a:blip r:embed="rId19"/>
                    <a:stretch>
                      <a:fillRect/>
                    </a:stretch>
                  </pic:blipFill>
                  <pic:spPr>
                    <a:xfrm>
                      <a:off x="0" y="0"/>
                      <a:ext cx="4940301" cy="3971410"/>
                    </a:xfrm>
                    <a:prstGeom prst="rect">
                      <a:avLst/>
                    </a:prstGeom>
                  </pic:spPr>
                </pic:pic>
              </a:graphicData>
            </a:graphic>
          </wp:inline>
        </w:drawing>
      </w:r>
    </w:p>
    <w:p w14:paraId="46B6E4B1" w14:textId="2BB4FD98" w:rsidR="00667CE5" w:rsidRPr="00752874" w:rsidRDefault="00667CE5" w:rsidP="00667CE5">
      <w:pPr>
        <w:rPr>
          <w:b/>
          <w:sz w:val="18"/>
          <w:szCs w:val="18"/>
        </w:rPr>
      </w:pPr>
      <w:r w:rsidRPr="00375201">
        <w:rPr>
          <w:b/>
          <w:bCs/>
          <w:sz w:val="18"/>
          <w:szCs w:val="18"/>
        </w:rPr>
        <w:t xml:space="preserve">Figure </w:t>
      </w:r>
      <w:r w:rsidR="006D3F12" w:rsidRPr="00375201">
        <w:rPr>
          <w:b/>
          <w:bCs/>
          <w:sz w:val="18"/>
          <w:szCs w:val="18"/>
        </w:rPr>
        <w:fldChar w:fldCharType="begin"/>
      </w:r>
      <w:r w:rsidR="006D3F12" w:rsidRPr="00375201">
        <w:rPr>
          <w:b/>
          <w:bCs/>
          <w:sz w:val="18"/>
          <w:szCs w:val="18"/>
        </w:rPr>
        <w:instrText xml:space="preserve"> SEQ Figure \* ARABIC </w:instrText>
      </w:r>
      <w:r w:rsidR="006D3F12" w:rsidRPr="00375201">
        <w:rPr>
          <w:b/>
          <w:bCs/>
          <w:sz w:val="18"/>
          <w:szCs w:val="18"/>
        </w:rPr>
        <w:fldChar w:fldCharType="separate"/>
      </w:r>
      <w:r w:rsidR="002F33A7" w:rsidRPr="00375201">
        <w:rPr>
          <w:b/>
          <w:bCs/>
          <w:noProof/>
          <w:sz w:val="18"/>
          <w:szCs w:val="18"/>
        </w:rPr>
        <w:t>1</w:t>
      </w:r>
      <w:r w:rsidR="006D3F12" w:rsidRPr="00375201">
        <w:rPr>
          <w:b/>
          <w:bCs/>
          <w:noProof/>
          <w:sz w:val="18"/>
          <w:szCs w:val="18"/>
        </w:rPr>
        <w:fldChar w:fldCharType="end"/>
      </w:r>
      <w:r w:rsidRPr="00752874">
        <w:rPr>
          <w:sz w:val="18"/>
          <w:szCs w:val="18"/>
        </w:rPr>
        <w:t>: WRF</w:t>
      </w:r>
      <w:r w:rsidRPr="00752874">
        <w:rPr>
          <w:b/>
          <w:sz w:val="18"/>
          <w:szCs w:val="18"/>
        </w:rPr>
        <w:t xml:space="preserve"> </w:t>
      </w:r>
      <w:r w:rsidRPr="00752874">
        <w:rPr>
          <w:sz w:val="18"/>
          <w:szCs w:val="18"/>
        </w:rPr>
        <w:t>domain configuration: (a) mesoscale domains, (b) microscale domains; shaded area represents terrain height (m</w:t>
      </w:r>
      <w:r w:rsidR="007978B0">
        <w:rPr>
          <w:sz w:val="18"/>
          <w:szCs w:val="18"/>
        </w:rPr>
        <w:t>)</w:t>
      </w:r>
      <w:r w:rsidRPr="00752874">
        <w:rPr>
          <w:sz w:val="18"/>
          <w:szCs w:val="18"/>
        </w:rPr>
        <w:t xml:space="preserve"> above sea level (ASL). </w:t>
      </w:r>
      <w:r w:rsidR="002D50DA">
        <w:rPr>
          <w:sz w:val="18"/>
          <w:szCs w:val="18"/>
        </w:rPr>
        <w:t>The black stars 1 and 2 are respectively the Naqu1 and Naqu 2 stations</w:t>
      </w:r>
      <w:r w:rsidR="007978B0">
        <w:rPr>
          <w:sz w:val="18"/>
          <w:szCs w:val="18"/>
        </w:rPr>
        <w:t xml:space="preserve"> (c) google map </w:t>
      </w:r>
      <w:r w:rsidR="002D50DA">
        <w:rPr>
          <w:sz w:val="18"/>
          <w:szCs w:val="18"/>
        </w:rPr>
        <w:t xml:space="preserve">with yellow triangles </w:t>
      </w:r>
      <w:r w:rsidR="007978B0">
        <w:rPr>
          <w:sz w:val="18"/>
          <w:szCs w:val="18"/>
        </w:rPr>
        <w:t>indicating the location of each station.</w:t>
      </w:r>
    </w:p>
    <w:p w14:paraId="435A3674" w14:textId="6D50FDA3" w:rsidR="00722877" w:rsidRPr="00722877" w:rsidRDefault="00722877" w:rsidP="00375201">
      <w:pPr>
        <w:ind w:firstLine="540"/>
        <w:rPr>
          <w:lang w:val="fr-FR"/>
        </w:rPr>
      </w:pPr>
      <w:r w:rsidRPr="00722877">
        <w:t>The coupled WRF</w:t>
      </w:r>
      <m:oMath>
        <m:r>
          <w:rPr>
            <w:rFonts w:ascii="Cambria Math" w:hAnsi="Cambria Math"/>
          </w:rPr>
          <m:t>-</m:t>
        </m:r>
      </m:oMath>
      <w:r w:rsidRPr="00722877">
        <w:t>LES is constructed by applying a one</w:t>
      </w:r>
      <m:oMath>
        <m:r>
          <w:rPr>
            <w:rFonts w:ascii="Cambria Math" w:hAnsi="Cambria Math"/>
          </w:rPr>
          <m:t>-</m:t>
        </m:r>
      </m:oMath>
      <w:r w:rsidRPr="00722877">
        <w:t>way nesting strategy in two separate iterations. This strategy is an option in the WRF model, defined as a finer</w:t>
      </w:r>
      <w:r w:rsidR="006913AA">
        <w:t>-</w:t>
      </w:r>
      <w:r w:rsidRPr="00722877">
        <w:t>grid</w:t>
      </w:r>
      <w:r w:rsidR="006913AA">
        <w:t>-</w:t>
      </w:r>
      <w:r w:rsidRPr="00722877">
        <w:t>resolution run. This strategy is used as a subsequent run after the coarser</w:t>
      </w:r>
      <w:r w:rsidR="006913AA">
        <w:t>-</w:t>
      </w:r>
      <w:r w:rsidRPr="00722877">
        <w:t>grid</w:t>
      </w:r>
      <w:r w:rsidR="006913AA">
        <w:t>-</w:t>
      </w:r>
      <w:r w:rsidRPr="00722877">
        <w:t xml:space="preserve">resolution run, where the program (ndown) is run in between the two simulations. </w:t>
      </w:r>
      <w:bookmarkStart w:id="26" w:name="_Hlk70110043"/>
      <w:r w:rsidRPr="00722877">
        <w:t>The coarse</w:t>
      </w:r>
      <w:r w:rsidR="006913AA">
        <w:t>-</w:t>
      </w:r>
      <w:r w:rsidRPr="00722877">
        <w:t>grid run provides the initial and lateral boundary conditions (LBCs) to the finer</w:t>
      </w:r>
      <w:r w:rsidR="006913AA">
        <w:t>-</w:t>
      </w:r>
      <w:r w:rsidRPr="00722877">
        <w:t xml:space="preserve">grid run, with data from higher-resolution </w:t>
      </w:r>
      <w:bookmarkStart w:id="27" w:name="_Hlk70109912"/>
      <w:r w:rsidRPr="00722877">
        <w:t>land and masked surface fields</w:t>
      </w:r>
      <w:bookmarkEnd w:id="27"/>
      <w:r w:rsidRPr="00722877">
        <w:t>. The latter strategy only feeds suitable information from the outer domain to the inner one. The one-way nest</w:t>
      </w:r>
      <w:r w:rsidR="006277A0">
        <w:t>ing</w:t>
      </w:r>
      <w:r w:rsidRPr="00722877">
        <w:t xml:space="preserve"> strategy has been used in many studies with good </w:t>
      </w:r>
      <w:r w:rsidRPr="00722877">
        <w:lastRenderedPageBreak/>
        <w:t xml:space="preserve">results </w:t>
      </w:r>
      <w:r w:rsidRPr="00722877">
        <w:fldChar w:fldCharType="begin"/>
      </w:r>
      <w:r w:rsidR="00A44B66">
        <w:instrText xml:space="preserve"> ADDIN ZOTERO_ITEM CSL_CITATION {"citationID":"a134tcdja2v","properties":{"formattedCitation":"(Chow &amp; Street, 2009; Y. Liu et al., 2011; Moeng &amp; Wyngaard, 1989; Soriano et al., 2004; Zhu et al., 2010)","plainCitation":"(Chow &amp; Street, 2009; Y. Liu et al., 2011; Moeng &amp; Wyngaard, 1989; Soriano et al., 2004; Zhu et al., 2010)","noteIndex":0},"citationItems":[{"id":83,"uris":["http://zotero.org/users/7904379/items/G24GXI3M"],"itemData":{"id":83,"type":"article-journal","container-title":"Journal of Geophysical Research","DOI":"10.1029/2010JD014400","ISSN":"0148-0227","issue":"D23","journalAbbreviation":"J. Geophys. Res.","language":"en","page":"D23201","source":"DOI.org (Crossref)","title":"Multiple-scale simulations of stratocumulus clouds","URL":"http://doi.wiley.com/10.1029/2010JD014400","volume":"115","author":[{"family":"Zhu","given":"Ping"},{"family":"Albrecht","given":"Bruce A."},{"family":"Ghate","given":"Virendra P."},{"family":"Zhu","given":"Zhenduo"}],"accessed":{"date-parts":[["2021",3,25]]},"issued":{"date-parts":[["2010",12,3]]}}},{"id":49,"uris":["http://zotero.org/users/7904379/items/LJXUIMWB"],"itemData":{"id":49,"type":"article-journal","container-title":"Journal of Wind Engineering and Industrial Aerodynamics","DOI":"10.1016/j.jweia.2011.01.013","ISSN":"01676105","issue":"4","journalAbbreviation":"Journal of Wind Engineering and Industrial Aerodynamics","language":"en","page":"308-319","source":"DOI.org (Crossref)","title":"Simultaneous nested modeling from the synoptic scale to the LES scale for wind energy applications","URL":"https://linkinghub.elsevier.com/retrieve/pii/S0167610511000158","volume":"99","author":[{"family":"Liu","given":"Yubao"},{"family":"Warner","given":"Tom"},{"family":"Liu","given":"Yuewei"},{"family":"Vincent","given":"Claire"},{"family":"Wu","given":"Wanli"},{"family":"Mahoney","given":"Bill"},{"family":"Swerdlin","given":"Scott"},{"family":"Parks","given":"Keith"},{"family":"Boehnert","given":"Jennifer"}],"accessed":{"date-parts":[["2021",3,25]]},"issued":{"date-parts":[["2011",4]]}}},{"id":11,"uris":["http://zotero.org/users/7904379/items/KM4JS3VV"],"itemData":{"id":11,"type":"article-journal","abstract":"Abstract\n            The evaluation of turbulence closure models for large-eddy simulation (LES) has primarily been performed over flat terrain, where comparisons with theory and observations are simplified. The authors have previously developed improved closure models using explicit filtering and reconstruction, together with a dynamic eddy-viscosity model and a near-wall stress term. This dynamic reconstruction model (DRM) is a mixed model, combining scale-similarity and eddy-viscosity components. The DRM gave improved results over standard eddy-viscosity models for neutral boundary layer flow over flat but rough terrain, yielding the expected logarithmic velocity profiles near the wall. The results from the studies over flat terrain are now extended to flow over full-scale topography. The test case is flow over Askervein Hill, an isolated hill in western Scotland, where a field campaign was conducted in 1983 with the purpose of capturing wind data representing atmospheric episodes under near-neutral stratification and steady wind conditions. This widely studied flow provides a more challenging test case for the new turbulence models because of the sloping terrain and separation in the lee of the hill. Since an LES formulation is used, a number of simulation features are different than those typically used in the Askervein literature. The simulations are inherently unsteady, the inflow conditions are provided by a separate turbulent flow database, and (uniquely herein) ensemble averages of the turbulent flow results are used in comparisons with field data. Results indicate that the DRM can improve the predictions of flow speedup and especially turbulent kinetic energy (TKE) over the hill when compared with the standard TKE-1.5 model. This is the first study, to the authors’ knowledge, in which explicit filtering and reconstruction (scale similarity) and dynamic turbulence models have been applied to full-scale simulations of the atmospheric boundary layer over terrain. Simulations with the lowest level of reconstruction are straightforward. Increased levels of reconstruction, however, present difficulties when used with a dynamic eddy-viscosity model. An alternative mixed model is proposed to avoid the complexities associated with the dynamic procedure and to allow higher levels of reconstruction; this mixed model combines a standard TKE-1.5 eddy-viscosity closure with velocity reconstruction to form a simple and efficient turbulence model that gives good results for both mean flow and turbulence over Askervein Hill. The results indicate that significant improvements in LES over complex terrain can be obtained by the use of mixed models that combine scale-similarity and eddy-viscosity components.","container-title":"Journal of Applied Meteorology and Climatology","DOI":"10.1175/2008JAMC1862.1","ISSN":"1558-8432, 1558-8424","issue":"5","language":"en","page":"1050-1065","source":"DOI.org (Crossref)","title":"Evaluation of Turbulence Closure Models for Large-Eddy Simulation over Complex Terrain: Flow over Askervein Hill","title-short":"Evaluation of Turbulence Closure Models for Large-Eddy Simulation over Complex Terrain","URL":"http://journals.ametsoc.org/doi/10.1175/2008JAMC1862.1","volume":"48","author":[{"family":"Chow","given":"Fotini Katopodes"},{"family":"Street","given":"Robert L."}],"accessed":{"date-parts":[["2021",3,25]]},"issued":{"date-parts":[["2009",5,1]]}}},{"id":56,"uris":["http://zotero.org/users/7904379/items/NTDDB5N6"],"itemData":{"id":56,"type":"article-journal","abstract":"&lt;section class=\"abstract\"&gt;&lt;h2 class=\"abstractTitle text-title my-1\" id=\"d1252e2\"&gt;Abstract&lt;/h2&gt;&lt;p&gt;We show that the turbulence statistics from our (96)&lt;sup&gt;3&lt;/sup&gt; large-eddy-simulation (LES) studies of a convective boundary layer are in excellent agreement with those from the Deardorff–Willis laboratory convection tank. Using these LES data, we evaluate contemporary parameterizations for turbulent transport and dissipation in second-order closure models of the convective boundary layer. The gradient-diffusion parameterization for turbulent transport fares poorly, due in large part to the direct influence of buoyancy. This leads to poor predictions of the vertical profiles of some turbulence statistics. We also find that the characteristic length scales for the mechanical and thermal dissipation rates typically used in second-order closure models are a factor of 2–3 too small; this leads to underpredictions of turbulence kinetic energy levels. Finally, we find that the flux and variance budgets for conservative scalars are substantially different in top-down and bottom-up diffusion. In order to reproduce these differences accurately, it seems necessary to model the turbulent transport, pressure covariance, and molecular destruction terms differently in top-down and bottom-up diffusion.&lt;/p&gt;&lt;/section&gt;","container-title":"Journal of the Atmospheric Sciences","DOI":"10.1175/1520-0469(1989)046&lt;2311:EOTTAD&gt;2.0.CO;2","ISSN":"0022-4928, 1520-0469","issue":"14","language":"EN","note</w:instrText>
      </w:r>
      <w:r w:rsidR="00A44B66" w:rsidRPr="00A44B66">
        <w:rPr>
          <w:lang w:val="fr-FR"/>
        </w:rPr>
        <w:instrText xml:space="preserve">":"publisher: American Meteorological Society\nsection: Journal of the Atmospheric Sciences","page":"2311-2330","source":"journals.ametsoc.org","title":"Evaluation of Turbulent Transport and Dissipation Closures in Second-Order Modeling","URL":"https://journals.ametsoc.org/view/journals/atsc/46/14/1520-0469_1989_046_2311_eottad_2_0_co_2.xml","volume":"46","author":[{"family":"Moeng","given":"Chin-Hoh"},{"family":"Wyngaard","given":"John C."}],"accessed":{"date-parts":[["2021",3,25]]},"issued":{"date-parts":[["1989",7,15]]}}},{"id":64,"uris":["http://zotero.org/users/7904379/items/LGHHSXHN"],"itemData":{"id":64,"type":"chapter","container-title":"Air Pollution Modeling and Its Application XV","event-place":"Boston","ISBN":"978-0-306-47294-7","language":"en","note":"DOI: 10.1007/0-306-47813-7_18","page":"177-185","publisher":"Kluwer Academic Publishers","publisher-place":"Boston","source":"DOI.org (Crossref)","title":"One-Way Nesting Versus Two-Way Nesting: Does It Really Make a Difference?","title-short":"One-Way Nesting Versus Two-Way Nesting","URL":"http://link.springer.com/10.1007/0-306-47813-7_18","editor":[{"family":"Borrego","given":"Carlos"},{"family":"Schayes","given":"Guy"}],"author":[{"family":"Soriano","given":"Cecilia"},{"family":"Jorba","given":"Oriol"},{"family":"Baldasano","given":"José M."}],"accessed":{"date-parts":[["2021",3,25]]},"issued":{"date-parts":[["2004"]]}}}],"schema":"https://github.com/citation-style-language/schema/raw/master/csl-citation.json"} </w:instrText>
      </w:r>
      <w:r w:rsidRPr="00722877">
        <w:fldChar w:fldCharType="separate"/>
      </w:r>
      <w:r w:rsidR="00EC3304" w:rsidRPr="00EC3304">
        <w:rPr>
          <w:lang w:val="fr-FR"/>
        </w:rPr>
        <w:t>(Chow &amp; Street, 2009; Y. Liu et al., 2011; Moeng &amp; Wyngaard, 1989; Soriano et al., 2004; Zhu et al., 2010)</w:t>
      </w:r>
      <w:r w:rsidRPr="00722877">
        <w:fldChar w:fldCharType="end"/>
      </w:r>
      <w:r w:rsidRPr="00722877">
        <w:rPr>
          <w:lang w:val="fr-FR"/>
        </w:rPr>
        <w:t>.</w:t>
      </w:r>
      <w:bookmarkEnd w:id="26"/>
      <w:r w:rsidRPr="00722877">
        <w:rPr>
          <w:lang w:val="fr-FR"/>
        </w:rPr>
        <w:t xml:space="preserve"> </w:t>
      </w:r>
    </w:p>
    <w:p w14:paraId="76E7E9C9" w14:textId="15491256" w:rsidR="00722877" w:rsidRPr="00722877" w:rsidRDefault="00722877" w:rsidP="00375201">
      <w:pPr>
        <w:ind w:firstLine="540"/>
      </w:pPr>
      <w:r w:rsidRPr="00722877">
        <w:fldChar w:fldCharType="begin"/>
      </w:r>
      <w:r w:rsidR="00EC3304">
        <w:instrText xml:space="preserve"> ADDIN ZOTERO_ITEM CSL_CITATION {"citationID":"a2p86en4q7s","properties":{"formattedCitation":"(Soriano et al., 2004)","plainCitation":"(Soriano et al., 2004)","dontUpdate":true,"noteIndex":0},"citationItems":[{"id":64,"uris":["http://zotero.org/users/7904379/items/LGHHSXHN"],"itemData":{"id":64,"type":"chapter","container-title":"Air Pollution Modeling and Its Application XV","event-place":"Boston","ISBN":"978-0-306-47294-7","language":"en","note":"DOI: 10.1007/0-306-47813-7_18","page":"177-185","publisher":"Kluwer Academic Publishers","publisher-place":"Boston","source":"DOI.org (Crossref)","title":"One-Way Nesting Versus Two-Way Nesting: Does It Really Make a Difference?","title-short":"One-Way Nesting Versus Two-Way Nesting","URL":"http://link.springer.com/10.1007/0-306-47813-7_18","editor":[{"family":"Borrego","given":"Carlos"},{"family":"Schayes","given":"Guy"}],"author":[{"family":"Soriano","given":"Cecilia"},{"family":"Jorba","given":"Oriol"},{"family":"Baldasano","given":"José M."}],"accessed":{"date-parts":[["2021",3,25]]},"issued":{"date-parts":[["2004"]]}}}],"schema":"https://github.com/citation-style-language/schema/raw/master/csl-citation.json"} </w:instrText>
      </w:r>
      <w:r w:rsidRPr="00722877">
        <w:fldChar w:fldCharType="separate"/>
      </w:r>
      <w:r w:rsidR="00A44B66" w:rsidRPr="00A44B66">
        <w:t xml:space="preserve">Soriano et al., </w:t>
      </w:r>
      <w:r w:rsidR="004C506E">
        <w:t>(</w:t>
      </w:r>
      <w:r w:rsidR="00A44B66" w:rsidRPr="00A44B66">
        <w:t>2004)</w:t>
      </w:r>
      <w:r w:rsidRPr="00722877">
        <w:fldChar w:fldCharType="end"/>
      </w:r>
      <w:r w:rsidRPr="00722877">
        <w:t xml:space="preserve"> suggested that for mesoscale simulation runs, the one-way nesting technique should be used because two-way nesting gave the worst results in their case study. </w:t>
      </w:r>
      <w:r w:rsidRPr="00722877">
        <w:fldChar w:fldCharType="begin"/>
      </w:r>
      <w:r w:rsidR="00EC3304">
        <w:instrText xml:space="preserve"> ADDIN ZOTERO_ITEM CSL_CITATION {"citationID":"ab9siqmg5n","properties":{"formattedCitation":"(Zhu et al., 2010)","plainCitation":"(Zhu et al., 2010)","dontUpdate":true,"noteIndex":0},"citationItems":[{"id":83,"uris":["http://zotero.org/users/7904379/items/G24GXI3M"],"itemData":{"id":83,"type":"article-journal","container-title":"Journal of Geophysical Research","DOI":"10.1029/2010JD014400","ISSN":"0148-0227","issue":"D23","journalAbbreviation":"J. Geophys. Res.","language":"en","page":"D23201","source":"DOI.org (Crossref)","title":"Multiple-scale simulations of stratocumulus clouds","URL":"http://doi.wiley.com/10.1029/2010JD014400","volume":"115","author":[{"family":"Zhu","given":"Ping"},{"family":"Albrecht","given":"Bruce A."},{"family":"Ghate","given":"Virendra P."},{"family":"Zhu","given":"Zhenduo"}],"accessed":{"date-parts":[["2021",3,25]]},"issued":{"date-parts":[["2010",12,3]]}}}],"schema":"https://github.com/citation-style-language/schema/raw/master/csl-citation.json"} </w:instrText>
      </w:r>
      <w:r w:rsidRPr="00722877">
        <w:fldChar w:fldCharType="separate"/>
      </w:r>
      <w:r w:rsidR="00A44B66" w:rsidRPr="00A44B66">
        <w:t xml:space="preserve">Zhu et al., </w:t>
      </w:r>
      <w:r w:rsidR="004C506E">
        <w:t>(</w:t>
      </w:r>
      <w:r w:rsidR="00A44B66" w:rsidRPr="00A44B66">
        <w:t>2010)</w:t>
      </w:r>
      <w:r w:rsidRPr="00722877">
        <w:fldChar w:fldCharType="end"/>
      </w:r>
      <w:r w:rsidRPr="00722877">
        <w:t xml:space="preserve"> suggested that using one-way nesting runs allows simulation of complicated and heterogeneous forgings, and recommended that this strategy be used for cloud cases that require extremely high resolution. </w:t>
      </w:r>
    </w:p>
    <w:p w14:paraId="3A00C892" w14:textId="6048C6D7" w:rsidR="00722877" w:rsidRPr="00722877" w:rsidRDefault="00722877" w:rsidP="00375201">
      <w:pPr>
        <w:ind w:firstLine="540"/>
      </w:pPr>
      <w:r w:rsidRPr="00722877">
        <w:t>The WRF model system also includes the observation nudging strategy used in this study. This strategy uses Newtonian relaxation to improve either the dynamic</w:t>
      </w:r>
      <w:r w:rsidR="00156245">
        <w:t>s</w:t>
      </w:r>
      <w:r w:rsidRPr="00722877">
        <w:t xml:space="preserve"> initialization or analysis</w:t>
      </w:r>
      <w:r w:rsidR="00156245">
        <w:t>, respectively</w:t>
      </w:r>
      <w:r w:rsidRPr="00722877">
        <w:t xml:space="preserve"> </w:t>
      </w:r>
      <w:r w:rsidRPr="00722877">
        <w:fldChar w:fldCharType="begin"/>
      </w:r>
      <w:r w:rsidR="00A44B66">
        <w:instrText xml:space="preserve"> ADDIN ZOTERO_ITEM CSL_CITATION {"citationID":"a1s8c59b05a","properties":{"formattedCitation":"(Cheng et al., 2009; Reen et al., 2016; Yesubabu et al., 2014)","plainCitation":"(Cheng et al., 2009; Reen et al., 2016; Yesubabu et al., 2014)","noteIndex":0},"citationItems":[{"id":61,"uris":["http://zotero.org/users/7904379/items/3D83PFJY"],"itemData":{"id":61,"type":"article-journal","abstract":"Abstract\n            Observations can be used to enhance mesoscale model forecasts by both improving the initial conditions and adjusting the model state toward the observations during its forward integration. Since observations are not available at the same density as the model grid points, spatial and temporal error correlations must be specified in order to effectively assimilate the observations into the model. Overdrying is found while applying the Weather Research and Forecasting Model to five cases centered over Southern California. This overdrying is caused by incorporation of observations in the initial conditions both at a discrete time and over a preforecast data assimilation period. Nonphysical dryness results from the assumption that model moisture error at the observation location is correlated with model moisture error at other locations in the model without regard to the relative magnitude of the moisture at those two locations. Modifying the model and its preprocessor to remove this assumption greatly reduces the occurrence of excessive model dryness without degrading the overall model performance in predicting moisture.","container-title":"Journal of Applied Meteorology and Climatology","DOI":"10.1175/JAMC-D-14-0301.1","ISSN":"1558-8424, 1558-8432","issue":"2","page":"365-388","source":"DOI.org (Crossref)","title":"Mitigating Excessive Drying from the Use of Observations in Mesoscale Modeling","URL":"https://journals.ametsoc.org/view/journals/apme/55/2/jamc-d-14-0301.1.xml","volume":"55","author":[{"family":"Reen","given":"Brian P."},{"family":"Dumais","given":"Robert E."},{"family":"Passner","given":"Jeffrey E."}],"accessed":{"date-parts":[["2021",3,25]]},"issued":{"date-parts":[["2016",2]]}}},{"id":404,"uris":["http://zotero.org/users/7904379/items/SBSJS37Y"],"itemData":{"id":404,"type":"article-journal","container-title":"Natural Hazards","DOI":"10.1007/s11069-014-1293-2","ISSN":"0921-030X, 1573-0840","issue":"3","journalAbbreviation":"Nat Hazards","language":"en","page":"2109-2128","source":"DOI.org (Crossref)","title":"Impact of period and timescale of FDDA analysis nudging on the numerical simulation of tropical cyclones in the Bay of Bengal","URL":"http://link.springer.com/10.1007/s11069-014-1293-2","volume":"74","author":[{"family":"Yesubabu","given":"V."},{"family":"Srinivas","given":"C. V."},{"family":"Ramakrishna","given":"S. S. V. S."},{"family":"Hari Prasad","given":"K. B. R. R."}],"accessed":{"date-parts":[["2021",4,22]]},"issued":{"date-parts":[["2014",12]]}}},{"id":402,"uris":["http://zotero.org/users/7904379/items/HKDN4NAH"],"itemData":{"id":402,"type":"article-journal","abstract":"This study develops a nudging data assimilation algorithm for estimating unknown pumping from private wells in an aquifer system using measured data of hydraulic head. The proposed algorithm treats the unknown pumping as an additional sink term in the governing equation of groundwater flow and provides a consistent physical interpretation for pumping rate identification. The algorithm identifies the unknown pumping and, at the same time, reduces the forecast error in hydraulic heads. We apply the proposed algorithm to the Las Posas Groundwater Basin in southern California. We consider the following three pumping scenarios: constant pumping rates, spatially varying pumping rates, and temporally varying pumping rates. We also study the impact of head measurement errors on the proposed algorithm. In the case study we seek to estimate the six unknown pumping rates from private wells using head measurements from four observation wells. The results show an excellent rate of convergence for pumping estimation. The case study demonstrates the applicability, accuracy, and efficiency of the proposed data assimilation algorithm for the identification of unknown pumping in an aquifer system.","container-title":"Water Resources Research","DOI":"https://doi.org/10.1029/2008WR007602","ISSN":"1944-7973","issue":"8","language":"en","note":"_eprint: https://agupubs.onlinelibrary.wiley.com/doi/pdf/10.1029/2008WR007602","source":"Wiley Online Library","title":"A nudging data assimilation algorithm for the identification of groundwater pumping","URL":"https://agupubs.onlinelibrary.wiley.com/doi/abs/10.1029/2008WR007602","volume":"45","author":[{"family":"Cheng","given":"Wei-Chen"},{"family":"Kendall","given":"Donald R."},{"family":"Putti","given":"Mario"},{"family":"Yeh","given":"William W.-G."}],"accessed":{"date-parts":[["2021",4,22]]},"issued":{"date-parts":[["2009"]]}}}],"schema":"https://github.com/citation-style-language/schema/raw/master/csl-citation.json"} </w:instrText>
      </w:r>
      <w:r w:rsidRPr="00722877">
        <w:fldChar w:fldCharType="separate"/>
      </w:r>
      <w:r w:rsidR="00A44B66" w:rsidRPr="00A44B66">
        <w:t>(Cheng et al., 2009; Reen et al., 2016; Yesubabu et al., 2014)</w:t>
      </w:r>
      <w:r w:rsidRPr="00722877">
        <w:fldChar w:fldCharType="end"/>
      </w:r>
      <w:r w:rsidRPr="003F41F2">
        <w:t xml:space="preserve">. </w:t>
      </w:r>
      <w:r w:rsidRPr="00722877">
        <w:t xml:space="preserve">However, assimilation of moisture fluxes may pose particular difficulties </w:t>
      </w:r>
      <w:r w:rsidR="00FE168E">
        <w:t xml:space="preserve">when applying observation nudging </w:t>
      </w:r>
      <w:r w:rsidRPr="00722877">
        <w:t xml:space="preserve">due to the high spatial variability of the </w:t>
      </w:r>
      <w:bookmarkStart w:id="28" w:name="_Hlk43735295"/>
      <w:r w:rsidRPr="00722877">
        <w:t>variables</w:t>
      </w:r>
      <w:bookmarkEnd w:id="28"/>
      <w:r w:rsidRPr="00722877">
        <w:t xml:space="preserve"> such as the water vapor mixing ratio and specific humidity relative to their absolute values </w:t>
      </w:r>
      <w:r w:rsidRPr="00722877">
        <w:fldChar w:fldCharType="begin"/>
      </w:r>
      <w:r w:rsidR="00A44B66">
        <w:instrText xml:space="preserve"> ADDIN ZOTERO_ITEM CSL_CITATION {"citationID":"a2q7ppuq9ju","properties":{"formattedCitation":"(Reen et al., 2016)","plainCitation":"(Reen et al., 2016)","noteIndex":0},"citationItems":[{"id":61,"uris":["http://zotero.org/users/7904379/items/3D83PFJY"],"itemData":{"id":61,"type":"article-journal","abstract":"Abstract\n            Observations can be used to enhance mesoscale model forecasts by both improving the initial conditions and adjusting the model state toward the observations during its forward integration. Since observations are not available at the same density as the model grid points, spatial and temporal error correlations must be specified in order to effectively assimilate the observations into the model. Overdrying is found while applying the Weather Research and Forecasting Model to five cases centered over Southern California. This overdrying is caused by incorporation of observations in the initial conditions both at a discrete time and over a preforecast data assimilation period. Nonphysical dryness results from the assumption that model moisture error at the observation location is correlated with model moisture error at other locations in the model without regard to the relative magnitude of the moisture at those two locations. Modifying the model and its preprocessor to remove this assumption greatly reduces the occurrence of excessive model dryness without degrading the overall model performance in predicting moisture.","container-title":"Journal of Applied Meteorology and Climatology","DOI":"10.1175/JAMC-D-14-0301.1","ISSN":"1558-8424, 1558-8432","issue":"2","page":"365-388","source":"DOI.org (Crossref)","title":"Mitigating Excessive Drying from the Use of Observations in Mesoscale Modeling","URL":"https://journals.ametsoc.org/view/journals/apme/55/2/jamc-d-14-0301.1.xml","volume":"55","author":[{"family":"Reen","given":"Brian P."},{"family":"Dumais","given":"Robert E."},{"family":"Passner","given":"Jeffrey E."}],"accessed":{"date-parts":[["2021",3,25]]},"issued":{"date-parts":[["2016",2]]}}}],"schema":"https://github.com/citation-style-language/schema/raw/master/csl-citation.json"} </w:instrText>
      </w:r>
      <w:r w:rsidRPr="00722877">
        <w:fldChar w:fldCharType="separate"/>
      </w:r>
      <w:r w:rsidR="00A44B66" w:rsidRPr="00A44B66">
        <w:t>(Reen et al., 2016)</w:t>
      </w:r>
      <w:r w:rsidRPr="00722877">
        <w:fldChar w:fldCharType="end"/>
      </w:r>
      <w:r w:rsidRPr="00722877">
        <w:t xml:space="preserve">. For simplicity, this study applied observation nudging to wind and temperature to avoid excessive drying that can be caused by negative water vapor values occurring within the model domain.  </w:t>
      </w:r>
    </w:p>
    <w:p w14:paraId="4B1B48F4" w14:textId="221005D4" w:rsidR="00722877" w:rsidRPr="00C62730" w:rsidRDefault="00722877" w:rsidP="008E31C7">
      <w:pPr>
        <w:pStyle w:val="Heading3"/>
        <w:numPr>
          <w:ilvl w:val="2"/>
          <w:numId w:val="27"/>
        </w:numPr>
        <w:ind w:left="540"/>
      </w:pPr>
      <w:r w:rsidRPr="00C62730">
        <w:t>WRF Model Domain Configuration</w:t>
      </w:r>
    </w:p>
    <w:p w14:paraId="09679B14" w14:textId="32E2B5ED" w:rsidR="001F5D1C" w:rsidRDefault="00722877" w:rsidP="00052F10">
      <w:pPr>
        <w:ind w:firstLine="540"/>
      </w:pPr>
      <w:r w:rsidRPr="00722877">
        <w:t xml:space="preserve">This study used version 3.8 of the WRF-ARW dynamical solver installed on </w:t>
      </w:r>
      <w:bookmarkStart w:id="29" w:name="_Hlk70235990"/>
      <w:r w:rsidRPr="00722877">
        <w:t>the Tianhe high-performance computing (HPC) system and assisted by the Sugon HPC system from the State Key Laboratory of Disaster Prevention and Reduction for Power Grid Transmission and Distribution Equipment (SKL) at Changsha, China</w:t>
      </w:r>
      <w:bookmarkEnd w:id="29"/>
      <w:r w:rsidRPr="00722877">
        <w:t>. To get a suitable design for the multiscale atmospheric reanalysis, we designed 5 WRF model domains,</w:t>
      </w:r>
      <w:bookmarkStart w:id="30" w:name="_Hlk70581884"/>
      <w:bookmarkStart w:id="31" w:name="_Hlk70101732"/>
      <w:r w:rsidRPr="00722877">
        <w:t xml:space="preserve"> </w:t>
      </w:r>
      <m:oMath>
        <m:sSub>
          <m:sSubPr>
            <m:ctrlPr>
              <w:rPr>
                <w:rFonts w:ascii="Cambria Math" w:hAnsi="Cambria Math"/>
                <w:i/>
              </w:rPr>
            </m:ctrlPr>
          </m:sSubPr>
          <m:e>
            <m:r>
              <w:rPr>
                <w:rFonts w:ascii="Cambria Math" w:hAnsi="Cambria Math"/>
              </w:rPr>
              <m:t>D0</m:t>
            </m:r>
          </m:e>
          <m:sub>
            <m:r>
              <w:rPr>
                <w:rFonts w:ascii="Cambria Math" w:hAnsi="Cambria Math"/>
              </w:rPr>
              <m:t>i=1-5</m:t>
            </m:r>
          </m:sub>
        </m:sSub>
      </m:oMath>
      <w:r w:rsidRPr="00722877">
        <w:t xml:space="preserve">, </w:t>
      </w:r>
      <w:bookmarkEnd w:id="30"/>
      <w:r w:rsidRPr="00722877">
        <w:t xml:space="preserve">where </w:t>
      </w:r>
      <m:oMath>
        <m:sSub>
          <m:sSubPr>
            <m:ctrlPr>
              <w:rPr>
                <w:rFonts w:ascii="Cambria Math" w:hAnsi="Cambria Math"/>
                <w:i/>
              </w:rPr>
            </m:ctrlPr>
          </m:sSubPr>
          <m:e>
            <m:r>
              <w:rPr>
                <w:rFonts w:ascii="Cambria Math" w:hAnsi="Cambria Math"/>
              </w:rPr>
              <m:t>D0</m:t>
            </m:r>
          </m:e>
          <m:sub>
            <m:r>
              <w:rPr>
                <w:rFonts w:ascii="Cambria Math" w:hAnsi="Cambria Math"/>
              </w:rPr>
              <m:t>i=1</m:t>
            </m:r>
          </m:sub>
        </m:sSub>
        <m:r>
          <w:rPr>
            <w:rFonts w:ascii="Cambria Math" w:hAnsi="Cambria Math"/>
          </w:rPr>
          <m:t>=D01</m:t>
        </m:r>
      </m:oMath>
      <w:r w:rsidRPr="00722877">
        <w:t xml:space="preserve">, </w:t>
      </w:r>
      <m:oMath>
        <m:sSub>
          <m:sSubPr>
            <m:ctrlPr>
              <w:rPr>
                <w:rFonts w:ascii="Cambria Math" w:hAnsi="Cambria Math"/>
                <w:i/>
              </w:rPr>
            </m:ctrlPr>
          </m:sSubPr>
          <m:e>
            <m:r>
              <w:rPr>
                <w:rFonts w:ascii="Cambria Math" w:hAnsi="Cambria Math"/>
              </w:rPr>
              <m:t>D0</m:t>
            </m:r>
          </m:e>
          <m:sub>
            <m:r>
              <w:rPr>
                <w:rFonts w:ascii="Cambria Math" w:hAnsi="Cambria Math"/>
              </w:rPr>
              <m:t>i=2</m:t>
            </m:r>
          </m:sub>
        </m:sSub>
        <m:r>
          <w:rPr>
            <w:rFonts w:ascii="Cambria Math" w:hAnsi="Cambria Math"/>
          </w:rPr>
          <m:t>=D02</m:t>
        </m:r>
      </m:oMath>
      <w:r w:rsidRPr="00722877">
        <w:t>, …,</w:t>
      </w:r>
      <m:oMath>
        <m:r>
          <w:rPr>
            <w:rFonts w:ascii="Cambria Math" w:hAnsi="Cambria Math"/>
          </w:rPr>
          <m:t xml:space="preserve"> </m:t>
        </m:r>
        <m:sSub>
          <m:sSubPr>
            <m:ctrlPr>
              <w:rPr>
                <w:rFonts w:ascii="Cambria Math" w:hAnsi="Cambria Math"/>
                <w:i/>
              </w:rPr>
            </m:ctrlPr>
          </m:sSubPr>
          <m:e>
            <m:r>
              <w:rPr>
                <w:rFonts w:ascii="Cambria Math" w:hAnsi="Cambria Math"/>
              </w:rPr>
              <m:t>D0</m:t>
            </m:r>
          </m:e>
          <m:sub>
            <m:r>
              <w:rPr>
                <w:rFonts w:ascii="Cambria Math" w:hAnsi="Cambria Math"/>
              </w:rPr>
              <m:t>i=5</m:t>
            </m:r>
          </m:sub>
        </m:sSub>
        <m:r>
          <w:rPr>
            <w:rFonts w:ascii="Cambria Math" w:hAnsi="Cambria Math"/>
          </w:rPr>
          <m:t>=D05</m:t>
        </m:r>
      </m:oMath>
      <w:r w:rsidRPr="00722877">
        <w:t xml:space="preserve"> </w:t>
      </w:r>
      <w:bookmarkEnd w:id="31"/>
      <w:r w:rsidRPr="00722877">
        <w:t xml:space="preserve">by assigning </w:t>
      </w:r>
      <m:oMath>
        <m:sSub>
          <m:sSubPr>
            <m:ctrlPr>
              <w:rPr>
                <w:rFonts w:ascii="Cambria Math" w:hAnsi="Cambria Math"/>
                <w:i/>
              </w:rPr>
            </m:ctrlPr>
          </m:sSubPr>
          <m:e>
            <m:r>
              <w:rPr>
                <w:rFonts w:ascii="Cambria Math" w:hAnsi="Cambria Math"/>
              </w:rPr>
              <m:t>D0</m:t>
            </m:r>
          </m:e>
          <m:sub>
            <m:r>
              <w:rPr>
                <w:rFonts w:ascii="Cambria Math" w:hAnsi="Cambria Math"/>
              </w:rPr>
              <m:t>i=1-3</m:t>
            </m:r>
          </m:sub>
        </m:sSub>
      </m:oMath>
      <w:r w:rsidR="00BC1444">
        <w:t xml:space="preserve"> </w:t>
      </w:r>
      <w:r w:rsidRPr="00722877">
        <w:t xml:space="preserve">to mesoscale simulations, and 2 microscale domains  </w:t>
      </w:r>
      <m:oMath>
        <m:sSub>
          <m:sSubPr>
            <m:ctrlPr>
              <w:rPr>
                <w:rFonts w:ascii="Cambria Math" w:hAnsi="Cambria Math"/>
                <w:i/>
              </w:rPr>
            </m:ctrlPr>
          </m:sSubPr>
          <m:e>
            <m:r>
              <w:rPr>
                <w:rFonts w:ascii="Cambria Math" w:hAnsi="Cambria Math"/>
              </w:rPr>
              <m:t>D0</m:t>
            </m:r>
          </m:e>
          <m:sub>
            <m:r>
              <w:rPr>
                <w:rFonts w:ascii="Cambria Math" w:hAnsi="Cambria Math"/>
              </w:rPr>
              <m:t>i=4,5</m:t>
            </m:r>
          </m:sub>
        </m:sSub>
      </m:oMath>
      <w:r w:rsidRPr="00722877">
        <w:t xml:space="preserve"> all in </w:t>
      </w:r>
      <m:oMath>
        <m:sSub>
          <m:sSubPr>
            <m:ctrlPr>
              <w:rPr>
                <w:rFonts w:ascii="Cambria Math" w:hAnsi="Cambria Math"/>
                <w:i/>
              </w:rPr>
            </m:ctrlPr>
          </m:sSubPr>
          <m:e>
            <m:r>
              <w:rPr>
                <w:rFonts w:ascii="Cambria Math" w:hAnsi="Cambria Math"/>
              </w:rPr>
              <m:t>D0</m:t>
            </m:r>
          </m:e>
          <m:sub>
            <m:r>
              <w:rPr>
                <w:rFonts w:ascii="Cambria Math" w:hAnsi="Cambria Math"/>
              </w:rPr>
              <m:t>i=3</m:t>
            </m:r>
          </m:sub>
        </m:sSub>
      </m:oMath>
      <w:r w:rsidRPr="00722877">
        <w:t xml:space="preserve"> , assigned to LES runs. The model domain configuration is given in Table 2 and depicted in Figure 1. As shown in Figure 1a, Naqu1 is the center of all domains. The parent domain </w:t>
      </w:r>
      <w:bookmarkStart w:id="32" w:name="_Hlk70111077"/>
      <w:bookmarkStart w:id="33" w:name="_Hlk70102347"/>
      <m:oMath>
        <m:sSub>
          <m:sSubPr>
            <m:ctrlPr>
              <w:rPr>
                <w:rFonts w:ascii="Cambria Math" w:hAnsi="Cambria Math"/>
                <w:i/>
              </w:rPr>
            </m:ctrlPr>
          </m:sSubPr>
          <m:e>
            <m:r>
              <w:rPr>
                <w:rFonts w:ascii="Cambria Math" w:hAnsi="Cambria Math"/>
              </w:rPr>
              <m:t>D0</m:t>
            </m:r>
          </m:e>
          <m:sub>
            <m:r>
              <w:rPr>
                <w:rFonts w:ascii="Cambria Math" w:hAnsi="Cambria Math"/>
              </w:rPr>
              <m:t>i=1</m:t>
            </m:r>
          </m:sub>
        </m:sSub>
      </m:oMath>
      <w:bookmarkEnd w:id="32"/>
      <w:r w:rsidRPr="00722877">
        <w:t xml:space="preserve"> </w:t>
      </w:r>
      <w:bookmarkEnd w:id="33"/>
      <w:r w:rsidRPr="00722877">
        <w:t xml:space="preserve">includes China’s 6 administrative prefectures, Naqu, Linzhi, Lhasa, Rikaze, Shannan, Chamdo, and Yituohe, and neighboring southern countries. As shown in Figure 1b, </w:t>
      </w:r>
      <m:oMath>
        <m:sSub>
          <m:sSubPr>
            <m:ctrlPr>
              <w:rPr>
                <w:rFonts w:ascii="Cambria Math" w:hAnsi="Cambria Math"/>
                <w:i/>
              </w:rPr>
            </m:ctrlPr>
          </m:sSubPr>
          <m:e>
            <m:r>
              <w:rPr>
                <w:rFonts w:ascii="Cambria Math" w:hAnsi="Cambria Math"/>
              </w:rPr>
              <m:t>D0</m:t>
            </m:r>
          </m:e>
          <m:sub>
            <m:r>
              <w:rPr>
                <w:rFonts w:ascii="Cambria Math" w:hAnsi="Cambria Math"/>
              </w:rPr>
              <m:t>i=4</m:t>
            </m:r>
          </m:sub>
        </m:sSub>
      </m:oMath>
      <w:r w:rsidRPr="00722877">
        <w:t xml:space="preserve"> was configurated to cover Naqu1 and Naqu2 observation stations, while Naqu1 is the center of </w:t>
      </w:r>
      <m:oMath>
        <m:sSub>
          <m:sSubPr>
            <m:ctrlPr>
              <w:rPr>
                <w:rFonts w:ascii="Cambria Math" w:hAnsi="Cambria Math"/>
                <w:i/>
              </w:rPr>
            </m:ctrlPr>
          </m:sSubPr>
          <m:e>
            <m:r>
              <w:rPr>
                <w:rFonts w:ascii="Cambria Math" w:hAnsi="Cambria Math"/>
              </w:rPr>
              <m:t>D0</m:t>
            </m:r>
          </m:e>
          <m:sub>
            <m:r>
              <w:rPr>
                <w:rFonts w:ascii="Cambria Math" w:hAnsi="Cambria Math"/>
              </w:rPr>
              <m:t>i=5</m:t>
            </m:r>
          </m:sub>
        </m:sSub>
      </m:oMath>
      <w:r w:rsidRPr="00722877">
        <w:t>.</w:t>
      </w:r>
    </w:p>
    <w:p w14:paraId="48D59DDA" w14:textId="14B48098" w:rsidR="00722877" w:rsidRPr="002C7DEC" w:rsidRDefault="00722877" w:rsidP="00052F10">
      <w:pPr>
        <w:ind w:firstLine="540"/>
      </w:pPr>
      <w:r w:rsidRPr="00722877">
        <w:t xml:space="preserve"> </w:t>
      </w:r>
      <w:bookmarkStart w:id="34" w:name="_Hlk78331206"/>
      <w:bookmarkStart w:id="35" w:name="_Hlk69850503"/>
      <w:bookmarkStart w:id="36" w:name="_Hlk70045515"/>
      <w:r w:rsidRPr="002C7DEC">
        <w:t xml:space="preserve">As shown in Table 2, each domain has 150 horizontal grids. In this configuration, the innermost domain has 114m horizontal grid resolution with an area of </w:t>
      </w:r>
      <m:oMath>
        <m:r>
          <w:rPr>
            <w:rFonts w:ascii="Cambria Math" w:hAnsi="Cambria Math"/>
          </w:rPr>
          <m:t>114×114</m:t>
        </m:r>
        <m:sSup>
          <m:sSupPr>
            <m:ctrlPr>
              <w:rPr>
                <w:rFonts w:ascii="Cambria Math" w:hAnsi="Cambria Math"/>
                <w:i/>
              </w:rPr>
            </m:ctrlPr>
          </m:sSupPr>
          <m:e>
            <m:r>
              <w:rPr>
                <w:rFonts w:ascii="Cambria Math" w:hAnsi="Cambria Math"/>
              </w:rPr>
              <m:t xml:space="preserve"> km</m:t>
            </m:r>
          </m:e>
          <m:sup>
            <m:r>
              <w:rPr>
                <w:rFonts w:ascii="Cambria Math" w:hAnsi="Cambria Math"/>
              </w:rPr>
              <m:t>2</m:t>
            </m:r>
          </m:sup>
        </m:sSup>
      </m:oMath>
      <w:r w:rsidRPr="002C7DEC">
        <w:t xml:space="preserve"> including Naqu1 and Naqu2.  In this </w:t>
      </w:r>
      <w:r w:rsidR="005C3A0B" w:rsidRPr="002C7DEC">
        <w:t xml:space="preserve">configuration, </w:t>
      </w:r>
      <w:r w:rsidR="005C3A0B">
        <w:t>some</w:t>
      </w:r>
      <w:r w:rsidRPr="002C7DEC">
        <w:t xml:space="preserve"> vertical layers </w:t>
      </w:r>
      <w:r w:rsidR="005C3A0B" w:rsidRPr="002C7DEC">
        <w:t>were</w:t>
      </w:r>
      <w:r w:rsidRPr="002C7DEC">
        <w:t xml:space="preserve"> set to 50 full sigma levels up to 50 hPa, except </w:t>
      </w:r>
      <w:r w:rsidR="00F677EB">
        <w:t xml:space="preserve">in </w:t>
      </w:r>
      <w:r w:rsidRPr="002C7DEC">
        <w:t xml:space="preserve">one scenario namely scenario B1 </w:t>
      </w:r>
      <w:r w:rsidR="005C3A0B" w:rsidRPr="002C7DEC">
        <w:t>where the</w:t>
      </w:r>
      <w:r w:rsidRPr="002C7DEC">
        <w:t xml:space="preserve"> vertical levels have been increased and reorganized manually to be many within the ABL. In the domain configuration for scenario B1, the vertical layers are composed of 56 full sigma levels up to 50</w:t>
      </w:r>
      <w:r w:rsidR="00FE168E">
        <w:t xml:space="preserve"> </w:t>
      </w:r>
      <w:r w:rsidRPr="002C7DEC">
        <w:t xml:space="preserve">hPa, while the vertical increment </w:t>
      </w:r>
      <m:oMath>
        <m:sSub>
          <m:sSubPr>
            <m:ctrlPr>
              <w:rPr>
                <w:rFonts w:ascii="Cambria Math" w:hAnsi="Cambria Math"/>
                <w:i/>
              </w:rPr>
            </m:ctrlPr>
          </m:sSubPr>
          <m:e>
            <m:r>
              <w:rPr>
                <w:rFonts w:ascii="Cambria Math" w:hAnsi="Cambria Math"/>
              </w:rPr>
              <m:t>∆z</m:t>
            </m:r>
          </m:e>
          <m:sub>
            <m:r>
              <w:rPr>
                <w:rFonts w:ascii="Cambria Math" w:hAnsi="Cambria Math"/>
              </w:rPr>
              <m:t>i=0-55</m:t>
            </m:r>
          </m:sub>
        </m:sSub>
      </m:oMath>
      <w:r w:rsidRPr="002C7DEC">
        <w:t xml:space="preserve"> between two consecutive levels increased linearly following the hyperbolic cosine function</w:t>
      </w:r>
      <w:r w:rsidR="007978B0">
        <w:t>:</w:t>
      </w:r>
      <w:r w:rsidRPr="002C7DEC">
        <w:t xml:space="preserve"> </w:t>
      </w:r>
    </w:p>
    <w:p w14:paraId="46158C3C" w14:textId="5DBC6601" w:rsidR="00722877" w:rsidRPr="002C7DEC" w:rsidRDefault="00722877" w:rsidP="007978B0">
      <w:pPr>
        <w:jc w:val="center"/>
      </w:pPr>
      <w:r w:rsidRPr="002C7DEC">
        <w:t xml:space="preserve"> </w:t>
      </w:r>
      <m:oMath>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z</m:t>
                </m:r>
              </m:e>
              <m:sub>
                <m:r>
                  <w:rPr>
                    <w:rFonts w:ascii="Cambria Math" w:hAnsi="Cambria Math"/>
                  </w:rPr>
                  <m:t>i</m:t>
                </m:r>
              </m:sub>
            </m:sSub>
            <m:r>
              <m:rPr>
                <m:sty m:val="p"/>
              </m:rPr>
              <w:rPr>
                <w:rFonts w:ascii="Cambria Math" w:hAnsi="Cambria Math"/>
              </w:rPr>
              <m:t xml:space="preserve">= </m:t>
            </m:r>
            <w:bookmarkStart w:id="37" w:name="_Hlk100646865"/>
            <m:r>
              <w:rPr>
                <w:rFonts w:ascii="Cambria Math" w:hAnsi="Cambria Math"/>
              </w:rPr>
              <m:t>Ch</m:t>
            </m:r>
            <m:d>
              <m:dPr>
                <m:ctrlPr>
                  <w:rPr>
                    <w:rFonts w:ascii="Cambria Math" w:hAnsi="Cambria Math"/>
                  </w:rPr>
                </m:ctrlPr>
              </m:dPr>
              <m:e>
                <m:sSub>
                  <m:sSubPr>
                    <m:ctrlPr>
                      <w:rPr>
                        <w:rFonts w:ascii="Cambria Math" w:hAnsi="Cambria Math"/>
                      </w:rPr>
                    </m:ctrlPr>
                  </m:sSubPr>
                  <m:e>
                    <m:r>
                      <w:rPr>
                        <w:rFonts w:ascii="Cambria Math" w:hAnsi="Cambria Math"/>
                      </w:rPr>
                      <m:t>λ</m:t>
                    </m:r>
                  </m:e>
                  <m:sub>
                    <m:r>
                      <w:rPr>
                        <w:rFonts w:ascii="Cambria Math" w:hAnsi="Cambria Math"/>
                      </w:rPr>
                      <m:t>i</m:t>
                    </m:r>
                  </m:sub>
                </m:sSub>
              </m:e>
            </m:d>
            <w:bookmarkEnd w:id="37"/>
            <m:r>
              <m:rPr>
                <m:sty m:val="p"/>
              </m:rPr>
              <w:rPr>
                <w:rFonts w:ascii="Cambria Math" w:hAnsi="Cambria Math"/>
              </w:rPr>
              <m:t xml:space="preserve">= </m:t>
            </m:r>
            <m:f>
              <m:fPr>
                <m:ctrlPr>
                  <w:rPr>
                    <w:rFonts w:ascii="Cambria Math" w:hAnsi="Cambria Math"/>
                  </w:rPr>
                </m:ctrlPr>
              </m:fPr>
              <m:num>
                <m:sSup>
                  <m:sSupPr>
                    <m:ctrlPr>
                      <w:rPr>
                        <w:rFonts w:ascii="Cambria Math" w:hAnsi="Cambria Math"/>
                      </w:rPr>
                    </m:ctrlPr>
                  </m:sSupPr>
                  <m:e>
                    <m:r>
                      <w:rPr>
                        <w:rFonts w:ascii="Cambria Math" w:hAnsi="Cambria Math"/>
                      </w:rPr>
                      <m:t>e</m:t>
                    </m:r>
                  </m:e>
                  <m:sup>
                    <m:sSub>
                      <m:sSubPr>
                        <m:ctrlPr>
                          <w:rPr>
                            <w:rFonts w:ascii="Cambria Math" w:hAnsi="Cambria Math"/>
                          </w:rPr>
                        </m:ctrlPr>
                      </m:sSubPr>
                      <m:e>
                        <m:r>
                          <w:rPr>
                            <w:rFonts w:ascii="Cambria Math" w:hAnsi="Cambria Math"/>
                          </w:rPr>
                          <m:t>λ</m:t>
                        </m:r>
                      </m:e>
                      <m:sub>
                        <m:r>
                          <w:rPr>
                            <w:rFonts w:ascii="Cambria Math" w:hAnsi="Cambria Math"/>
                          </w:rPr>
                          <m:t>i</m:t>
                        </m:r>
                      </m:sub>
                    </m:sSub>
                  </m:sup>
                </m:sSup>
                <m:r>
                  <m:rPr>
                    <m:sty m:val="p"/>
                  </m:rPr>
                  <w:rPr>
                    <w:rFonts w:ascii="Cambria Math" w:hAnsi="Cambria Math"/>
                  </w:rPr>
                  <m:t xml:space="preserve"> + </m:t>
                </m:r>
                <m:sSup>
                  <m:sSupPr>
                    <m:ctrlPr>
                      <w:rPr>
                        <w:rFonts w:ascii="Cambria Math" w:hAnsi="Cambria Math"/>
                      </w:rPr>
                    </m:ctrlPr>
                  </m:sSupPr>
                  <m:e>
                    <m:r>
                      <w:rPr>
                        <w:rFonts w:ascii="Cambria Math" w:hAnsi="Cambria Math"/>
                      </w:rPr>
                      <m:t>e</m:t>
                    </m:r>
                  </m:e>
                  <m:sup>
                    <m:r>
                      <m:rPr>
                        <m:sty m:val="p"/>
                      </m:rPr>
                      <w:rPr>
                        <w:rFonts w:ascii="Cambria Math" w:hAnsi="Cambria Math"/>
                      </w:rPr>
                      <m:t>-</m:t>
                    </m:r>
                    <m:sSub>
                      <m:sSubPr>
                        <m:ctrlPr>
                          <w:rPr>
                            <w:rFonts w:ascii="Cambria Math" w:hAnsi="Cambria Math"/>
                          </w:rPr>
                        </m:ctrlPr>
                      </m:sSubPr>
                      <m:e>
                        <m:r>
                          <w:rPr>
                            <w:rFonts w:ascii="Cambria Math" w:hAnsi="Cambria Math"/>
                          </w:rPr>
                          <m:t>λ</m:t>
                        </m:r>
                      </m:e>
                      <m:sub>
                        <m:r>
                          <w:rPr>
                            <w:rFonts w:ascii="Cambria Math" w:hAnsi="Cambria Math"/>
                          </w:rPr>
                          <m:t>i</m:t>
                        </m:r>
                      </m:sub>
                    </m:sSub>
                  </m:sup>
                </m:sSup>
              </m:num>
              <m:den>
                <m:r>
                  <m:rPr>
                    <m:sty m:val="p"/>
                  </m:rPr>
                  <w:rPr>
                    <w:rFonts w:ascii="Cambria Math" w:hAnsi="Cambria Math"/>
                  </w:rPr>
                  <m:t>2</m:t>
                </m:r>
              </m:den>
            </m:f>
            <m:r>
              <w:rPr>
                <w:rFonts w:ascii="Cambria Math" w:hAnsi="Cambria Math"/>
              </w:rPr>
              <m:t xml:space="preserve">; </m:t>
            </m:r>
            <m:sSub>
              <m:sSubPr>
                <m:ctrlPr>
                  <w:rPr>
                    <w:rFonts w:ascii="Cambria Math" w:hAnsi="Cambria Math"/>
                  </w:rPr>
                </m:ctrlPr>
              </m:sSubPr>
              <m:e>
                <m:r>
                  <w:rPr>
                    <w:rFonts w:ascii="Cambria Math" w:hAnsi="Cambria Math"/>
                  </w:rPr>
                  <m:t>λ</m:t>
                </m:r>
              </m:e>
              <m:sub>
                <m:r>
                  <w:rPr>
                    <w:rFonts w:ascii="Cambria Math" w:hAnsi="Cambria Math"/>
                  </w:rPr>
                  <m:t>i</m:t>
                </m:r>
                <m:r>
                  <m:rPr>
                    <m:sty m:val="p"/>
                  </m:rPr>
                  <w:rPr>
                    <w:rFonts w:ascii="Cambria Math" w:hAnsi="Cambria Math"/>
                  </w:rPr>
                  <m:t>=0-55</m:t>
                </m:r>
              </m:sub>
            </m:sSub>
            <m:r>
              <m:rPr>
                <m:sty m:val="p"/>
              </m:rPr>
              <w:rPr>
                <w:rFonts w:ascii="Cambria Math" w:hAnsi="Cambria Math"/>
              </w:rPr>
              <m:t>∈[2.797324366; 8.217039]</m:t>
            </m:r>
          </m:e>
        </m:d>
      </m:oMath>
    </w:p>
    <w:p w14:paraId="15BAC991" w14:textId="7FF2F011" w:rsidR="00722877" w:rsidRPr="002C7DEC" w:rsidRDefault="00722877" w:rsidP="00052F10">
      <w:pPr>
        <w:ind w:firstLine="540"/>
      </w:pPr>
      <w:r w:rsidRPr="002C7DEC">
        <w:t>In the latter configuration, the first model level's height is 8 m AGL, while the first 40 model levels are below 4</w:t>
      </w:r>
      <w:r w:rsidR="00156245">
        <w:t>000</w:t>
      </w:r>
      <w:r w:rsidRPr="002C7DEC">
        <w:t xml:space="preserve"> m height AGL (~300 hPa</w:t>
      </w:r>
      <w:r w:rsidR="00EE62D8">
        <w:t xml:space="preserve">). </w:t>
      </w:r>
      <w:r w:rsidRPr="002C7DEC">
        <w:t xml:space="preserve">The domain </w:t>
      </w:r>
      <m:oMath>
        <m:sSub>
          <m:sSubPr>
            <m:ctrlPr>
              <w:rPr>
                <w:rFonts w:ascii="Cambria Math" w:hAnsi="Cambria Math"/>
                <w:i/>
              </w:rPr>
            </m:ctrlPr>
          </m:sSubPr>
          <m:e>
            <m:r>
              <w:rPr>
                <w:rFonts w:ascii="Cambria Math" w:hAnsi="Cambria Math"/>
              </w:rPr>
              <m:t>D0</m:t>
            </m:r>
          </m:e>
          <m:sub>
            <m:r>
              <w:rPr>
                <w:rFonts w:ascii="Cambria Math" w:hAnsi="Cambria Math"/>
              </w:rPr>
              <m:t>i=3</m:t>
            </m:r>
          </m:sub>
        </m:sSub>
      </m:oMath>
      <w:r w:rsidRPr="002C7DEC">
        <w:t xml:space="preserve"> provides the initial conditions </w:t>
      </w:r>
      <w:r w:rsidRPr="002C7DEC">
        <w:lastRenderedPageBreak/>
        <w:t xml:space="preserve">for </w:t>
      </w:r>
      <w:bookmarkStart w:id="38" w:name="_Hlk83059357"/>
      <m:oMath>
        <m:sSub>
          <m:sSubPr>
            <m:ctrlPr>
              <w:rPr>
                <w:rFonts w:ascii="Cambria Math" w:hAnsi="Cambria Math"/>
                <w:i/>
              </w:rPr>
            </m:ctrlPr>
          </m:sSubPr>
          <m:e>
            <m:r>
              <w:rPr>
                <w:rFonts w:ascii="Cambria Math" w:hAnsi="Cambria Math"/>
              </w:rPr>
              <m:t>D0</m:t>
            </m:r>
          </m:e>
          <m:sub>
            <m:r>
              <w:rPr>
                <w:rFonts w:ascii="Cambria Math" w:hAnsi="Cambria Math"/>
              </w:rPr>
              <m:t>i=4</m:t>
            </m:r>
          </m:sub>
        </m:sSub>
      </m:oMath>
      <w:bookmarkEnd w:id="38"/>
      <w:r w:rsidRPr="002C7DEC">
        <w:t xml:space="preserve"> </w:t>
      </w:r>
      <w:r w:rsidR="008975B4">
        <w:t>to optimize LES results</w:t>
      </w:r>
      <w:r w:rsidRPr="002C7DEC">
        <w:t xml:space="preserve">. </w:t>
      </w:r>
      <w:r w:rsidR="008975B4">
        <w:t>The h</w:t>
      </w:r>
      <w:r w:rsidRPr="002C7DEC">
        <w:t xml:space="preserve">orizontal and vertical interpolations are performed with an overlapping quadratic approach and linear log pressure, respectively. These interpolations allow the boundary forcing to vary in time and space. </w:t>
      </w:r>
      <w:bookmarkStart w:id="39" w:name="_Hlk81117350"/>
      <w:r w:rsidRPr="002C7DEC">
        <w:t>Mesoscale simulations use 1D PBL parameterization to fully parameterize the anisotropic turbulent motion using the Reynolds-averaged Navier–Stokes (RANS) technique</w:t>
      </w:r>
      <w:r w:rsidR="00741DDB">
        <w:t xml:space="preserve"> </w:t>
      </w:r>
      <w:r w:rsidRPr="002C7DEC">
        <w:fldChar w:fldCharType="begin"/>
      </w:r>
      <w:r w:rsidR="00A44B66">
        <w:instrText xml:space="preserve"> ADDIN ZOTERO_ITEM CSL_CITATION {"citationID":"a2bf1kskfik","properties":{"formattedCitation":"(Powers et al., 2017)","plainCitation":"(Powers et al., 2017)","noteIndex":0},"citationItems":[{"id":365,"uris":["http://zotero.org/users/7904379/items/P5RU9FZX"],"itemData":{"id":365,"type":"article-journal","abstract":"&lt;section class=\"abstract\"&gt;&lt;h2 class=\"abstractTitle text-title my-1\" id=\"d1156e2\"&gt;Abstract&lt;/h2&gt;&lt;p&gt;Since its initial release in 2000, the Weather Research and Forecasting (WRF) Model has become one of the world’s most widely used numerical weather prediction models. Designed to serve both research and operational needs, it has grown to offer a spectrum of options and capabilities for a wide range of applications. In addition, it underlies a number of tailored systems that address Earth system modeling beyond weather. While the WRF Model has a centralized support effort, it has become a truly community model, driven by the developments and contributions of an active worldwide user base. The WRF Model sees significant use for operational forecasting, and its research implementations are pushing the boundaries of finescale atmospheric simulation. Future model directions include developments in physics, exploiting emerging compute technologies, and ever-innovative applications. From its contributions to research, forecasting, educational, and commercial efforts worldwide, the WRF Model has made a significant mark on numerical weather prediction and atmospheric science.&lt;/p&gt;&lt;/section&gt;","container-title":"Bulletin of the American Meteorological Society","DOI":"10.1175/BAMS-D-15-00308.1","ISSN":"0003-0007, 1520-0477","issue":"8","language":"EN","note":"publisher: American Meteorological Society\nsection: Bulletin of the American Meteorological Society","page":"1717-1737","source":"journals.ametsoc.org","title":"The Weather Research and Forecasting Model: Overview, System Efforts, and Future Directions","title-short":"The Weather Research and Forecasting Model","URL":"https://journals.ametsoc.org/view/journals/bams/98/8/bams-d-15-00308.1.xml","volume":"98","author":[{"family":"Powers","given":"Jordan G."},{"family":"Klemp","given":"Joseph B."},{"family":"Skamarock","given":"William C."},{"family":"Davis","given":"Christopher A."},{"family":"Dudhia","given":"Jimy"},{"family":"Gill","given":"David O."},{"family":"Coen","given":"Janice L."},{"family":"Gochis","given":"David J."},{"family":"Ahmadov","given":"Ravan"},{"family":"Peckham","given":"Steven E."},{"family":"Grell","given":"Georg A."},{"family":"Michalakes","given":"John"},{"family":"Trahan","given":"Samuel"},{"family":"Benjamin","given":"Stanley G."},{"family":"Alexander","given":"Curtis R."},{"family":"Dimego","given":"Geoffrey J."},{"family":"Wang","given":"Wei"},{"family":"Schwartz","given":"Craig S."},{"family":"Romine","given":"Glen S."},{"family":"Liu","given":"Zhiquan"},{"family":"Snyder","given":"Chris"},{"family":"Chen","given":"Fei"},{"family":"Barlage","given":"Michael J."},{"family":"Yu","given":"Wei"},{"family":"Duda","given":"Michael G."}],"accessed":{"date-parts":[["2021",4,19]]},"issued":{"date-parts":[["2017",8,1]]}}}],"schema":"https://github.com/citation-style-language/schema/raw/master/csl-citation.json"} </w:instrText>
      </w:r>
      <w:r w:rsidRPr="002C7DEC">
        <w:fldChar w:fldCharType="separate"/>
      </w:r>
      <w:r w:rsidR="00A44B66" w:rsidRPr="00A44B66">
        <w:t>(Powers et al., 2017)</w:t>
      </w:r>
      <w:r w:rsidRPr="002C7DEC">
        <w:fldChar w:fldCharType="end"/>
      </w:r>
      <w:r w:rsidRPr="002C7DEC">
        <w:t xml:space="preserve">, whereas </w:t>
      </w:r>
      <w:bookmarkStart w:id="40" w:name="_Hlk71194415"/>
      <w:r w:rsidRPr="002C7DEC">
        <w:t xml:space="preserve">LES runs treat unresolved isotropic turbulence using SGS schemes </w:t>
      </w:r>
      <w:r w:rsidRPr="002C7DEC">
        <w:fldChar w:fldCharType="begin"/>
      </w:r>
      <w:r w:rsidR="00A44B66">
        <w:instrText xml:space="preserve"> ADDIN ZOTERO_ITEM CSL_CITATION {"citationID":"a28b6jgcbgf","properties":{"formattedCitation":"(Chow &amp; Street, 2009; Deardorff, 1980; Moeng &amp; Wyngaard, 1989; Shin &amp; Dudhia, 2016; Takemi &amp; Rotunno, 2003)","plainCitation":"(Chow &amp; Street, 2009; Deardorff, 1980; Moeng &amp; Wyngaard, 1989; Shin &amp; Dudhia, 2016; Takemi &amp; Rotunno, 2003)","noteIndex":0},"citationItems":[{"id":86,"uris":["http://zotero.org/users/7904379/items/RJXV6VDZ"],"itemData":{"id":86,"type":"article-journal","abstract":"&lt;section class=\"abstract\"&gt;&lt;h2 class=\"abstractTitle text-title my-1\" id=\"d1375e2\"&gt;Abstract&lt;/h2&gt;&lt;p&gt;Using the newly developed Weather Research and Forecasting (WRF) model, this study investigates the effects of subgrid mixing and numerical filtering in mesoscale cloud simulations by examining the sensitivities to the parameters in turbulence-closure schemes as well as the parameters in the numerical filters. Three-dimensional simulations of squall lines in both no-shear and strong-shear environments have been performed. Using the Smagorinsky or 1.5-order turbulent kinetic energy (TKE) subgrid model with standard values for the model constants and no explicit numerical filter, the solution in the no-shear environment is characterized by many poorly resolved grid-scale cells. In the past, such grid-scale noise was avoided by adding a numerical filter which, however, produces excessive damping of the physical small-scale eddies. Without using such a filter, it was found that by increasing the proportionality constant in the eddy viscosity coefficient in the subgrid turbulence models, the cells become well resolved, but that further increases in the constant overly smooth the cells. Such solution sensitivity is also found in the strong-shear cases. The simulations using the subgrid models with viscosity coefficients 1.5 to 2 times larger than those widely used in other cloud models retain more power in short scales, but without an unwanted buildup of energy; with these optimum values, no numerical filters are required to avoid computational noise. These optimum constants do not depend significantly on grid spacings of &lt;em&gt;O&lt;/em&gt;(1 km). Therefore, it is concluded that by using the eddy viscosity formulation appropriate for mesoscale cloud simulations, the use of artificial numerical filters is avoided, and the mixing processes are represented by more physically based turbulence-closure models.&lt;/p&gt;&lt;/section&gt;","container-title":"Monthly Weather Review","DOI":"10.1175/1520-0493(2003)131&lt;2085:TEOSMM&gt;2.0.CO;2","ISSN":"1520-0493, 0027-0644","issue":"9","language":"EN","note":"publisher: American Meteorological Society\nsection: Monthly Weather Review","page":"2085-2101","source":"journals.ametsoc.org","title":"The Effects of Subgrid Model Mixing and Numerical Filtering in Simulations of Mesoscale Cloud Systems","URL":"https://journals.ametsoc.org/view/journals/mwre/131/9/1520-0493_2003_131_2085_teosmm_2.0.co_2.xml","volume":"131","author":[{"family":"Takemi","given":"Tetsuya"},{"family":"Rotunno","given":"Richard"}],"accessed":{"date-parts":[["2021",3,25]]},"issued":{"date-parts":[["2003",9,1]]}}},{"id":94,"uris":["http://zotero.org/users/7904379/items/BRSB5VBD"],"itemData":{"id":94,"type":"article-journal","abstract":"Abstract\n            Planetary boundary layer (PBL) parameterizations in mesoscale models have been developed for horizontal resolutions that cannot resolve any turbulence in the PBL, and evaluation of these parameterizations has been focused on profiles of mean and parameterized flux. Meanwhile, the recent increase in computing power has been allowing numerical weather prediction (NWP) at horizontal grid spacings finer than 1 km, at which kilometer-scale large eddies in the convective PBL are partly resolvable. This study evaluates the performance of convective PBL parameterizations in the Weather Research and Forecasting (WRF) Model at subkilometer grid spacings. The evaluation focuses on resolved turbulence statistics, considering expectations for improvement in the resolved fields by using the fine meshes. The parameterizations include four nonlocal schemes—Yonsei University (YSU), asymmetric convective model 2 (ACM2), eddy diffusivity mass flux (EDMF), and total energy mass flux (TEMF)—and one local scheme, the Mellor–Yamada–Nakanishi–Niino (MYNN) level-2.5 model.\n            Key findings are as follows: 1) None of the PBL schemes is scale-aware. Instead, each has its own best performing resolution in parameterizing subgrid-scale (SGS) vertical transport and resolving eddies, and the resolution appears to be different between heat and momentum. 2) All the selected schemes reproduce total vertical heat transport well, as resolved transport compensates differences of the parameterized SGS transport from the reference SGS transport. This interaction between the resolved and SGS parts is not found in momentum. 3) Those schemes that more accurately reproduce one feature (e.g., thermodynamic transport, momentum transport, energy spectrum, or probability density function of resolved vertical velocity) do not necessarily perform well for other aspects.","container-title":"Monthly Weather Review","DOI":"10.1175/MWR-D-15-0208.1","ISSN":"0027-0644, 1520-0493","issue":"3","language":"en","page":"1161-1177","source":"DOI.org (Crossref)","title":"Evaluation of PBL Parameterizations in WRF at Subkilometer Grid Spacings: Turbulence Statistics in the Dry Convective Boundary Layer","title-short":"Evaluation of PBL Parameterizations in WRF at Subkilometer Grid Spacings","URL":"http://journals.ametsoc.org/doi/10.1175/MWR-D-15-0208.1","volume":"144","author":[{"family":"Shin","given":"Hyeyum Hailey"},{"family":"Dudhia","given":"Jimy"}],"accessed":{"date-parts":[["2021",3,25]]},"issued":{"date-parts":[["2016",3,1]]}}},{"id":11,"uris":["http://zotero.org/users/7904379/items/KM4JS3VV"],"itemData":{"id":11,"type":"article-journal","abstract":"Abstract\n            The evaluation of turbulence closure models for large-eddy simulation (LES) has primarily been performed over flat terrain, where comparisons with theory and observations are simplified. The authors have previously developed improved closure models using explicit filtering and reconstruction, together with a dynamic eddy-viscosity model and a near-wall stress term. This dynamic reconstruction model (DRM) is a mixed model, combining scale-similarity and eddy-viscosity components. The DRM gave improved results over standard eddy-viscosity models for neutral boundary layer flow over flat but rough terrain, yielding the expected logarithmic velocity profiles near the wall. The results from the studies over flat terrain are now extended to flow over full-scale topography. The test case is flow over Askervein Hill, an isolated hill in western Scotland, where a field campaign was conducted in 1983 with the purpose of capturing wind data representing atmospheric episodes under near-neutral stratification and steady wind conditions. This widely studied flow provides a more challenging test case for the new turbulence models because of the sloping terrain and separation in the lee of the hill. Since an LES formulation is used, a number of simulation features are different than those typically used in the Askervein literature. The simulations are inherently unsteady, the inflow conditions are provided by a separate turbulent flow database, and (uniquely herein) ensemble averages of the turbulent flow results are used in comparisons with field data. Results indicate that the DRM can improve the predictions of flow speedup and especially turbulent kinetic energy (TKE) over the hill when compared with the standard TKE-1.5 model. This is the first study, to the authors’ knowledge, in which explicit filtering and reconstruction (scale similarity) and dynamic turbulence models have been applied to full-scale simulations of the atmospheric boundary layer over terrain. Simulations with the lowest level of reconstruction are straightforward. Increased levels of reconstruction, however, present difficulties when used with a dynamic eddy-viscosity model. An alternative mixed model is proposed to avoid the complexities associated with the dynamic procedure and to allow higher levels of reconstruction; this mixed model combines a standard TKE-1.5 eddy-viscosity closure with velocity reconstruction to form a simple and efficient turbulence model that gives good results for both mean flow and turbulence over Askervein Hill. The results indicate that significant improvements in LES over complex terrain can be obtained by the use of mixed models that combine scale-similarity and eddy-viscosity components.","container-title":"Journal of Applied Meteorology and Climatology","DOI":"10.1175/2008JAMC1862.1","ISSN":"1558-8432, 1558-8424","issue":"5","language":"en","page":"1050-1065","source":"DOI.org (Crossref)","title":"Evaluation of Turbulence Closure Models for Large-Eddy Simulation over Complex Terrain: Flow over Askervein Hill","title-short":"Evaluation of Turbulence Closure Models for Large-Eddy Simulation over Complex Terrain","URL":"http://journals.ametsoc.org/doi/10.1175/2008JAMC1862.1","volume":"48","author":[{"family":"Chow","given":"Fotini Katopodes"},{"family":"Street","given":"Robert L."}],"accessed":{"date-parts":[["2021",3,25]]},"issued":{"date-parts":[["2009",5,1]]}}},{"id":377,"uris":["http://zotero.org/users/7904379/items/TSWWS6BB"],"itemData":{"id":377,"type":"article-journal","abstract":"Results of a three-dimensional numerical model are analysed in a study of turbulence and entrainment within mixed layers containing stratocumulus with or without parameterized cloud-top radiative cooling. The model eliminates most of the assumptions invoked in theories of cloud-capped mixed layers, but suffers disadvantages which include poor resolution and large truncation errors in and above the capping inversion.","container-title":"Boundary-Layer Meteorology","DOI":"10.1007/BF00119502","ISSN":"1573-1472","issue":"4","journalAbbreviation":"Boundary-Layer Meteorol","language":"en","page":"495-527","source":"Springer Link","title":"Stratocumulus-capped mixed layers derived from a three-dimensional model","URL":"https://doi.org/10.1007/BF00119502","volume":"18","author":[{"family":"Deardorff","given":"James W."}],"accessed":{"date-parts":[["2021",4,19]]},"issued":{"date-parts":[["1980",6,1]]}}},{"id":56,"uris":["http://zotero.org/users/7904379/items/NTDDB5N6"],"itemData":{"id":56,"type":"article-journal","abstract":"&lt;section class=\"abstract\"&gt;&lt;h2 class=\"abstractTitle text-title my-1\" id=\"d1252e2\"&gt;Abstract&lt;/h2&gt;&lt;p&gt;We show that the turbulence statistics from our (96)&lt;sup&gt;3&lt;/sup&gt; large-eddy-simulation (LES) studies of a convective boundary layer are in excellent agreement with those from the Deardorff–Willis laboratory convection tank. Using these LES data, we evaluate contemporary parameterizations for turbulent transport and dissipation in second-order closure models of the convective boundary layer. The gradient-diffusion parameterization for turbulent transport fares poorly, due in large part to the direct influence of buoyancy. This leads to poor predictions of the vertical profiles of some turbulence statistics. We also find that the characteristic length scales for the mechanical and thermal dissipation rates typically used in second-order closure models are a factor of 2–3 too small; this leads to underpredictions of turbulence kinetic energy levels. Finally, we find that the flux and variance budgets for conservative scalars are substantially different in top-down and bottom-up diffusion. In order to reproduce these differences accurately, it seems necessary to model the turbulent transport, pressure covariance, and molecular destruction terms differently in top-down and bottom-up diffusion.&lt;/p&gt;&lt;/section&gt;","container-title":"Journal of the Atmospheric Sciences","DOI":"10.1175/1520-0469(1989)046&lt;2311:EOTTAD&gt;2.0.CO;2","ISSN":"0022-4928, 1520-0469","issue":"14","language":"EN","note":"publisher: American Meteorological Society\nsection: Journal of the Atmospheric Sciences","page":"2311-2330","source":"journals.ametsoc.org","title":"Evaluation of Turbulent Transport and Dissipation Closures in Second-Order Modeling","URL":"https://journals.ametsoc.org/view/journals/atsc/46/14/1520-0469_1989_046_2311_eottad_2_0_co_2.xml","volume":"46","author":[{"family":"Moeng","given":"Chin-Hoh"},{"family":"Wyngaard","given":"John C."}],"accessed":{"date-parts":[["2021",3,25]]},"issued":{"date-parts":[["1989",7,15]]}}}],"schema":"https://github.com/citation-style-language/schema/raw/master/csl-citation.json"} </w:instrText>
      </w:r>
      <w:r w:rsidRPr="002C7DEC">
        <w:fldChar w:fldCharType="separate"/>
      </w:r>
      <w:r w:rsidR="00A44B66" w:rsidRPr="00A44B66">
        <w:t>(Chow &amp; Street, 2009; Deardorff, 1980; Moeng &amp; Wyngaard, 1989; Shin &amp; Dudhia, 2016; Takemi &amp; Rotunno, 2003)</w:t>
      </w:r>
      <w:r w:rsidRPr="002C7DEC">
        <w:fldChar w:fldCharType="end"/>
      </w:r>
      <w:bookmarkEnd w:id="40"/>
      <w:r w:rsidRPr="002C7DEC">
        <w:t xml:space="preserve">. </w:t>
      </w:r>
      <w:r w:rsidR="008975B4">
        <w:t>In fact</w:t>
      </w:r>
      <w:r w:rsidRPr="002C7DEC">
        <w:t>, different ranges of scales from microscale to mesoscale must be solved to obtain a complete representation of the superimposed physical mechanisms involved in the ABL process of C</w:t>
      </w:r>
      <w:r w:rsidR="00D62AB8">
        <w:rPr>
          <w:rFonts w:eastAsia="SimSun" w:hint="eastAsia"/>
          <w:lang w:eastAsia="zh-CN"/>
        </w:rPr>
        <w:t>C</w:t>
      </w:r>
      <w:r w:rsidRPr="002C7DEC">
        <w:t xml:space="preserve"> </w:t>
      </w:r>
      <w:r w:rsidR="00DE2288">
        <w:t>development</w:t>
      </w:r>
      <w:r w:rsidRPr="002C7DEC">
        <w:t>. However, in the coupling model domain configuration, there is a range of grid resolutions where certain processes are neither sub-grid nor resolved, the so-called “grey zone” or “</w:t>
      </w:r>
      <w:bookmarkStart w:id="41" w:name="_Hlk81118109"/>
      <w:r w:rsidRPr="002C7DEC">
        <w:t>terra incognita</w:t>
      </w:r>
      <w:bookmarkEnd w:id="41"/>
      <w:r w:rsidRPr="002C7DEC">
        <w:t xml:space="preserve">”. These domains may be considered either mesoscale using 1D PBL or microscale requiring LES strategy. The test experiment of </w:t>
      </w:r>
      <w:r w:rsidRPr="002C7DEC">
        <w:fldChar w:fldCharType="begin"/>
      </w:r>
      <w:r w:rsidR="00A44B66">
        <w:instrText xml:space="preserve"> ADDIN ZOTERO_ITEM CSL_CITATION {"citationID":"a149p5f8phj","properties":{"formattedCitation":"(Talbot et al., 2012)","plainCitation":"(Talbot et al., 2012)","noteIndex":0},"citationItems":[{"id":72,"uris":["http://zotero.org/users/7904379/items/LEVUMHVU"],"itemData":{"id":72,"type":"article-journal","abstract":"&lt;section class=\"abstract\"&gt;&lt;h2 class=\"abstractTitle text-title my-1\" id=\"d5e2\"&gt;Abstract&lt;/h2&gt;&lt;p&gt;This paper assesses the performance of the Weather Research and Forecasting Model (WRF) as a tool for multiscale atmospheric simulations. Tests are performed in real and idealized cases with multiple configurations and with resolutions ranging from the mesoscale (gridcell size ~10 km) for the real cases to local scales (gridcell size ~50 m) for both real and idealized cases. All idealized simulations and the finest real-case simulations use the turbulence-resolving large-eddy simulation mode of WRF (WRF-LES). Tests in neutral conditions and with idealized forcing are first performed to assess the model’s sensitivity to grid resolutions and subgrid-scale parameterizations and to optimize the setup of the real cases. An increase in horizontal model resolution is found to be more beneficial than an increase in vertical resolution. WRF-LES is then tested, using extensive observational data, in real-world cases over complex terrain through nested simulations in which the mesoscale domains drive the LES domains. Analysis of the mesoscale simulations indicates that the data needed to force the largest simulated domain and to initialize surface parameters have the strongest influence on the results. Similarly, LES model fields are primarily influenced by their mesoscale meteorological forcing. As a result, the nesting of LES models down to a 50-m resolution does not improve all aspects of hydrometeorological predictions. Advantages of using fine-resolution LES are noted at nighttime (under stable conditions) and over heterogeneous surfaces when local properties are required or when resolving small-scale surface features is desirable.&lt;/p&gt;&lt;/section&gt;","container-title":"Journal of Hydrometeorology","DOI":"10.1175/JHM-D-11-048.1","ISSN":"1525-7541, 1525-755X","issue":"5","language":"EN","note":"publisher: American Meteorological Society\nsection: Journal of Hydrometeorology","page":"1421-1441","source":"journals.ametsoc.org","title":"Nested Mesoscale Large-Eddy Simulations with WRF: Performance in Real Test Cases","title-short":"Nested Mesoscale Large-Eddy Simulations with WRF","URL":"https://journals.ametsoc.org/view/journals/hydr/13/5/jhm-d-11-048_1.xml","volume":"13","author":[{"family":"Talbot","given":"Charles"},{"family":"Bou-Zeid","given":"Elie"},{"family":"Smith","given":"Jim"}],"accessed":{"date-parts":[["2021",3,25]]},"issued":{"date-parts":[["2012",10,1]]}}}],"schema":"https://github.com/citation-style-language/schema/raw/master/csl-citation.json"} </w:instrText>
      </w:r>
      <w:r w:rsidRPr="002C7DEC">
        <w:fldChar w:fldCharType="separate"/>
      </w:r>
      <w:r w:rsidR="00A44B66" w:rsidRPr="00A44B66">
        <w:t>(Talbot et al., 2012)</w:t>
      </w:r>
      <w:r w:rsidRPr="002C7DEC">
        <w:fldChar w:fldCharType="end"/>
      </w:r>
      <w:r w:rsidRPr="002C7DEC">
        <w:t xml:space="preserve"> successfully used </w:t>
      </w:r>
      <m:oMath>
        <m:sSub>
          <m:sSubPr>
            <m:ctrlPr>
              <w:rPr>
                <w:rFonts w:ascii="Cambria Math" w:hAnsi="Cambria Math"/>
                <w:i/>
              </w:rPr>
            </m:ctrlPr>
          </m:sSubPr>
          <m:e>
            <m:r>
              <w:rPr>
                <w:rFonts w:ascii="Cambria Math" w:hAnsi="Cambria Math"/>
              </w:rPr>
              <m:t>D0</m:t>
            </m:r>
          </m:e>
          <m:sub>
            <m:r>
              <w:rPr>
                <w:rFonts w:ascii="Cambria Math" w:hAnsi="Cambria Math"/>
              </w:rPr>
              <m:t>i=4</m:t>
            </m:r>
          </m:sub>
        </m:sSub>
      </m:oMath>
      <w:r w:rsidRPr="002C7DEC">
        <w:t>= 450m for LES runs of the ABL.</w:t>
      </w:r>
      <w:bookmarkEnd w:id="39"/>
      <w:r w:rsidRPr="002C7DEC">
        <w:t xml:space="preserve"> This study increased the resolution for </w:t>
      </w:r>
      <m:oMath>
        <m:sSub>
          <m:sSubPr>
            <m:ctrlPr>
              <w:rPr>
                <w:rFonts w:ascii="Cambria Math" w:hAnsi="Cambria Math"/>
                <w:i/>
              </w:rPr>
            </m:ctrlPr>
          </m:sSubPr>
          <m:e>
            <m:r>
              <w:rPr>
                <w:rFonts w:ascii="Cambria Math" w:hAnsi="Cambria Math"/>
              </w:rPr>
              <m:t>D0</m:t>
            </m:r>
          </m:e>
          <m:sub>
            <m:r>
              <w:rPr>
                <w:rFonts w:ascii="Cambria Math" w:hAnsi="Cambria Math"/>
              </w:rPr>
              <m:t>i=4</m:t>
            </m:r>
          </m:sub>
        </m:sSub>
      </m:oMath>
      <w:r w:rsidRPr="002C7DEC">
        <w:t>, be closer to the LES standard.</w:t>
      </w:r>
    </w:p>
    <w:p w14:paraId="39D384E9" w14:textId="04C3D426" w:rsidR="00722877" w:rsidRPr="00886A19" w:rsidRDefault="00722877" w:rsidP="00052F10">
      <w:pPr>
        <w:ind w:firstLine="540"/>
        <w:rPr>
          <w:rFonts w:eastAsia="SimSun"/>
          <w:lang w:eastAsia="zh-CN"/>
        </w:rPr>
      </w:pPr>
      <w:r w:rsidRPr="002C7DEC">
        <w:t>Our study focused on ABL processes of C</w:t>
      </w:r>
      <w:r w:rsidR="00D62AB8">
        <w:rPr>
          <w:rFonts w:eastAsia="SimSun" w:hint="eastAsia"/>
          <w:lang w:eastAsia="zh-CN"/>
        </w:rPr>
        <w:t>C</w:t>
      </w:r>
      <w:r w:rsidRPr="002C7DEC">
        <w:t xml:space="preserve"> development on July 19, 2014</w:t>
      </w:r>
      <w:r w:rsidR="00D0112C">
        <w:rPr>
          <w:rFonts w:eastAsia="SimSun" w:hint="eastAsia"/>
          <w:lang w:eastAsia="zh-CN"/>
        </w:rPr>
        <w:t>.</w:t>
      </w:r>
      <w:r w:rsidRPr="002C7DEC">
        <w:t xml:space="preserve"> </w:t>
      </w:r>
      <w:r w:rsidR="00D0112C">
        <w:rPr>
          <w:rFonts w:eastAsia="SimSun" w:hint="eastAsia"/>
          <w:lang w:eastAsia="zh-CN"/>
        </w:rPr>
        <w:t>H</w:t>
      </w:r>
      <w:r w:rsidRPr="002C7DEC">
        <w:t xml:space="preserve">owever, all simulations were performed over 72 hours from July 17 to 20, 2014. </w:t>
      </w:r>
      <w:bookmarkStart w:id="42" w:name="_Hlk52904642"/>
      <w:r w:rsidRPr="002C7DEC">
        <w:t xml:space="preserve">This is because TP is </w:t>
      </w:r>
      <w:r w:rsidR="00F677EB">
        <w:t xml:space="preserve">at </w:t>
      </w:r>
      <w:r w:rsidRPr="002C7DEC">
        <w:t xml:space="preserve">a very high </w:t>
      </w:r>
      <w:r w:rsidR="00F677EB">
        <w:t xml:space="preserve">altitude </w:t>
      </w:r>
      <w:r w:rsidRPr="002C7DEC">
        <w:t xml:space="preserve">and </w:t>
      </w:r>
      <w:r w:rsidR="00CE20D6">
        <w:t xml:space="preserve">has </w:t>
      </w:r>
      <w:r w:rsidRPr="002C7DEC">
        <w:t xml:space="preserve">complex </w:t>
      </w:r>
      <w:r w:rsidR="00CE20D6">
        <w:t>orography</w:t>
      </w:r>
      <w:r w:rsidRPr="002C7DEC">
        <w:t>, which cause</w:t>
      </w:r>
      <w:r w:rsidR="00F677EB">
        <w:t>s</w:t>
      </w:r>
      <w:r w:rsidRPr="002C7DEC">
        <w:t xml:space="preserve"> the model to be statically unstable</w:t>
      </w:r>
      <w:bookmarkEnd w:id="42"/>
      <w:r w:rsidRPr="002C7DEC">
        <w:t xml:space="preserve">. Therefore, </w:t>
      </w:r>
      <w:r w:rsidR="003C560E">
        <w:t xml:space="preserve">after several text experiments, </w:t>
      </w:r>
      <w:r w:rsidRPr="002C7DEC">
        <w:t xml:space="preserve">this study assumed that 24 hours </w:t>
      </w:r>
      <w:r w:rsidR="00CE20D6">
        <w:t>are</w:t>
      </w:r>
      <w:r w:rsidRPr="002C7DEC">
        <w:t xml:space="preserve"> enough to assess the effect of the model’s spin-up during model domain initialization. The history interval was set to 15 minutes to create high time resolution data</w:t>
      </w:r>
      <w:r w:rsidR="003C560E">
        <w:t>. W</w:t>
      </w:r>
      <w:r w:rsidRPr="002C7DEC">
        <w:t>e record</w:t>
      </w:r>
      <w:r w:rsidR="003C560E">
        <w:t>ed</w:t>
      </w:r>
      <w:r w:rsidRPr="002C7DEC">
        <w:t xml:space="preserve"> </w:t>
      </w:r>
      <w:r w:rsidR="00FC7248">
        <w:t>48 hours</w:t>
      </w:r>
      <w:r w:rsidRPr="002C7DEC">
        <w:t xml:space="preserve"> series </w:t>
      </w:r>
      <w:r w:rsidR="00FC7248">
        <w:t>(</w:t>
      </w:r>
      <w:r w:rsidR="003C560E" w:rsidRPr="003C560E">
        <w:t xml:space="preserve">from day 2 to day 3) </w:t>
      </w:r>
      <w:r w:rsidRPr="002C7DEC">
        <w:t>for model evaluation</w:t>
      </w:r>
      <w:r w:rsidR="00D62AB8">
        <w:rPr>
          <w:rFonts w:eastAsia="SimSun" w:hint="eastAsia"/>
          <w:lang w:eastAsia="zh-CN"/>
        </w:rPr>
        <w:t>.</w:t>
      </w:r>
    </w:p>
    <w:p w14:paraId="029EB232" w14:textId="39D6ED4E" w:rsidR="00722877" w:rsidRPr="002C7DEC" w:rsidRDefault="00722877" w:rsidP="00052F10">
      <w:pPr>
        <w:ind w:firstLine="540"/>
      </w:pPr>
      <w:r w:rsidRPr="002C7DEC">
        <w:t>The traditional United States Geological Survey dataset (USGS) collected from 1992 to 1993 was applied to account for the influence of terrain and its related water bodies on WRF-LES surface heat fluxes and meteorological variables. This study selected USGS 30 arc-second (~900 m) Details on the data are given at the USGS website (</w:t>
      </w:r>
      <w:hyperlink r:id="rId20" w:history="1">
        <w:r w:rsidRPr="002C7DEC">
          <w:rPr>
            <w:rStyle w:val="Hyperlink"/>
          </w:rPr>
          <w:t>http://www.usgs.gov/</w:t>
        </w:r>
      </w:hyperlink>
      <w:r w:rsidRPr="002C7DEC">
        <w:t xml:space="preserve">). </w:t>
      </w:r>
      <w:r w:rsidRPr="002C7DEC">
        <w:fldChar w:fldCharType="begin"/>
      </w:r>
      <w:r w:rsidR="00C62A9A">
        <w:instrText xml:space="preserve"> ADDIN ZOTERO_ITEM CSL_CITATION {"citationID":"Vv9xa8ch","properties":{"formattedCitation":"(Liu et al., 2020)","plainCitation":"(Liu et al., 2020)","dontUpdate":true,"noteIndex":0},"citationItems":[{"id":381,"uris":["http://zotero.org/users/7904379/items/95QS9UH3"],"itemData":{"id":381,"type":"article-journal","abstract":"&lt;section class=\"abstract\"&gt;&lt;h2 class=\"abstractTitle text-title my-1\" id=\"d1742e2\"&gt;Abstract&lt;/h2&gt;&lt;p&gt;A multiscale modeling study of a real case has been conducted to explore the capability of the large-eddy simulation version of the Weather Research and Forecasting Model (WRF-LES) over Xiaohaituo Mountain (a game zone for the Beijing, China, 2022 Winter Olympic Games). In comparing WRF-LES results with observations collected during the Mountain Terrain Atmospheric Observations and Modeling (MOUNTAOM) field campaign, it is found that at 37-m resolution with LES settings, the model can reasonably capture both large-scale events and microscale atmospheric circulation characteristics. Employing the Shuttle Radar Topography Mission 1 arc s dataset (SRTM1; ~30 m) high-resolution topographic dataset instead of the traditional USGS_30s (~900 m) dataset effectively improves the model capability for reproducing fluctuations and turbulent features of surface winds. Five sensitivity experiments are conducted to investigate the impact of different PBL treatments, including YSU/Shin and Hong (SH) PBL schemes and LES with 1.5-order turbulence kinetic energy closure model (1.5TKE), Smagorinsky (SMAG), and nonlinear backscatter and anisotropy (NBA) subgrid-scale (SGS) stress models. In this case, at gray-zone scales, differences between YSU and SH are negligible. LES outperform two PBL schemes that generate smaller turbulence kinetic energy and increase the model errors for mean wind speed, energy spectra, and probability density functions of velocity. Another key finding is that wind field features in the boundary layer over complex terrain are more sensitive to the choice of SGS models than above the boundary layer. With the increase of model resolution, the effects of the SGS model become more significant, especially for the statistical characteristics of turbulence. Among these three SGS models, NBA has the best performance. Overall, this study demonstrates that WRF-LES is a promising tool for simulating real weather flows over complex terrain.&lt;/p&gt;&lt;/section&gt;","container-title":"Journal of Applied Meteorology and Climatology","DOI":"10.1175/JAMC-D-19-0304.1","ISSN":"1558-8424, 1558-8432","issue":"9","language":"EN","note":"publisher: American Meteorological Society\nsection: Journal of Applied Meteorology and Climatology","page":"1481-1501","source":"journals.ametsoc.org","title":"Simulation of Flow Fields in Complex Terrain with WRF-LES: Sensitivity Assessment of Different PBL Treatments","title-short":"Simulation of Flow Fields in Complex Terrain with WRF-LES","URL":"https://journals.ametsoc.org/view/journals/apme/59/9/jamcD190304.xml","volume":"59","author":[{"family":"Liu","given":"Yubao"},{"family":"Muñoz-Esparza","given":"Domingo"},{"family":"Hu","given":"Fei"},{"family":"Yan","given":"Chao"},{"family":"Miao","given":"Shiguang"}],"accessed":{"date-parts":[["2021",4,20]]},"issued":{"date-parts":[["2020",9,18]]}}}],"schema":"https://github.com/citation-style-language/schema/raw/master/csl-citation.json"} </w:instrText>
      </w:r>
      <w:r w:rsidRPr="002C7DEC">
        <w:fldChar w:fldCharType="separate"/>
      </w:r>
      <w:r w:rsidR="004C506E" w:rsidRPr="004C506E">
        <w:t xml:space="preserve">Liu et al., </w:t>
      </w:r>
      <w:r w:rsidR="004C506E">
        <w:t>(</w:t>
      </w:r>
      <w:r w:rsidR="004C506E" w:rsidRPr="004C506E">
        <w:t>2020)</w:t>
      </w:r>
      <w:r w:rsidRPr="002C7DEC">
        <w:fldChar w:fldCharType="end"/>
      </w:r>
      <w:r w:rsidRPr="00477145">
        <w:t xml:space="preserve"> </w:t>
      </w:r>
      <w:r w:rsidR="004C506E">
        <w:t xml:space="preserve">and </w:t>
      </w:r>
      <w:r w:rsidR="004C506E">
        <w:fldChar w:fldCharType="begin"/>
      </w:r>
      <w:r w:rsidR="00EC3304">
        <w:instrText xml:space="preserve"> ADDIN ZOTERO_ITEM CSL_CITATION {"citationID":"N0s8eHjZ","properties":{"formattedCitation":"(Sertel et al., 2010)","plainCitation":"(Sertel et al., 2010)","dontUpdate":true,"noteIndex":0},"citationItems":[{"id":420,"uris":["http://zotero.org/users/7904379/items/G2V9YICL"],"itemData":{"id":420,"type":"article-journal","abstract":"The land surface influences local, regional and global climate across many time scales. Accurate representation of land surfaces is an important factor for climate modelling studies because land surfaces control the partitioning of available energy and water. Here we introduce new, up-to-date and accurate land cover data for the Marmara Region, Turkey derived from Landsat Enhanced Thematic Mapper (ETM+) images into the Weather Research and Forecasting (WRF) model. We used several image processing techniques to create accurate land cover data from Landsat sensor images obtained between 2001 and 2005. By comparing the new land cover data with the default WRF land cover data, we found that there are two types of error in WRF land cover data that caused misrepresentation of the study region. WRF uses Global Land Cover Characteristics (GLCC) data created from images acquired during 1992 and 1993 and it does not reflect current land cover. And the GLCC includes misclassifications. As a result of these errors, GLCC data do not represent urban areas in the cities of Istanbul, Izmit and Bursa and there are spectral mixing problems between classes, e.g. croplands, urban areas and forests. We used WRF land cover and our new land cover data to conduct numerical simulations. Using meteorological station data within the study area, we found that simulation with the new land cover dataset produces more accurate temperature simulations for the region, thus demonstrating the importance of accurate land cover data. Copyright © 2009 Royal Meteorological Society","container-title":"International Journal of Climatology","DOI":"https://doi.org/10.1002/joc.2036","ISSN":"1097-0088","issue":"13","language":"en","note":"_eprint: https://rmets.onlinelibrary.wiley.com/doi/pdf/10.1002/joc.2036","page":"1942-1953","source":"Wiley Online Library","title":"Impacts of land cover data quality on regional climate simulations","URL":"https://rmets.onlinelibrary.wiley.com/doi/abs/10.1002/joc.2036","volume":"30","author":[{"family":"Sertel","given":"Elif"},{"family":"Robock","given":"Alan"},{"family":"Ormeci","given":"Cankut"}],"accessed":{"date-parts":[["2021",4,26]]},"issued":{"date-parts":[["2010"]]}}}],"schema":"https://github.com/citation-style-language/schema/raw/master/csl-citation.json"} </w:instrText>
      </w:r>
      <w:r w:rsidR="004C506E">
        <w:fldChar w:fldCharType="separate"/>
      </w:r>
      <w:r w:rsidR="00CC154F" w:rsidRPr="00CC154F">
        <w:t xml:space="preserve">Sertel et al., </w:t>
      </w:r>
      <w:r w:rsidR="00CC154F">
        <w:t>(</w:t>
      </w:r>
      <w:r w:rsidR="00CC154F" w:rsidRPr="00CC154F">
        <w:t>2010)</w:t>
      </w:r>
      <w:r w:rsidR="004C506E">
        <w:fldChar w:fldCharType="end"/>
      </w:r>
      <w:r w:rsidR="00CC154F">
        <w:t xml:space="preserve"> </w:t>
      </w:r>
      <w:r w:rsidRPr="00477145">
        <w:t xml:space="preserve">demonstrate that the use of the default WRF dataset may cause misrepresentation of the study region, while, there are spectral mixing problems between classes in land use. </w:t>
      </w:r>
      <w:r w:rsidRPr="002C7DEC">
        <w:t xml:space="preserve">Therefore, this study </w:t>
      </w:r>
      <w:r w:rsidR="00CA486F">
        <w:t>tested</w:t>
      </w:r>
      <w:r w:rsidRPr="002C7DEC">
        <w:t xml:space="preserve"> the high-resolution Shuttle Radar Topography Mission (SRTM) dataset, 3 arc-second (</w:t>
      </w:r>
      <m:oMath>
        <m:r>
          <w:rPr>
            <w:rFonts w:ascii="Cambria Math" w:hAnsi="Cambria Math"/>
          </w:rPr>
          <m:t>~90m</m:t>
        </m:r>
      </m:oMath>
      <w:r w:rsidRPr="002C7DEC">
        <w:t>) for comparison with USGS dataset</w:t>
      </w:r>
      <w:r w:rsidR="00715C24">
        <w:t xml:space="preserve"> (Not shown)</w:t>
      </w:r>
      <w:r w:rsidRPr="002C7DEC">
        <w:t>. The data can be download</w:t>
      </w:r>
      <w:r w:rsidR="00D62AB8">
        <w:rPr>
          <w:rFonts w:eastAsia="SimSun" w:hint="eastAsia"/>
          <w:lang w:eastAsia="zh-CN"/>
        </w:rPr>
        <w:t>ed</w:t>
      </w:r>
      <w:r w:rsidRPr="002C7DEC">
        <w:t xml:space="preserve"> at (</w:t>
      </w:r>
      <w:hyperlink r:id="rId21" w:history="1">
        <w:r w:rsidRPr="002C7DEC">
          <w:rPr>
            <w:rStyle w:val="Hyperlink"/>
          </w:rPr>
          <w:t>http://www2.jpl.nasa.gov/srtm/</w:t>
        </w:r>
      </w:hyperlink>
      <w:r w:rsidRPr="002C7DEC">
        <w:t xml:space="preserve">). However, </w:t>
      </w:r>
      <w:r w:rsidR="00F677EB">
        <w:t>there needed to be</w:t>
      </w:r>
      <w:r w:rsidRPr="002C7DEC">
        <w:t xml:space="preserve"> no improvement with SRTM dataset. </w:t>
      </w:r>
      <w:r w:rsidR="00CA6329">
        <w:t xml:space="preserve">Some </w:t>
      </w:r>
      <w:r w:rsidRPr="002C7DEC">
        <w:t xml:space="preserve">simulation results can be seen in </w:t>
      </w:r>
      <w:r w:rsidR="00B12372">
        <w:t xml:space="preserve">Figure 1 of </w:t>
      </w:r>
      <w:r w:rsidRPr="002C7DEC">
        <w:t>the supplementary file.</w:t>
      </w:r>
      <w:bookmarkEnd w:id="34"/>
      <w:bookmarkEnd w:id="35"/>
      <w:bookmarkEnd w:id="36"/>
    </w:p>
    <w:p w14:paraId="1D26C996" w14:textId="2AF4E24C" w:rsidR="00722877" w:rsidRPr="002C7DEC" w:rsidRDefault="00722877" w:rsidP="00052F10">
      <w:pPr>
        <w:ind w:firstLine="540"/>
      </w:pPr>
      <w:r w:rsidRPr="002C7DEC">
        <w:t>Initial and lateral boundary conditions were generated from the National Centers for Environmental Prediction (NCEP) Final Analysis (FNL) derived from the Global Forecast System (GFS) and were accessed on September</w:t>
      </w:r>
      <w:r w:rsidR="00741DDB">
        <w:t xml:space="preserve"> 05,</w:t>
      </w:r>
      <w:r w:rsidRPr="002C7DEC">
        <w:t xml:space="preserve"> 2019. FNL data have a resolution of 1° x 1° grids at six-hourly time steps with 26 vertical levels from 10 to 10</w:t>
      </w:r>
      <w:r w:rsidR="00FC7248">
        <w:t>00</w:t>
      </w:r>
      <w:r w:rsidRPr="002C7DEC">
        <w:t xml:space="preserve"> hPa of isobaric surface data and can be downloaded at </w:t>
      </w:r>
      <w:hyperlink r:id="rId22" w:history="1">
        <w:r w:rsidRPr="002C7DEC">
          <w:rPr>
            <w:rStyle w:val="Hyperlink"/>
            <w:bCs/>
          </w:rPr>
          <w:t>https://doi.org/10.5065/D6M043C6</w:t>
        </w:r>
      </w:hyperlink>
      <w:r w:rsidRPr="002C7DEC">
        <w:t>.</w:t>
      </w:r>
    </w:p>
    <w:p w14:paraId="7410336B" w14:textId="598CEB1B" w:rsidR="00722877" w:rsidRPr="002C7DEC" w:rsidRDefault="00722877" w:rsidP="008E31C7">
      <w:pPr>
        <w:pStyle w:val="Heading3"/>
        <w:numPr>
          <w:ilvl w:val="2"/>
          <w:numId w:val="27"/>
        </w:numPr>
        <w:ind w:left="540"/>
      </w:pPr>
      <w:r w:rsidRPr="002C7DEC">
        <w:t>Flow Parameterization Options</w:t>
      </w:r>
    </w:p>
    <w:p w14:paraId="259D3092" w14:textId="050635B9" w:rsidR="00722877" w:rsidRDefault="00722877" w:rsidP="00052F10">
      <w:pPr>
        <w:ind w:firstLine="540"/>
      </w:pPr>
      <w:r w:rsidRPr="002C7DEC">
        <w:t xml:space="preserve">This section gives details of the parameterization schemes used in this study and describes the experimental design. It also presents the </w:t>
      </w:r>
      <w:r w:rsidR="00715C24">
        <w:t>one-way nest</w:t>
      </w:r>
      <w:r w:rsidR="006277A0">
        <w:t>ing</w:t>
      </w:r>
      <w:r w:rsidR="00715C24">
        <w:t xml:space="preserve"> </w:t>
      </w:r>
      <w:r w:rsidRPr="002C7DEC">
        <w:t xml:space="preserve">strategy </w:t>
      </w:r>
      <w:r w:rsidR="00715C24">
        <w:t>that</w:t>
      </w:r>
      <w:r w:rsidRPr="002C7DEC">
        <w:t xml:space="preserve"> coupl</w:t>
      </w:r>
      <w:r w:rsidR="00715C24">
        <w:t>ed</w:t>
      </w:r>
      <w:r w:rsidRPr="002C7DEC">
        <w:t xml:space="preserve"> mesoscale simulations </w:t>
      </w:r>
      <w:r w:rsidR="00F677EB">
        <w:t>with</w:t>
      </w:r>
      <w:r w:rsidR="00F677EB" w:rsidRPr="002C7DEC">
        <w:t xml:space="preserve"> </w:t>
      </w:r>
      <w:r w:rsidRPr="002C7DEC">
        <w:t xml:space="preserve">microscale one. </w:t>
      </w:r>
      <w:r w:rsidRPr="00BD3C52">
        <w:t>Table 3 summarizes the parameterization options.</w:t>
      </w:r>
      <w:r w:rsidRPr="002C7DEC">
        <w:t xml:space="preserve"> As shown in Table 3, </w:t>
      </w:r>
      <w:bookmarkStart w:id="43" w:name="_Hlk69854874"/>
      <w:r w:rsidR="00715C24">
        <w:t xml:space="preserve">the </w:t>
      </w:r>
      <w:r w:rsidRPr="002C7DEC">
        <w:t>coupled land</w:t>
      </w:r>
      <w:r w:rsidR="00F677EB">
        <w:t>-</w:t>
      </w:r>
      <w:r w:rsidRPr="002C7DEC">
        <w:t xml:space="preserve">atmosphere fluxes </w:t>
      </w:r>
      <w:r w:rsidR="00937805">
        <w:rPr>
          <w:rFonts w:eastAsia="SimSun" w:hint="eastAsia"/>
          <w:lang w:eastAsia="zh-CN"/>
        </w:rPr>
        <w:t>were</w:t>
      </w:r>
      <w:r w:rsidRPr="002C7DEC">
        <w:t xml:space="preserve"> computed using the Unified Noah Land Surface </w:t>
      </w:r>
      <w:r w:rsidRPr="002C7DEC">
        <w:lastRenderedPageBreak/>
        <w:t>Model</w:t>
      </w:r>
      <w:bookmarkEnd w:id="43"/>
      <w:r w:rsidRPr="002C7DEC">
        <w:t xml:space="preserve"> </w:t>
      </w:r>
      <w:r w:rsidRPr="002C7DEC">
        <w:fldChar w:fldCharType="begin"/>
      </w:r>
      <w:r w:rsidR="00A44B66">
        <w:instrText xml:space="preserve"> ADDIN ZOTERO_ITEM CSL_CITATION {"citationID":"afqvr4eonh","properties":{"formattedCitation":"(Niu et al., 2011; Z.-L. Yang et al., 2011)","plainCitation":"(Niu et al., 2011; Z.-L. Yang et al., 2011)","noteIndex":0},"citationItems":[{"id":59,"uris":["http://zotero.org/users/7904379/items/D59KT63Q"],"itemData":{"id":59,"type":"article-journal","container-title":"Journal of Geophysical Research","DOI":"10.1029/2010JD015139","ISSN":"0148-0227","issue":"D12","journalAbbreviation":"J. Geophys. Res.","language":"en","page":"D12109","source":"DOI.org (Crossref)","title":"The community Noah land surface model with multiparameterization options (Noah-MP): 1. Model description and evaluation with local-scale measurements","title-short":"The community Noah land surface model with multiparameterization options (Noah-MP)","URL":"http://doi.wiley.com/10.1029/2010JD015139","volume":"116","author":[{"family":"Niu","given":"Guo-Yue"},{"family":"Yang","given":"Zong-Liang"},{"family":"Mitchell","given":"Kenneth E."},{"family":"Chen","given":"Fei"},{"family":"Ek","given":"Michael B."},{"family":"Barlage","given":"Michael"},{"family":"Kumar","given":"Anil"},{"family":"Manning","given":"Kevin"},{"family":"Niyogi","given":"Dev"},{"family":"Rosero","given":"Enrique"},{"family":"Tewari","given":"Mukul"},{"family":"Xia","given":"Youlong"}],"accessed":{"date-parts":[["2021",3,25]]},"issued":{"date-parts":[["2011",6,24]]}}},{"id":80,"uris":["http://zotero.org/users/7904379/items/6AY2A3TR"],"itemData":{"id":80,"type":"article-journal","container-title":"Journal of Geophysical Research","DOI":"10.1029/2010JD015140","ISSN":"0148-0227","issue":"D12","journalAbbreviation":"J. Geophys. Res.","language":"en","page":"D12110","source":"DOI.org (Crossref)","title":"The community Noah land surface model with multiparameterization options (Noah-MP): 2. Evaluation over global river basins","title-short":"The community Noah land surface model with multiparameterization options (Noah-MP)","URL":"http://doi.wiley.com/10.1029/2010JD015140","volume":"116","author":[{"family":"Yang","given":"Zong-Liang"},{"family":"Niu","given":"Guo-Yue"},{"family":"Mitchell","given":"Kenneth E."},{"family":"Chen","given":"Fei"},{"family":"Ek","given":"Michael B."},{"family":"Barlage","given":"Michael"},{"family":"Longuevergne","given":"Laurent"},{"family":"Manning","given":"Kevin"},{"family":"Niyogi","given":"Dev"},{"family":"Tewari","given":"Mukul"},{"family":"Xia","given":"Youlong"}],"accessed":{"date-parts":[["2021",3,25]]},"issued":{"date-parts":[["2011",6,24]]}}}],"schema":"https://github.com/citation-style-language/schema/raw/master/csl-citation.json"} </w:instrText>
      </w:r>
      <w:r w:rsidRPr="002C7DEC">
        <w:fldChar w:fldCharType="separate"/>
      </w:r>
      <w:r w:rsidR="00EC3304" w:rsidRPr="00EC3304">
        <w:t>(Niu et al., 2011; Z.-L. Yang et al., 2011)</w:t>
      </w:r>
      <w:r w:rsidRPr="002C7DEC">
        <w:fldChar w:fldCharType="end"/>
      </w:r>
      <w:r w:rsidRPr="002C7DEC">
        <w:t xml:space="preserve">. Surface boundary conditions used Monin–Obukhov logarithmic similarity theory to prescribe fluxes of heat, moisture, and momentum </w:t>
      </w:r>
      <w:r w:rsidRPr="002C7DEC">
        <w:fldChar w:fldCharType="begin"/>
      </w:r>
      <w:r w:rsidR="00A44B66">
        <w:instrText xml:space="preserve"> ADDIN ZOTERO_ITEM CSL_CITATION {"citationID":"a24qvecnoe2","properties":{"formattedCitation":"(Chen et al., 1997; van den Hurk &amp; Holtslag, 1997; Jim\\uc0\\u233{}nez et al., 2012)","plainCitation":"(Chen et al., 1997; van den Hurk &amp; Holtslag, 1997; Jiménez et al., 2012)","noteIndex":0},"citationItems":[{"id":95,"uris":["http://zotero.org/users/7904379/items/586WLGQ9"],"itemData":{"id":95,"type":"article-journal","abstract":"&lt;section class=\"abstract\"&gt;&lt;h2 class=\"abstractTitle text-title my-1\" id=\"d793e2\"&gt;Abstract&lt;/h2&gt;&lt;p&gt;In the Project for Intercomparison of Land-Surface Parameterization Schemes phase 2a experiment, meteorological data for the year 1987 from Cabauw, the Netherlands, were used as inputs to 23 land-surface flux schemes designed for use in climate and weather models. Schemes were evaluated by comparing their outputs with long-term measurements of surface sensible heat fluxes into the atmosphere and the ground, and of upward longwave radiation and total net radiative fluxes, and also comparing them with latent heat fluxes derived from a surface energy balance. Tuning of schemes by use of the observed flux data was not permitted. On an annual basis, the predicted surface radiative temperature exhibits a range of 2 K across schemes, consistent with the range of about 10 W m&lt;sup&gt;−2&lt;/sup&gt; in predicted surface net radiation. Most modeled values of monthly net radiation differ from the observations by less than the estimated maximum monthly observational error (±10 W m&lt;sup&gt;−2&lt;/sup&gt;). However, modeled radiative surface temperature appears to have a systematic positive bias in most schemes; this might be explained by an error in assumed emissivity and by models’ neglect of canopy thermal heterogeneity. Annual means of sensible and latent heat fluxes, into which net radiation is partitioned, have ranges across schemes of30 W m&lt;sup&gt;−2&lt;/sup&gt; and 25 W m&lt;sup&gt;−2&lt;/sup&gt;, respectively. Annual totals of evapotranspiration and runoff, into which the precipitation is partitioned, both have ranges of 315 mm. These ranges in annual heat and water fluxes were approximately halved upon exclusion of the three schemes that have no stomatal resistance under non-water-stressed conditions. Many schemes tend to underestimate latent heat flux and overestimate sensible heat flux in summer, with a reverse tendency in winter. For six schemes, root-mean-square deviations of predictions from monthly observations are less than the estimated upper bounds on observation errors (5 W m&lt;sup&gt;−2&lt;/sup&gt; for sensible heat flux and 10 W m&lt;sup&gt;−2&lt;/sup&gt; for latent heat flux). Actual runoff at the site is believed to be dominated by vertical drainage to groundwater, but several schemes produced significant amounts of runoff as overland flow or interflow. There is a range across schemes of 184 mm (40% of total pore volume) in the simulated annual mean root-zone soil moisture. Unfortunately, no measurements of soil moisture were available for model evaluation. A theoretical analysis suggested that differences in boundary conditions used in various schemes are not sufficient to explain the large variance in soil moisture. However, many of the extreme values of soil moisture could be explained in terms of the particulars of experimental setup or excessive evapotranspiration.&lt;/p&gt;&lt;/section&gt;","container-title":"Journal of Climate","DOI":"10.1175/1520-0442(1997)010&lt;1194:CERFTP&gt;2.0.CO;2","ISSN":"0894-8755, 1520-0442","issue":"6","language":"EN","note":"publisher: American Meteorological Society\nsection: Journal of Climate","page":"1194-1215","source":"journals.ametsoc.org","title":"Cabauw Experimental Results from the Project for Intercomparison of Land-Surface Parameterization Schemes","URL":"https://journals.ametsoc.org/view/journals/clim/10/6/1520-0442_1997_010_1194_cerftp_2.0.co_2.xml","volume":"10","author":[{"family":"Chen","given":""},{"family":"Henderson-Sellers","given":"A."},{"family":"Milly","given":"P. C. D."},{"family":"Pitman","given":"A. J."},{"family":"Beljaars","given":"A. C. M."},{"family":"Polcher","given":"J."},{"family":"Abramopoulos","given":"F."},{"family":"Boone","given":"A."},{"family":"Chang","given":"S."},{"family":"Chen","given":"F."},{"family":"Dai","given":"Y."},{"family":"Desborough","given":"C. E."},{"family":"Dickinson","given":"R. E."},{"family":"Dümenil","given":"L."},{"family":"Ek","given":"M."},{"family":"Garratt","given":"J. R."},{"family":"Gedney","given":"N."},{"family":"Gusev","given":"Y. M."},{"family":"Kim","given":"J."},{"family":"Koster","given":"R."},{"family":"Kowalczyk","given":"E. A."},{"family":"Laval","given":"K."},{"family":"Lean","given":"J."},{"family":"Lettenmaier","given":"D."},{"family":"Liang","given":"X."},{"family":"Mahfouf","given":"J.-F."},{"family":"Mengelkamp","given":"H.-T."},{"family":"Mitchell","given":"K."},{"family":"Nasonova","given":"O. N."},{"family":"Noilhan","given":"J."},{"family":"Robock","given":"A."},{"family":"Rosenzweig","given":"C."},{"family":"Schaake","given":"J."},{"family":"Schlosser","given":"C. A."},{"family":"Schulz","given":"J.-P."},{"family":"Shao","given":"Y."},{"family":"Shmakin","given":"A. B."},{"family":"Verseghy","given":"D. L."},{"family":"Wetzel","given":"P."},{"family":"Wood","given":"E. F."},{"family":"Xue","given":"Y."},{"family":"Yang","given":"Z.-L."},{"family":"Zeng","given":"Q."}],"accessed":{"date-parts":[["2021",3,25]]},"issued":{"date-parts":[["1997",6,1]]}}},{"id":75,"uris":["http://zotero.org/users/7904379/items/Z9KJSDI2"],"itemData":{"id":75,"type":"article-journal","abstract":"A comparison between various parameterizations for the bulk transfercoefficient for heat and momentum is carried out for a wide range ofatmospheric stability and values of the roughness lengths for momentum and heat,z0m and z0h respectively.It is confirmed that the parameterization of Launiainen compares wellto a numerical iterative solution for the Obukhov length L as function of the gradients of wind speed and temperatureover a limited range of z0m/z0h and stability conditions.For 0m/z0h &gt; 500, an alternativeinterpolation formulation of Holtslag and Ek,in combination with the formulation of Launiainen, provides a better approximation.","container-title":"Boundary-Layer Meteorology","DOI":"10.1023/A:1000245600901","ISSN":"1573-1472","issue":"1","journalAbbreviation":"Boundary-Layer Meteorology","language":"en","page":"119-133","source":"Springer Link","title":"On the bulk parameterization of surface fluxes for various conditions and parameter ranges","URL":"https://doi.org/10.1023/A:1000245600901","volume":"82","author":[{"family":"Hurk","given":"B.J.J.M.","non-dropping-particle":"van den"},{"family":"Holtslag","given":"A.A.M."}],"accessed":{"date-parts":[["2021",3,25]]},"issued":{"date-parts":[["1997",1,1]]}}},{"id":34,"uris":["http://zotero.org/users/7904379/items/GDPQNA3G"],"itemData":{"id":34,"type":"article-journal","abstract":"Abstract\n            This study summarizes the revision performed on the surface layer formulation of the Weather Research and Forecasting (WRF) model. A first set of modifications are introduced to provide more suitable similarity functions to simulat</w:instrText>
      </w:r>
      <w:r w:rsidR="00A44B66" w:rsidRPr="00A44B66">
        <w:rPr>
          <w:lang w:val="fr-FR"/>
        </w:rPr>
        <w:instrText xml:space="preserve">e the surface layer evolution under strong stable/unstable conditions. A second set of changes are incorporated to reduce or suppress the limits that are imposed on certain variables in order to avoid undesired effects (e.g., a lower limit in u*). The changes introduced lead to a more consistent surface layer formulation that covers the full range of atmospheric stabilities. The turbulent fluxes are more (less) efficient during the day (night) in the revised scheme and produce a sharper afternoon transition that shows the largest impacts in the planetary boundary layer meteorological variables. The most important impacts in the near-surface diagnostic variables are analyzed and compared with observations from a mesoscale network.","container-title":"Monthly Weather Review","DOI":"10.1175/MWR-D-11-00056.1","ISSN":"0027-0644, 1520-0493","issue":"3","language":"en","page":"898-918","source":"DOI.org (Crossref)","title":"A Revised Scheme for the WRF Surface Layer Formulation","URL":"http://journals.ametsoc.org/doi/10.1175/MWR-D-11-00056.1","volume":"140","author":[{"family":"Jiménez","given":"Pedro A."},{"family":"Dudhia","given":"Jimy"},{"family":"González-Rouco","given":"J. Fidel"},{"family":"Navarro","given":"Jorge"},{"family":"Montávez","given":"Juan P."},{"family":"García-Bustamante","given":"Elena"}],"accessed":{"date-parts":[["2021",3,25]]},"issued":{"date-parts":[["2012",3,1]]}}}],"schema":"https://github.com/citation-style-language/schema/raw/master/csl-citation.json"} </w:instrText>
      </w:r>
      <w:r w:rsidRPr="002C7DEC">
        <w:fldChar w:fldCharType="separate"/>
      </w:r>
      <w:r w:rsidR="00A44B66" w:rsidRPr="00A44B66">
        <w:rPr>
          <w:lang w:val="fr-FR"/>
        </w:rPr>
        <w:t>(Chen et al., 1997; van den Hurk &amp; Holtslag, 1997; Jiménez et al., 2012)</w:t>
      </w:r>
      <w:r w:rsidRPr="002C7DEC">
        <w:fldChar w:fldCharType="end"/>
      </w:r>
      <w:r w:rsidRPr="002C7DEC">
        <w:rPr>
          <w:lang w:val="fr-FR"/>
        </w:rPr>
        <w:t xml:space="preserve">. </w:t>
      </w:r>
      <w:r w:rsidRPr="002C7DEC">
        <w:t>The Mellor–Yamada</w:t>
      </w:r>
      <w:r w:rsidR="0011018C">
        <w:t xml:space="preserve"> scheme </w:t>
      </w:r>
      <w:r w:rsidR="0011018C">
        <w:fldChar w:fldCharType="begin"/>
      </w:r>
      <w:r w:rsidR="00A44B66">
        <w:instrText xml:space="preserve"> ADDIN ZOTERO_ITEM CSL_CITATION {"citationID":"adrnb9v00c","properties":{"formattedCitation":"(Janjic, 2002)","plainCitation":"(Janjic, 2002)","noteIndex":0},"citationItems":[{"id":989,"uris":["http://zotero.org/users/7904379/items/G6SFUHPE"],"itemData":{"id":989,"type":"article-journal","container-title":"NCEP Office Note","journalAbbreviation":"NCEP Office Note","source":"ResearchGate","title":"Nonsingular Implementation of the Mellor–Yamada Level 2.5 Scheme in the NCEP Meso Model","volume":"436","author":[{"family":"Janjic","given":"Zavisa"}],"issued":{"date-parts":[["2002",1,1]]}}}],"schema":"https://github.com/citation-style-language/schema/raw/master/csl-citation.json"} </w:instrText>
      </w:r>
      <w:r w:rsidR="0011018C">
        <w:fldChar w:fldCharType="separate"/>
      </w:r>
      <w:r w:rsidR="00A44B66" w:rsidRPr="00A44B66">
        <w:t>(Janjic, 2002)</w:t>
      </w:r>
      <w:r w:rsidR="0011018C">
        <w:fldChar w:fldCharType="end"/>
      </w:r>
      <w:r w:rsidRPr="002C7DEC">
        <w:t xml:space="preserve"> was selected for mesoscale simulations to account for turbulent kinetic energy (TKE) in local vertical mixing. The Thompson scheme was selected to parameterize the microphysical process. Short</w:t>
      </w:r>
      <m:oMath>
        <m:r>
          <w:rPr>
            <w:rFonts w:ascii="Cambria Math" w:hAnsi="Cambria Math"/>
          </w:rPr>
          <m:t>-</m:t>
        </m:r>
      </m:oMath>
      <w:r w:rsidRPr="002C7DEC">
        <w:t xml:space="preserve"> and longwave radiation were integrated from the radiative transfer scheme (RRTMG) </w:t>
      </w:r>
      <w:r w:rsidRPr="002C7DEC">
        <w:fldChar w:fldCharType="begin"/>
      </w:r>
      <w:r w:rsidR="00A44B66">
        <w:instrText xml:space="preserve"> ADDIN ZOTERO_ITEM CSL_CITATION {"citationID":"a2ta8nphbc","properties":{"formattedCitation":"(Iacono et al., 2008; Mlawer et al., 1997)","plainCitation":"(Iacono et al., 2008; Mlawer et al., 1997)","noteIndex":0},"citationItems":[{"id":54,"uris":["http://zotero.org/users/7904379/items/4HI32IR5"],"itemData":{"id":54,"type":"article-journal","container-title":"Journal of Geophysical Research: Atmospheres","DOI":"10.1029/97JD00237","ISSN":"01480227","issue":"D14","journalAbbreviation":"J. Geophys. Res.","language":"en","page":"16663-16682","source":"DOI.org (Crossref)","title":"Radiative transfer for inhomog</w:instrText>
      </w:r>
      <w:r w:rsidR="00A44B66" w:rsidRPr="005C3A0B">
        <w:instrText>eneous atmospheres: RRTM, a validated correlated-k model for the longwave","title-short":"Radiative transfer for inhomogeneous atmospheres","URL":"http://doi.wiley.com/10.1029/97JD00237","volume":"102","author":[{"family":"Mlawer","given":"Eli J."},{"family":"Taubman","given":"Steven J."},{"family":"Brown","given":"Patrick D."},{"family":"Iacono","given":"Michael J."},{"family":"Clough","given":"Shepard A."}],"accessed":{"date-parts":[["2021",3,25]]},"issued":{"date-parts":[["1997",7,27]]}}},{"id":30,"uris":["http://zotero.org/users/7904379/items/TNTI5T6W"],"itemData":{"id":30,"type":"article-journal","container-title":"Journal of Geophysical Research","DOI":"10.1029/2008JD009944","ISSN":"0148-0227","issue":"D13","journalAbbreviation":"J. Geophys. Res.","language":"en","page":"D13103","</w:instrText>
      </w:r>
      <w:r w:rsidR="00A44B66" w:rsidRPr="00830EAC">
        <w:rPr>
          <w:lang w:val="fr-FR"/>
        </w:rPr>
        <w:instrText xml:space="preserve">source":"DOI.org (Crossref)","title":"Radiative forcing by long-lived greenhouse gases: Calculations with the AER radiative transfer models","title-short":"Radiative forcing by long-lived greenhouse gases","URL":"http://doi.wiley.com/10.1029/2008JD009944","volume":"113","author":[{"family":"Iacono","given":"Michael J."},{"family":"Delamere","given":"Jennifer S."},{"family":"Mlawer","given":"Eli J."},{"family":"Shephard","given":"Mark W."},{"family":"Clough","given":"Shepard A."},{"family":"Collins","given":"William D."}],"accessed":{"date-parts":[["2021",3,25]]},"issued":{"date-parts":[["2008",7,2]]}}}],"schema":"https://github.com/citation-style-language/schema/raw/master/csl-citation.json"} </w:instrText>
      </w:r>
      <w:r w:rsidRPr="002C7DEC">
        <w:fldChar w:fldCharType="separate"/>
      </w:r>
      <w:r w:rsidR="00A44B66" w:rsidRPr="00830EAC">
        <w:rPr>
          <w:lang w:val="fr-FR"/>
        </w:rPr>
        <w:t>(Iacono et al., 2008; Mlawer et al., 1997)</w:t>
      </w:r>
      <w:r w:rsidRPr="002C7DEC">
        <w:fldChar w:fldCharType="end"/>
      </w:r>
      <w:r w:rsidRPr="00830EAC">
        <w:rPr>
          <w:lang w:val="fr-FR"/>
        </w:rPr>
        <w:t xml:space="preserve">. </w:t>
      </w:r>
      <w:r w:rsidRPr="002C7DEC">
        <w:fldChar w:fldCharType="begin"/>
      </w:r>
      <w:r w:rsidR="00EC3304">
        <w:rPr>
          <w:lang w:val="fr-FR"/>
        </w:rPr>
        <w:instrText xml:space="preserve"> ADDIN ZOTERO_ITEM CSL_CITATION {"citationID":"a29r2s76te6","properties":{"formattedCitation":"(Kain, 2004)","plainCitation":"(Kain, 2004)","dontUpdate":true,"noteIndex":0},"citationItems":[{"id":38,"uris":["http://zotero.org/users/7904379/items/DL3XNU5N"],"itemData":{"id":38,"type":"article-journal","abstract":"&lt;section class=\"abstract\"&gt;</w:instrText>
      </w:r>
      <w:r w:rsidR="00EC3304" w:rsidRPr="005C3A0B">
        <w:instrText xml:space="preserve">&lt;h2 class=\"abstractTitle text-title my-1\" id=\"d2594e2\"&gt;Abstract&lt;/h2&gt;&lt;p&gt;Numerous modifications to the Kain–Fritsch convective parameterization have been implemented over the last decade. These modifications are described, and the motivating factors for the changes are discussed. Most changes were inspired by feedback from users of the scheme (primarily numerical modelers) and interpreters of the model output (mainly operational forecasters). The specific formulation of the modifications evolved from an effort to produce desired effects in numerical weather prediction while also rendering the scheme more faithful to observations and cloud-resolving modeling studies.&lt;/p&gt;&lt;/section&gt;","container-title":"Journal of Applied Meteorology and Climatology","DOI":"10.1175/1520-0450(2004)043&lt;0170:TKCPAU&gt;2.0.CO;2","ISSN":"1520-0450, 0894-8763","issue":"1","language":"EN","note":"publisher: American Meteorological Society\nsection: Journal of Applied Meteorology and Climatology","page":"170-181","source":"journals.ametsoc.org","title":"The Kain–Fritsch Convective Parameterization: An Update","title-short":"The Kain–Fritsch Convective Parameterization","URL":"https://journals.ametsoc.org/view/journals/apme/43/1/1520-0450_2004_043_0170_tkcpau_2.0.co_2.xml","volume":"43","author":[{"family":"Kain","given":"John S."}],"accessed":{"date-parts":[["2021",3,25]]},"issued":{"date-parts":[["2004",1,1]]}}}],"schema":"https://github.com/citation-style-language/schema/raw/master/csl-citation.json"} </w:instrText>
      </w:r>
      <w:r w:rsidRPr="002C7DEC">
        <w:fldChar w:fldCharType="separate"/>
      </w:r>
      <w:r w:rsidR="00A44B66" w:rsidRPr="005C3A0B">
        <w:t xml:space="preserve">Kain, </w:t>
      </w:r>
      <w:r w:rsidR="004C506E" w:rsidRPr="005C3A0B">
        <w:t>(</w:t>
      </w:r>
      <w:r w:rsidR="00A44B66" w:rsidRPr="005C3A0B">
        <w:t>2004)</w:t>
      </w:r>
      <w:r w:rsidRPr="002C7DEC">
        <w:fldChar w:fldCharType="end"/>
      </w:r>
      <w:r w:rsidRPr="005C3A0B">
        <w:t xml:space="preserve"> (hereafter referred to as KF) proposed a deep and shallow C</w:t>
      </w:r>
      <w:r w:rsidR="00277AFE" w:rsidRPr="005C3A0B">
        <w:rPr>
          <w:rFonts w:eastAsia="SimSun" w:hint="eastAsia"/>
          <w:lang w:eastAsia="zh-CN"/>
        </w:rPr>
        <w:t>C</w:t>
      </w:r>
      <w:r w:rsidRPr="005C3A0B">
        <w:t xml:space="preserve"> convection scheme, which was selected to resolve C</w:t>
      </w:r>
      <w:r w:rsidR="00277AFE" w:rsidRPr="005C3A0B">
        <w:rPr>
          <w:rFonts w:eastAsia="SimSun" w:hint="eastAsia"/>
          <w:lang w:eastAsia="zh-CN"/>
        </w:rPr>
        <w:t>C</w:t>
      </w:r>
      <w:r w:rsidRPr="005C3A0B">
        <w:t xml:space="preserve"> processes only in domain </w:t>
      </w:r>
      <m:oMath>
        <m:sSub>
          <m:sSubPr>
            <m:ctrlPr>
              <w:rPr>
                <w:rFonts w:ascii="Cambria Math" w:hAnsi="Cambria Math"/>
                <w:i/>
              </w:rPr>
            </m:ctrlPr>
          </m:sSubPr>
          <m:e>
            <m:r>
              <w:rPr>
                <w:rFonts w:ascii="Cambria Math" w:hAnsi="Cambria Math"/>
              </w:rPr>
              <m:t>D</m:t>
            </m:r>
            <m:r>
              <w:rPr>
                <w:rFonts w:ascii="Cambria Math" w:hAnsi="Cambria Math"/>
              </w:rPr>
              <m:t>0</m:t>
            </m:r>
          </m:e>
          <m:sub>
            <m:r>
              <w:rPr>
                <w:rFonts w:ascii="Cambria Math" w:hAnsi="Cambria Math"/>
              </w:rPr>
              <m:t>i</m:t>
            </m:r>
            <m:r>
              <w:rPr>
                <w:rFonts w:ascii="Cambria Math" w:hAnsi="Cambria Math"/>
              </w:rPr>
              <m:t>=1</m:t>
            </m:r>
          </m:sub>
        </m:sSub>
      </m:oMath>
      <w:r w:rsidRPr="005C3A0B">
        <w:t xml:space="preserve">. </w:t>
      </w:r>
      <w:r w:rsidRPr="002C7DEC">
        <w:fldChar w:fldCharType="begin"/>
      </w:r>
      <w:r w:rsidR="00EC3304" w:rsidRPr="005C3A0B">
        <w:instrText xml:space="preserve"> ADDIN ZOTERO_ITEM CSL_CITATION {"citationID":"aueu9otvq7","properties":{"formattedCitation":"(Jeworrek et al., 2019)","plainCitation":"(Jeworrek et al., 2019)","dontUpdate":true,"noteIndex":0},"citationItems":[{"id":32,"uris":["http://zotero.org/users/7904379/items/XQ7GV43P"],"itemData":{"id":32,"type":"article-journal","abstract":"Abstract\n            This study evaluates the grid-length dependency of the Weather Research and Forecasting (WRF) Model precipitation performance for two cases in the Southern Great Plains of the United States. The aim is to investigate the ability of different cumulus and microphysics parameterization schemes to represent precipitation processes throughout the transition between parameterized and resolved convective scales (e.g., the gray zone). The cases include the following: 1) a mesoscale convective system causing intense local precipitation, and 2) a frontal passage with light but continuous rainfall. The choice of cumulus parameterization appears to be a crucial differentiator in convective development and resulting precipitation patterns in the WRF simulations.</w:instrText>
      </w:r>
      <w:r w:rsidR="00EC3304" w:rsidRPr="00404701">
        <w:instrText xml:space="preserve"> Different microphysics schemes produce very similar outcomes, yet some of the more sophisticated schemes have substantially longer run times. This suggests that this additional computational expense does not necessaril</w:instrText>
      </w:r>
      <w:r w:rsidR="00EC3304" w:rsidRPr="00EC3304">
        <w:instrText xml:space="preserve">y provide meaningful forecast improvements, and those looking to run such schemes should perform their own evaluation to determine if this expense is warranted for their application. The best performing cumulus scheme overall for the two cases studies here was the scale-aware Grell–Freitas cumulus scheme. It was able to reproduce a smooth transition from subgrid- (cumulus) to resolved-scale (microphysics) precipitation with increasing resolution. It also produced the smallest errors for the convective event, outperforming the other cumulus schemes in predicting the timing and intensity of the precipitation.","container-title":"Weather and Forecasting","DOI":"10.1175/WAF-D-18-0178.1","ISSN":"0882-8156, 1520-0434","issue":"4","language":"en","page":"1097-1115","source":"DOI.org (Crossref)","title":"Evaluation of Cumulus and Microphysics Parameterizations in WRF across the Convective Gray Zone","URL":"https://journals.ametsoc.org/doi/10.1175/WAF-D-18-0178.1","volume":"34","author":[{"family":"Jeworrek","given":"Julia"},{"family":"West","given":"Gregory"},{"family":"Stull","given":"Roland"}],"accessed":{"date-parts":[["2021",3,25]]},"issued":{"date-parts":[["2019",8,1]]}}}],"schema":"https://github.com/citation-style-language/schema/raw/master/csl-citation.json"} </w:instrText>
      </w:r>
      <w:r w:rsidRPr="002C7DEC">
        <w:fldChar w:fldCharType="separate"/>
      </w:r>
      <w:r w:rsidR="00A44B66" w:rsidRPr="00A44B66">
        <w:t xml:space="preserve">Jeworrek et al., </w:t>
      </w:r>
      <w:r w:rsidR="004C506E">
        <w:t>(</w:t>
      </w:r>
      <w:r w:rsidR="00A44B66" w:rsidRPr="00A44B66">
        <w:t>2019)</w:t>
      </w:r>
      <w:r w:rsidRPr="002C7DEC">
        <w:fldChar w:fldCharType="end"/>
      </w:r>
      <w:r w:rsidRPr="002C7DEC">
        <w:t xml:space="preserve"> suggested combining the KF and Thompson microphysics schemes to improve the high-resolution numerical simulation results. </w:t>
      </w:r>
      <w:r w:rsidR="004A7469" w:rsidRPr="004A7469">
        <w:t xml:space="preserve">However, the KF scheme was useless for </w:t>
      </w:r>
      <m:oMath>
        <m:sSub>
          <m:sSubPr>
            <m:ctrlPr>
              <w:rPr>
                <w:rFonts w:ascii="Cambria Math" w:hAnsi="Cambria Math"/>
                <w:i/>
              </w:rPr>
            </m:ctrlPr>
          </m:sSubPr>
          <m:e>
            <m:r>
              <w:rPr>
                <w:rFonts w:ascii="Cambria Math" w:hAnsi="Cambria Math"/>
              </w:rPr>
              <m:t>D0</m:t>
            </m:r>
          </m:e>
          <m:sub>
            <m:r>
              <w:rPr>
                <w:rFonts w:ascii="Cambria Math" w:hAnsi="Cambria Math"/>
              </w:rPr>
              <m:t>i=2-5</m:t>
            </m:r>
          </m:sub>
        </m:sSub>
      </m:oMath>
      <w:r w:rsidR="004A7469" w:rsidRPr="004A7469">
        <w:t>, respectively, because these domains fell into the gr</w:t>
      </w:r>
      <w:r w:rsidR="00F23A6E">
        <w:t>e</w:t>
      </w:r>
      <w:r w:rsidR="004A7469" w:rsidRPr="004A7469">
        <w:t>y</w:t>
      </w:r>
      <w:r w:rsidR="00F23A6E">
        <w:t xml:space="preserve"> </w:t>
      </w:r>
      <w:r w:rsidR="004A7469" w:rsidRPr="004A7469">
        <w:t>zone. On the other hand, a test simulation with the KF scheme in LES runs provided too much precipitation</w:t>
      </w:r>
      <w:r w:rsidRPr="002C7DEC">
        <w:t>.</w:t>
      </w:r>
      <w:r w:rsidR="00B12372">
        <w:t xml:space="preserve"> Some pictures are shown in Figure 3 of the supplementary file.</w:t>
      </w:r>
    </w:p>
    <w:p w14:paraId="4FF6CC01" w14:textId="0CB71585" w:rsidR="00FF37BF" w:rsidRPr="00FF37BF" w:rsidRDefault="00FF37BF" w:rsidP="00FF37BF">
      <w:pPr>
        <w:pStyle w:val="Caption"/>
        <w:rPr>
          <w:i w:val="0"/>
          <w:iCs w:val="0"/>
          <w:color w:val="auto"/>
          <w:sz w:val="24"/>
          <w:szCs w:val="24"/>
        </w:rPr>
      </w:pPr>
      <w:r w:rsidRPr="00FF37BF">
        <w:rPr>
          <w:i w:val="0"/>
          <w:iCs w:val="0"/>
          <w:color w:val="auto"/>
          <w:sz w:val="24"/>
          <w:szCs w:val="24"/>
        </w:rPr>
        <w:t xml:space="preserve">Table </w:t>
      </w:r>
      <w:r w:rsidRPr="00FF37BF">
        <w:rPr>
          <w:i w:val="0"/>
          <w:iCs w:val="0"/>
          <w:color w:val="auto"/>
          <w:sz w:val="24"/>
          <w:szCs w:val="24"/>
        </w:rPr>
        <w:fldChar w:fldCharType="begin"/>
      </w:r>
      <w:r w:rsidRPr="00FF37BF">
        <w:rPr>
          <w:i w:val="0"/>
          <w:iCs w:val="0"/>
          <w:color w:val="auto"/>
          <w:sz w:val="24"/>
          <w:szCs w:val="24"/>
        </w:rPr>
        <w:instrText xml:space="preserve"> SEQ Table \* ARABIC </w:instrText>
      </w:r>
      <w:r w:rsidRPr="00FF37BF">
        <w:rPr>
          <w:i w:val="0"/>
          <w:iCs w:val="0"/>
          <w:color w:val="auto"/>
          <w:sz w:val="24"/>
          <w:szCs w:val="24"/>
        </w:rPr>
        <w:fldChar w:fldCharType="separate"/>
      </w:r>
      <w:r w:rsidR="004302F1">
        <w:rPr>
          <w:i w:val="0"/>
          <w:iCs w:val="0"/>
          <w:noProof/>
          <w:color w:val="auto"/>
          <w:sz w:val="24"/>
          <w:szCs w:val="24"/>
        </w:rPr>
        <w:t>3</w:t>
      </w:r>
      <w:r w:rsidRPr="00FF37BF">
        <w:rPr>
          <w:i w:val="0"/>
          <w:iCs w:val="0"/>
          <w:color w:val="auto"/>
          <w:sz w:val="24"/>
          <w:szCs w:val="24"/>
        </w:rPr>
        <w:fldChar w:fldCharType="end"/>
      </w:r>
      <w:r w:rsidRPr="00FF37BF">
        <w:rPr>
          <w:i w:val="0"/>
          <w:iCs w:val="0"/>
          <w:color w:val="auto"/>
          <w:sz w:val="24"/>
          <w:szCs w:val="24"/>
        </w:rPr>
        <w:t xml:space="preserve">: Summary of flow parameterization. SGS, </w:t>
      </w:r>
      <w:r w:rsidR="00F677EB" w:rsidRPr="00FF37BF">
        <w:rPr>
          <w:i w:val="0"/>
          <w:iCs w:val="0"/>
          <w:color w:val="auto"/>
          <w:sz w:val="24"/>
          <w:szCs w:val="24"/>
        </w:rPr>
        <w:t>subgrid</w:t>
      </w:r>
      <w:r w:rsidR="00F677EB">
        <w:rPr>
          <w:i w:val="0"/>
          <w:iCs w:val="0"/>
          <w:color w:val="auto"/>
          <w:sz w:val="24"/>
          <w:szCs w:val="24"/>
        </w:rPr>
        <w:t>-</w:t>
      </w:r>
      <w:r w:rsidRPr="00FF37BF">
        <w:rPr>
          <w:i w:val="0"/>
          <w:iCs w:val="0"/>
          <w:color w:val="auto"/>
          <w:sz w:val="24"/>
          <w:szCs w:val="24"/>
        </w:rPr>
        <w:t xml:space="preserve">scale; </w:t>
      </w:r>
      <m:oMath>
        <m:sSub>
          <m:sSubPr>
            <m:ctrlPr>
              <w:rPr>
                <w:rFonts w:ascii="Cambria Math" w:hAnsi="Cambria Math"/>
                <w:i w:val="0"/>
                <w:iCs w:val="0"/>
                <w:color w:val="auto"/>
                <w:sz w:val="24"/>
                <w:szCs w:val="24"/>
              </w:rPr>
            </m:ctrlPr>
          </m:sSubPr>
          <m:e>
            <m:r>
              <w:rPr>
                <w:rFonts w:ascii="Cambria Math" w:hAnsi="Cambria Math"/>
                <w:color w:val="auto"/>
                <w:sz w:val="24"/>
                <w:szCs w:val="24"/>
              </w:rPr>
              <m:t>D0</m:t>
            </m:r>
          </m:e>
          <m:sub>
            <m:r>
              <w:rPr>
                <w:rFonts w:ascii="Cambria Math" w:hAnsi="Cambria Math"/>
                <w:color w:val="auto"/>
                <w:sz w:val="24"/>
                <w:szCs w:val="24"/>
              </w:rPr>
              <m:t>i=1-5</m:t>
            </m:r>
          </m:sub>
        </m:sSub>
      </m:oMath>
      <w:r w:rsidRPr="00FF37BF">
        <w:rPr>
          <w:i w:val="0"/>
          <w:iCs w:val="0"/>
          <w:color w:val="auto"/>
          <w:sz w:val="24"/>
          <w:szCs w:val="24"/>
        </w:rPr>
        <w:t xml:space="preserve">.  </w:t>
      </w:r>
    </w:p>
    <w:tbl>
      <w:tblPr>
        <w:tblStyle w:val="TableGridLight1"/>
        <w:tblW w:w="8983" w:type="dxa"/>
        <w:jc w:val="center"/>
        <w:tblLayout w:type="fixed"/>
        <w:tblLook w:val="04A0" w:firstRow="1" w:lastRow="0" w:firstColumn="1" w:lastColumn="0" w:noHBand="0" w:noVBand="1"/>
      </w:tblPr>
      <w:tblGrid>
        <w:gridCol w:w="2242"/>
        <w:gridCol w:w="1624"/>
        <w:gridCol w:w="866"/>
        <w:gridCol w:w="893"/>
        <w:gridCol w:w="1774"/>
        <w:gridCol w:w="1584"/>
      </w:tblGrid>
      <w:tr w:rsidR="00FF37BF" w:rsidRPr="00932477" w14:paraId="259B0EC2" w14:textId="77777777" w:rsidTr="00541AF1">
        <w:trPr>
          <w:trHeight w:val="476"/>
          <w:jc w:val="center"/>
        </w:trPr>
        <w:tc>
          <w:tcPr>
            <w:tcW w:w="2242" w:type="dxa"/>
            <w:vMerge w:val="restart"/>
            <w:vAlign w:val="center"/>
          </w:tcPr>
          <w:p w14:paraId="49FD3035" w14:textId="77777777" w:rsidR="00FF37BF" w:rsidRPr="00932477" w:rsidRDefault="00FF37BF" w:rsidP="00AA2F78">
            <w:pPr>
              <w:spacing w:after="0"/>
              <w:jc w:val="center"/>
            </w:pPr>
            <w:r w:rsidRPr="00932477">
              <w:t>Parameterization options</w:t>
            </w:r>
          </w:p>
        </w:tc>
        <w:tc>
          <w:tcPr>
            <w:tcW w:w="3383" w:type="dxa"/>
            <w:gridSpan w:val="3"/>
            <w:vAlign w:val="center"/>
            <w:hideMark/>
          </w:tcPr>
          <w:p w14:paraId="112F4609" w14:textId="77777777" w:rsidR="00FF37BF" w:rsidRPr="00932477" w:rsidRDefault="00FF37BF" w:rsidP="00AA2F78">
            <w:pPr>
              <w:spacing w:after="0"/>
              <w:jc w:val="center"/>
            </w:pPr>
            <w:r w:rsidRPr="00932477">
              <w:t>Mesoscale domains</w:t>
            </w:r>
          </w:p>
        </w:tc>
        <w:tc>
          <w:tcPr>
            <w:tcW w:w="3357" w:type="dxa"/>
            <w:gridSpan w:val="2"/>
            <w:vAlign w:val="center"/>
            <w:hideMark/>
          </w:tcPr>
          <w:p w14:paraId="5D9E8682" w14:textId="77777777" w:rsidR="00FF37BF" w:rsidRPr="00932477" w:rsidRDefault="00FF37BF" w:rsidP="00AA2F78">
            <w:pPr>
              <w:spacing w:after="0"/>
              <w:jc w:val="center"/>
            </w:pPr>
            <w:r w:rsidRPr="00932477">
              <w:t>Microscale domains</w:t>
            </w:r>
          </w:p>
        </w:tc>
      </w:tr>
      <w:tr w:rsidR="00FF37BF" w:rsidRPr="00932477" w14:paraId="4819851A" w14:textId="77777777" w:rsidTr="00541AF1">
        <w:trPr>
          <w:trHeight w:val="251"/>
          <w:jc w:val="center"/>
        </w:trPr>
        <w:tc>
          <w:tcPr>
            <w:tcW w:w="2242" w:type="dxa"/>
            <w:vMerge/>
            <w:vAlign w:val="center"/>
          </w:tcPr>
          <w:p w14:paraId="4891E0AC" w14:textId="77777777" w:rsidR="00FF37BF" w:rsidRPr="00932477" w:rsidRDefault="00FF37BF" w:rsidP="00AA2F78">
            <w:pPr>
              <w:spacing w:after="0"/>
              <w:jc w:val="center"/>
            </w:pPr>
          </w:p>
        </w:tc>
        <w:bookmarkStart w:id="44" w:name="_Hlk70182065"/>
        <w:tc>
          <w:tcPr>
            <w:tcW w:w="1624" w:type="dxa"/>
            <w:vAlign w:val="center"/>
          </w:tcPr>
          <w:p w14:paraId="1F65092B" w14:textId="77777777" w:rsidR="00FF37BF" w:rsidRPr="00932477" w:rsidRDefault="00BB4B77" w:rsidP="00AA2F78">
            <w:pPr>
              <w:spacing w:after="0"/>
              <w:jc w:val="center"/>
            </w:pPr>
            <m:oMathPara>
              <m:oMath>
                <m:sSub>
                  <m:sSubPr>
                    <m:ctrlPr>
                      <w:rPr>
                        <w:rFonts w:ascii="Cambria Math" w:hAnsi="Cambria Math"/>
                        <w:i/>
                        <w:lang w:val="en-US"/>
                      </w:rPr>
                    </m:ctrlPr>
                  </m:sSubPr>
                  <m:e>
                    <m:r>
                      <w:rPr>
                        <w:rFonts w:ascii="Cambria Math" w:hAnsi="Cambria Math"/>
                        <w:lang w:val="en-US"/>
                      </w:rPr>
                      <m:t>D0</m:t>
                    </m:r>
                  </m:e>
                  <m:sub>
                    <m:r>
                      <w:rPr>
                        <w:rFonts w:ascii="Cambria Math" w:hAnsi="Cambria Math"/>
                        <w:lang w:val="en-US"/>
                      </w:rPr>
                      <m:t>i=1</m:t>
                    </m:r>
                  </m:sub>
                </m:sSub>
              </m:oMath>
            </m:oMathPara>
            <w:bookmarkEnd w:id="44"/>
          </w:p>
        </w:tc>
        <w:tc>
          <w:tcPr>
            <w:tcW w:w="866" w:type="dxa"/>
            <w:vAlign w:val="center"/>
          </w:tcPr>
          <w:p w14:paraId="021D7291" w14:textId="77777777" w:rsidR="00FF37BF" w:rsidRPr="00932477" w:rsidRDefault="00BB4B77" w:rsidP="00AA2F78">
            <w:pPr>
              <w:spacing w:after="0"/>
              <w:jc w:val="center"/>
            </w:pPr>
            <m:oMathPara>
              <m:oMath>
                <m:sSub>
                  <m:sSubPr>
                    <m:ctrlPr>
                      <w:rPr>
                        <w:rFonts w:ascii="Cambria Math" w:hAnsi="Cambria Math"/>
                        <w:i/>
                        <w:lang w:val="en-US"/>
                      </w:rPr>
                    </m:ctrlPr>
                  </m:sSubPr>
                  <m:e>
                    <m:r>
                      <w:rPr>
                        <w:rFonts w:ascii="Cambria Math" w:hAnsi="Cambria Math"/>
                        <w:lang w:val="en-US"/>
                      </w:rPr>
                      <m:t>D0</m:t>
                    </m:r>
                  </m:e>
                  <m:sub>
                    <m:r>
                      <w:rPr>
                        <w:rFonts w:ascii="Cambria Math" w:hAnsi="Cambria Math"/>
                        <w:lang w:val="en-US"/>
                      </w:rPr>
                      <m:t>i=2</m:t>
                    </m:r>
                  </m:sub>
                </m:sSub>
              </m:oMath>
            </m:oMathPara>
          </w:p>
        </w:tc>
        <w:tc>
          <w:tcPr>
            <w:tcW w:w="892" w:type="dxa"/>
            <w:vAlign w:val="center"/>
          </w:tcPr>
          <w:p w14:paraId="3EC0E424" w14:textId="77777777" w:rsidR="00FF37BF" w:rsidRPr="00932477" w:rsidRDefault="00BB4B77" w:rsidP="00AA2F78">
            <w:pPr>
              <w:spacing w:after="0"/>
              <w:jc w:val="center"/>
            </w:pPr>
            <m:oMathPara>
              <m:oMath>
                <m:sSub>
                  <m:sSubPr>
                    <m:ctrlPr>
                      <w:rPr>
                        <w:rFonts w:ascii="Cambria Math" w:hAnsi="Cambria Math"/>
                        <w:i/>
                        <w:lang w:val="en-US"/>
                      </w:rPr>
                    </m:ctrlPr>
                  </m:sSubPr>
                  <m:e>
                    <m:r>
                      <w:rPr>
                        <w:rFonts w:ascii="Cambria Math" w:hAnsi="Cambria Math"/>
                        <w:lang w:val="en-US"/>
                      </w:rPr>
                      <m:t>D0</m:t>
                    </m:r>
                  </m:e>
                  <m:sub>
                    <m:r>
                      <w:rPr>
                        <w:rFonts w:ascii="Cambria Math" w:hAnsi="Cambria Math"/>
                        <w:lang w:val="en-US"/>
                      </w:rPr>
                      <m:t>i=3</m:t>
                    </m:r>
                  </m:sub>
                </m:sSub>
              </m:oMath>
            </m:oMathPara>
          </w:p>
        </w:tc>
        <w:tc>
          <w:tcPr>
            <w:tcW w:w="1774" w:type="dxa"/>
            <w:vAlign w:val="center"/>
          </w:tcPr>
          <w:p w14:paraId="08FD0D27" w14:textId="77777777" w:rsidR="00FF37BF" w:rsidRPr="00932477" w:rsidRDefault="00BB4B77" w:rsidP="00AA2F78">
            <w:pPr>
              <w:spacing w:after="0"/>
              <w:jc w:val="center"/>
            </w:pPr>
            <m:oMathPara>
              <m:oMath>
                <m:sSub>
                  <m:sSubPr>
                    <m:ctrlPr>
                      <w:rPr>
                        <w:rFonts w:ascii="Cambria Math" w:hAnsi="Cambria Math"/>
                        <w:i/>
                        <w:lang w:val="en-US"/>
                      </w:rPr>
                    </m:ctrlPr>
                  </m:sSubPr>
                  <m:e>
                    <m:r>
                      <w:rPr>
                        <w:rFonts w:ascii="Cambria Math" w:hAnsi="Cambria Math"/>
                        <w:lang w:val="en-US"/>
                      </w:rPr>
                      <m:t>D0</m:t>
                    </m:r>
                  </m:e>
                  <m:sub>
                    <m:r>
                      <w:rPr>
                        <w:rFonts w:ascii="Cambria Math" w:hAnsi="Cambria Math"/>
                        <w:lang w:val="en-US"/>
                      </w:rPr>
                      <m:t>i=4</m:t>
                    </m:r>
                  </m:sub>
                </m:sSub>
              </m:oMath>
            </m:oMathPara>
          </w:p>
        </w:tc>
        <w:tc>
          <w:tcPr>
            <w:tcW w:w="1583" w:type="dxa"/>
            <w:vAlign w:val="center"/>
          </w:tcPr>
          <w:p w14:paraId="6EEE5400" w14:textId="77777777" w:rsidR="00FF37BF" w:rsidRPr="00932477" w:rsidRDefault="00BB4B77" w:rsidP="00AA2F78">
            <w:pPr>
              <w:spacing w:after="0"/>
              <w:jc w:val="center"/>
            </w:pPr>
            <m:oMathPara>
              <m:oMath>
                <m:sSub>
                  <m:sSubPr>
                    <m:ctrlPr>
                      <w:rPr>
                        <w:rFonts w:ascii="Cambria Math" w:hAnsi="Cambria Math"/>
                        <w:i/>
                        <w:lang w:val="en-US"/>
                      </w:rPr>
                    </m:ctrlPr>
                  </m:sSubPr>
                  <m:e>
                    <m:r>
                      <w:rPr>
                        <w:rFonts w:ascii="Cambria Math" w:hAnsi="Cambria Math"/>
                        <w:lang w:val="en-US"/>
                      </w:rPr>
                      <m:t>D0</m:t>
                    </m:r>
                  </m:e>
                  <m:sub>
                    <m:r>
                      <w:rPr>
                        <w:rFonts w:ascii="Cambria Math" w:hAnsi="Cambria Math"/>
                        <w:lang w:val="en-US"/>
                      </w:rPr>
                      <m:t>i=5</m:t>
                    </m:r>
                  </m:sub>
                </m:sSub>
              </m:oMath>
            </m:oMathPara>
          </w:p>
        </w:tc>
      </w:tr>
      <w:tr w:rsidR="00FF37BF" w:rsidRPr="00932477" w14:paraId="14B091C9" w14:textId="77777777" w:rsidTr="00541AF1">
        <w:trPr>
          <w:trHeight w:val="413"/>
          <w:jc w:val="center"/>
        </w:trPr>
        <w:tc>
          <w:tcPr>
            <w:tcW w:w="2242" w:type="dxa"/>
            <w:vAlign w:val="center"/>
          </w:tcPr>
          <w:p w14:paraId="16140F17" w14:textId="77777777" w:rsidR="00FF37BF" w:rsidRPr="00932477" w:rsidRDefault="00FF37BF" w:rsidP="00AA2F78">
            <w:pPr>
              <w:spacing w:after="0"/>
              <w:jc w:val="center"/>
            </w:pPr>
            <w:r w:rsidRPr="00932477">
              <w:t>Cumulus</w:t>
            </w:r>
          </w:p>
        </w:tc>
        <w:tc>
          <w:tcPr>
            <w:tcW w:w="1624" w:type="dxa"/>
            <w:vAlign w:val="center"/>
          </w:tcPr>
          <w:p w14:paraId="1A939443" w14:textId="77777777" w:rsidR="00FF37BF" w:rsidRPr="00932477" w:rsidRDefault="00FF37BF" w:rsidP="00AA2F78">
            <w:pPr>
              <w:spacing w:after="0"/>
              <w:jc w:val="center"/>
            </w:pPr>
            <w:r w:rsidRPr="00932477">
              <w:t>Kain–Fritsch</w:t>
            </w:r>
          </w:p>
        </w:tc>
        <w:tc>
          <w:tcPr>
            <w:tcW w:w="5116" w:type="dxa"/>
            <w:gridSpan w:val="4"/>
            <w:vAlign w:val="center"/>
          </w:tcPr>
          <w:p w14:paraId="2AAB9CF1" w14:textId="77777777" w:rsidR="00FF37BF" w:rsidRPr="00932477" w:rsidRDefault="00FF37BF" w:rsidP="00AA2F78">
            <w:pPr>
              <w:spacing w:after="0"/>
              <w:jc w:val="center"/>
            </w:pPr>
            <w:r w:rsidRPr="00932477">
              <w:t>Useless</w:t>
            </w:r>
          </w:p>
        </w:tc>
      </w:tr>
      <w:tr w:rsidR="00FF37BF" w:rsidRPr="00932477" w14:paraId="7F213B9F" w14:textId="77777777" w:rsidTr="00541AF1">
        <w:trPr>
          <w:trHeight w:val="218"/>
          <w:jc w:val="center"/>
        </w:trPr>
        <w:tc>
          <w:tcPr>
            <w:tcW w:w="2242" w:type="dxa"/>
            <w:vAlign w:val="center"/>
            <w:hideMark/>
          </w:tcPr>
          <w:p w14:paraId="54D58364" w14:textId="77777777" w:rsidR="00FF37BF" w:rsidRPr="00932477" w:rsidRDefault="00FF37BF" w:rsidP="00AA2F78">
            <w:pPr>
              <w:spacing w:after="0"/>
              <w:jc w:val="center"/>
            </w:pPr>
            <w:r w:rsidRPr="00932477">
              <w:t>Planetary boundary layer</w:t>
            </w:r>
          </w:p>
        </w:tc>
        <w:tc>
          <w:tcPr>
            <w:tcW w:w="3383" w:type="dxa"/>
            <w:gridSpan w:val="3"/>
            <w:vAlign w:val="center"/>
            <w:hideMark/>
          </w:tcPr>
          <w:p w14:paraId="1E1E7616" w14:textId="77777777" w:rsidR="00FF37BF" w:rsidRPr="00932477" w:rsidRDefault="00FF37BF" w:rsidP="00AA2F78">
            <w:pPr>
              <w:spacing w:after="0"/>
              <w:jc w:val="center"/>
            </w:pPr>
            <w:r w:rsidRPr="00932477">
              <w:t>Mellor–Yamada</w:t>
            </w:r>
          </w:p>
        </w:tc>
        <w:tc>
          <w:tcPr>
            <w:tcW w:w="3357" w:type="dxa"/>
            <w:gridSpan w:val="2"/>
            <w:vAlign w:val="center"/>
            <w:hideMark/>
          </w:tcPr>
          <w:p w14:paraId="11A4ECE8" w14:textId="77777777" w:rsidR="00FF37BF" w:rsidRPr="00932477" w:rsidRDefault="00FF37BF" w:rsidP="00AA2F78">
            <w:pPr>
              <w:spacing w:after="0"/>
              <w:jc w:val="center"/>
            </w:pPr>
            <w:r w:rsidRPr="00932477">
              <w:t>Real case LES mode</w:t>
            </w:r>
          </w:p>
        </w:tc>
      </w:tr>
      <w:tr w:rsidR="00FF37BF" w:rsidRPr="00932477" w14:paraId="5D78938D" w14:textId="77777777" w:rsidTr="00541AF1">
        <w:trPr>
          <w:trHeight w:val="430"/>
          <w:jc w:val="center"/>
        </w:trPr>
        <w:tc>
          <w:tcPr>
            <w:tcW w:w="2242" w:type="dxa"/>
            <w:vAlign w:val="center"/>
          </w:tcPr>
          <w:p w14:paraId="38F93D92" w14:textId="77777777" w:rsidR="00FF37BF" w:rsidRPr="00932477" w:rsidRDefault="00FF37BF" w:rsidP="00AA2F78">
            <w:pPr>
              <w:spacing w:after="0"/>
              <w:jc w:val="center"/>
            </w:pPr>
            <w:r w:rsidRPr="00932477">
              <w:t>Surface layer</w:t>
            </w:r>
          </w:p>
        </w:tc>
        <w:tc>
          <w:tcPr>
            <w:tcW w:w="6741" w:type="dxa"/>
            <w:gridSpan w:val="5"/>
            <w:vAlign w:val="center"/>
          </w:tcPr>
          <w:p w14:paraId="4CBBD8CA" w14:textId="77777777" w:rsidR="00FF37BF" w:rsidRPr="00932477" w:rsidRDefault="00FF37BF" w:rsidP="00AA2F78">
            <w:pPr>
              <w:spacing w:after="0"/>
              <w:jc w:val="center"/>
            </w:pPr>
            <w:r w:rsidRPr="00932477">
              <w:t>Monin–Obukhov</w:t>
            </w:r>
          </w:p>
        </w:tc>
      </w:tr>
      <w:tr w:rsidR="00FF37BF" w:rsidRPr="00932477" w14:paraId="0E0C5DC8" w14:textId="77777777" w:rsidTr="00541AF1">
        <w:trPr>
          <w:trHeight w:val="430"/>
          <w:jc w:val="center"/>
        </w:trPr>
        <w:tc>
          <w:tcPr>
            <w:tcW w:w="2242" w:type="dxa"/>
            <w:vAlign w:val="center"/>
          </w:tcPr>
          <w:p w14:paraId="75C15DB6" w14:textId="77777777" w:rsidR="00FF37BF" w:rsidRPr="00932477" w:rsidRDefault="00FF37BF" w:rsidP="00AA2F78">
            <w:pPr>
              <w:spacing w:after="0"/>
              <w:jc w:val="center"/>
            </w:pPr>
            <w:r w:rsidRPr="00932477">
              <w:t>Land-surface</w:t>
            </w:r>
          </w:p>
        </w:tc>
        <w:tc>
          <w:tcPr>
            <w:tcW w:w="6741" w:type="dxa"/>
            <w:gridSpan w:val="5"/>
            <w:vAlign w:val="center"/>
          </w:tcPr>
          <w:p w14:paraId="163518FD" w14:textId="77777777" w:rsidR="00FF37BF" w:rsidRPr="00932477" w:rsidRDefault="00FF37BF" w:rsidP="00AA2F78">
            <w:pPr>
              <w:spacing w:after="0"/>
              <w:jc w:val="center"/>
            </w:pPr>
            <w:r w:rsidRPr="00932477">
              <w:t>Unified Noah LSM</w:t>
            </w:r>
          </w:p>
        </w:tc>
      </w:tr>
      <w:tr w:rsidR="00FF37BF" w:rsidRPr="00932477" w14:paraId="351C553F" w14:textId="77777777" w:rsidTr="00541AF1">
        <w:trPr>
          <w:trHeight w:val="368"/>
          <w:jc w:val="center"/>
        </w:trPr>
        <w:tc>
          <w:tcPr>
            <w:tcW w:w="2242" w:type="dxa"/>
            <w:vAlign w:val="center"/>
            <w:hideMark/>
          </w:tcPr>
          <w:p w14:paraId="0B767A28" w14:textId="77777777" w:rsidR="00FF37BF" w:rsidRPr="00932477" w:rsidRDefault="00FF37BF" w:rsidP="00AA2F78">
            <w:pPr>
              <w:spacing w:after="0"/>
              <w:jc w:val="center"/>
            </w:pPr>
            <w:r w:rsidRPr="00932477">
              <w:t>Cloud microphysics</w:t>
            </w:r>
          </w:p>
        </w:tc>
        <w:tc>
          <w:tcPr>
            <w:tcW w:w="6741" w:type="dxa"/>
            <w:gridSpan w:val="5"/>
            <w:vAlign w:val="center"/>
            <w:hideMark/>
          </w:tcPr>
          <w:p w14:paraId="5B39025B" w14:textId="77777777" w:rsidR="00FF37BF" w:rsidRPr="00932477" w:rsidRDefault="00FF37BF" w:rsidP="00AA2F78">
            <w:pPr>
              <w:spacing w:after="0"/>
              <w:jc w:val="center"/>
            </w:pPr>
            <w:r w:rsidRPr="00932477">
              <w:t>Thompson</w:t>
            </w:r>
          </w:p>
        </w:tc>
      </w:tr>
      <w:tr w:rsidR="00FF37BF" w:rsidRPr="00932477" w14:paraId="32A862EA" w14:textId="77777777" w:rsidTr="00541AF1">
        <w:trPr>
          <w:trHeight w:val="416"/>
          <w:jc w:val="center"/>
        </w:trPr>
        <w:tc>
          <w:tcPr>
            <w:tcW w:w="2242" w:type="dxa"/>
            <w:vAlign w:val="center"/>
            <w:hideMark/>
          </w:tcPr>
          <w:p w14:paraId="1AFF12DA" w14:textId="77777777" w:rsidR="00FF37BF" w:rsidRPr="00932477" w:rsidRDefault="00FF37BF" w:rsidP="00AA2F78">
            <w:pPr>
              <w:spacing w:after="0"/>
              <w:jc w:val="center"/>
            </w:pPr>
            <w:r w:rsidRPr="00932477">
              <w:t>SGS stress model</w:t>
            </w:r>
          </w:p>
        </w:tc>
        <w:tc>
          <w:tcPr>
            <w:tcW w:w="3383" w:type="dxa"/>
            <w:gridSpan w:val="3"/>
            <w:vAlign w:val="center"/>
            <w:hideMark/>
          </w:tcPr>
          <w:p w14:paraId="4682FB2E" w14:textId="25179F0C" w:rsidR="00FF37BF" w:rsidRPr="00932477" w:rsidRDefault="00D91DB5" w:rsidP="00AA2F78">
            <w:pPr>
              <w:spacing w:after="0"/>
              <w:jc w:val="center"/>
            </w:pPr>
            <w:r w:rsidRPr="00932477">
              <w:t>U</w:t>
            </w:r>
            <w:r w:rsidR="00FF37BF" w:rsidRPr="00932477">
              <w:t>seless</w:t>
            </w:r>
          </w:p>
        </w:tc>
        <w:tc>
          <w:tcPr>
            <w:tcW w:w="3357" w:type="dxa"/>
            <w:gridSpan w:val="2"/>
            <w:vAlign w:val="center"/>
          </w:tcPr>
          <w:p w14:paraId="29EAE037" w14:textId="77777777" w:rsidR="00FF37BF" w:rsidRPr="00932477" w:rsidRDefault="00FF37BF" w:rsidP="00AA2F78">
            <w:pPr>
              <w:spacing w:after="0"/>
              <w:jc w:val="center"/>
            </w:pPr>
            <w:r w:rsidRPr="00932477">
              <w:t>TKE1.5</w:t>
            </w:r>
          </w:p>
        </w:tc>
      </w:tr>
    </w:tbl>
    <w:p w14:paraId="1A5D0677" w14:textId="535AA41A" w:rsidR="00722877" w:rsidRPr="002C7DEC" w:rsidRDefault="00A007D9" w:rsidP="00052F10">
      <w:pPr>
        <w:spacing w:before="240"/>
        <w:ind w:firstLine="540"/>
      </w:pPr>
      <w:r>
        <w:t>For t</w:t>
      </w:r>
      <w:r w:rsidR="00722877" w:rsidRPr="002C7DEC">
        <w:t>he real</w:t>
      </w:r>
      <m:oMath>
        <m:r>
          <w:rPr>
            <w:rFonts w:ascii="Cambria Math" w:hAnsi="Cambria Math"/>
          </w:rPr>
          <m:t>-</m:t>
        </m:r>
      </m:oMath>
      <w:r w:rsidR="00722877" w:rsidRPr="002C7DEC">
        <w:t xml:space="preserve">case LES </w:t>
      </w:r>
      <w:r w:rsidRPr="00A007D9">
        <w:t>in the high mountain range</w:t>
      </w:r>
      <w:r w:rsidR="00722877" w:rsidRPr="002C7DEC">
        <w:t xml:space="preserve">, the recommended SGS turbulence </w:t>
      </w:r>
      <w:r>
        <w:t>model</w:t>
      </w:r>
      <w:r w:rsidR="00722877" w:rsidRPr="002C7DEC">
        <w:t xml:space="preserve"> is a 1.5</w:t>
      </w:r>
      <m:oMath>
        <m:r>
          <w:rPr>
            <w:rFonts w:ascii="Cambria Math" w:hAnsi="Cambria Math"/>
          </w:rPr>
          <m:t>-</m:t>
        </m:r>
      </m:oMath>
      <w:r w:rsidR="00722877" w:rsidRPr="002C7DEC">
        <w:t xml:space="preserve">order of </w:t>
      </w:r>
      <w:bookmarkStart w:id="45" w:name="_Hlk59967461"/>
      <w:r w:rsidR="00722877" w:rsidRPr="002C7DEC">
        <w:t>TKE energy</w:t>
      </w:r>
      <w:bookmarkEnd w:id="45"/>
      <w:r w:rsidR="00722877" w:rsidRPr="002C7DEC">
        <w:t xml:space="preserve"> (TKE1.5) closure </w:t>
      </w:r>
      <w:r>
        <w:t>model</w:t>
      </w:r>
      <w:r w:rsidR="00722877" w:rsidRPr="002C7DEC">
        <w:t xml:space="preserve"> </w:t>
      </w:r>
      <w:r w:rsidR="00722877" w:rsidRPr="002C7DEC">
        <w:fldChar w:fldCharType="begin"/>
      </w:r>
      <w:r w:rsidR="00A44B66">
        <w:instrText xml:space="preserve"> ADDIN ZOTERO_ITEM CSL_CITATION {"citationID":"a2m7m1mtb8l","properties":{"formattedCitation":"(Skamarock et al., 2008)","plainCitation":"(Skamarock et al., 2008)","noteIndex":0},"citationItems":[{"id":63,"uris":["http://zotero.org/users/7904379/items/AGQIY7XM"],"itemData":{"id":63,"type":"report","language":"en","note":"dimensions: 1002 KB\nmedium: application/pdf\nDOI: 10.5065/D68S4MVH","page":"1002 KB","publisher":"UCAR/NCAR","source":"DOI.org (Datacite)","title":"A Description of the Advanced Research WRF Version 3","URL":"http://opensky.ucar.edu/islandora/object/technotes:500","author":[{"family":"Skamarock","given":"William"},{"family":"Klemp","given":"Joseph"},{"family":"Dudhia","given":"Jimy"},{"family":"Gill","given":"David"},{"family":"Barker","given":"Dale"},{"family":"Wang","given":"Wei"},{"family":"Huang","given":"Xiang-Yu"},{"family":"Duda","given":"Michael"}],"accessed":{"date-parts":[["2021",3,25]]},"issued":{"date-parts":[["2008",6]]}}}],"schema":"https://github.com/citation-style-language/schema/raw/master/csl-citation.json"} </w:instrText>
      </w:r>
      <w:r w:rsidR="00722877" w:rsidRPr="002C7DEC">
        <w:fldChar w:fldCharType="separate"/>
      </w:r>
      <w:r w:rsidR="00A44B66" w:rsidRPr="00A44B66">
        <w:t>(Skamarock et al., 2008)</w:t>
      </w:r>
      <w:r w:rsidR="00722877" w:rsidRPr="002C7DEC">
        <w:fldChar w:fldCharType="end"/>
      </w:r>
      <w:r w:rsidR="00722877" w:rsidRPr="002C7DEC">
        <w:t xml:space="preserve">. The TKE1.5 </w:t>
      </w:r>
      <w:r>
        <w:t>model</w:t>
      </w:r>
      <w:r w:rsidR="00722877" w:rsidRPr="002C7DEC">
        <w:t xml:space="preserve"> accounts for diffusive transport of the TKE and allows more uniform diffusivity and entrainment through the convective ABL </w:t>
      </w:r>
      <w:r w:rsidR="00722877" w:rsidRPr="002C7DEC">
        <w:fldChar w:fldCharType="begin"/>
      </w:r>
      <w:r w:rsidR="00C62A9A">
        <w:instrText xml:space="preserve"> ADDIN ZOTERO_ITEM CSL_CITATION {"citationID":"a281jorll9a","properties":{"formattedCitation":"(Canuto &amp; Cheng, 1997; Chow &amp; Street, 2009; Y. Liu et al., 2020; Zheng et al., 2015)","plainCitation":"(Canuto &amp; Cheng, 1997; Chow &amp; Street, 2009; Y. Liu et al., 2020; Zheng et al., 2015)","noteIndex":0},"citationItems":[{"id":307,"uris":["http://zotero.org/users/7904379/items/M7GUVLP4"],"itemData":{"id":307,"type":"article-journal","abstract":"The Noah-MP land surface model adopts a multiparameterization framework to accommodate various alternative parameterizations for more than 10 physical processes. In this paper, the parameterizations implemented in Noah-MP associated with under-canopy turbulence and root water uptake are enhanced with: (i) an under-canopy turbulence scheme currently adopted by the Community Land Model (CLM), (ii) two vertical root distribution functions, i.e., an exponential and an asymptotic formulation, and (iii) three soil water stress functions (βt) controlling root water uptake, e.g., a soil water potential (ψ)-based function, a nonlinear soil moisture (θ)-based power function and an empirical threshold approach considering preferential uptake from the moist part of the soil column. A comprehensive data set of in situ micrometeorological observations and profile soil moisture/temperature measurements collected from an alpine meadow site in the northeastern Tibetan Plateau is utilized to assess the impact of the augmentations on the Noah-MP performance. The results indicate that (i) implementation of the CLM under-canopy turbulence scheme greatly resolves the overestimation of sensible heat flux and underestimation of soil temperature across the profile, (ii) both exponential and asymptotic vertical root distribution functions better represent the Tibetan conditions enabling a better representation of the measured soil moisture dynamics, and (iii) the ψ-based βt functions overestimate surface soil moisture, the default linear θ-based βt function underestimates latent heat flux during the dry-down, while both the nonlinear power function and empirical threshold approach simultaneously simulate well soil moisture, and latent and sensible heat fluxes. Additionally, the parameter uncertainty associated with soil water stress function and hydraulic parameterization is addressed.","container-title":"Water Resources Research","DOI":"https://doi.org/10.1002/2015WR017115","ISSN":"1944-7973","issue":"7","language":"en","note":"_eprint: https://agupubs.onlinelibrary.wiley.com/doi/pdf/10.1002/2015WR017115","page":"5735-5755","source":"Wiley Online Library","title":"Under-canopy turbulence and root water uptake of a Tibetan meadow ecosystem modeled by Noah-MP","URL":"https://agupubs.onlinelibrary.wiley.com/doi/abs/10.1002/2015WR017115","volume":"51","author":[{"family":"Zheng","given":"Donghai"},{"family":"Velde","given":"Rogier Van","dropping-particle":"der"},{"family":"Su","given":"Zhongbo"},{"family":"Wen","given":"Jun"},{"family":"Booij","given":"Martijn J."},{"family":"Hoekstra","given":"Arjen Y."},{"family":"Wang","given":"Xin"}],"accessed":{"date-parts":[["2021",4,16]]},"issued":{"date-parts":[["2015"]]}}},{"id":8,"uris":["http://zotero.org/users/7904379/items/8E3QJDQJ"],"itemData":{"id":8,"type":"article-journal","container-title":"Physics of Fluids","DOI":"10.1063/1.869251","ISSN":"1070-6631, 1089-7666","issue":"5","journalAbbreviation":"Physics of Fluids","language":"en","page":"1368-1378","source":"DOI.org (Crossref)","title":"Determination of the Smagorinsky–Lilly constant CS","URL":"http://aip.scitation.org/doi/10.1063/1.869251","volume":"9","author":[{"family":"Canuto","given":"V. M."},{"family":"Cheng","given":"Y."}],"accessed":{"date-parts":[["2021",3,25]]},"issued":{"date-parts":[["1997",5]]}}},{"id":381,"uris":["http://zotero.org/users/7904379/items/95QS9UH3"],"itemData":{"id":381,"type":"article-journal","abstract":"&lt;section class=\"abstract\"&gt;&lt;h2 class=\"abstractTitle text-title my-1\" id=\"d1742e2\"&gt;Abstract&lt;/h2&gt;&lt;p&gt;A multiscale modeling study of a real case has been conducted to explore the capability of the large-eddy simulation version of the Weather Research and Forecasting Model (WRF-LES) over Xiaohaituo Mountain (a game zone for the Beijing, China, 2022 Winter Olympic Games). In comparing WRF-LES results with observations collected during the Mountain Terrain Atmospheric Observations and Modeling (MOUNTAOM) field campaign, it is found that at 37-m resolution with LES settings, the model can reasonably capture both large-scale events and microscale atmospheric circulation characteristics. Employing the Shuttle Radar Topography Mission 1 arc s dataset (SRTM1; ~30 m) high-resolution topographic dataset instead of the traditional USGS_30s (~900 m) dataset effectively improves the model capability for reproducing fluctuations and turbulent features of surface winds. Five sensitivity experiments are conducted to investigate the impact of different PBL treatments, including YSU/Shin and Hong (SH) PBL schemes and LES with 1.5-order turbulence kinetic energy closure model (1.5TKE), Smagorinsky (SMAG), and nonlinear backscatter and anisotropy (NBA) subgrid-scale (SGS) stress models. In this case, at gray-zone scales, differences between YSU and SH are negligible. LES outperform two PBL schemes that generate smaller turbulence kinetic energy and increase the model errors for mean wind speed, energy spectra, and probability density functions of velocity. Another key finding is that wind field features in the boundary layer over complex terrain are more sensitive to the choice of SGS models than above the boundary layer. With the increase of model resolution, the effects of the SGS model become more significant, especially for the statistical characteristics of turbulence. Among these three SGS models, NBA has the best performance. Overall, this study demonstrates that WRF-LES is a promising tool for simulating real weather flows over complex terrain.&lt;/p&gt;&lt;/section&gt;","container-title":"Journal of Applied Meteorology and Climatology","DOI":"10.1175/JAMC-D-19-0304.1","ISSN":"1558-8424, 1558-8432","issue":"9","language":"EN","note":"publisher: American Meteorological Society\nsection: Journal of Applied Meteorology and Climatology","page":"1481-1501","source":"journals.ametsoc.org","title":"Simulation of Flow Fields in Complex Terrain with WRF-LES: Sensitivity Assessment of Different PBL Treatments","title-short":"Simulation of Flow Fields in Complex Terrain with WRF-LES","URL":"https://journals.ametsoc.org/view/journals/apme/59/9/jamcD190304.xml","volume":"59","author":[{"family":"Liu","given":"Yubao"},{"family":"Muñoz-Esparza","given":"Domingo"},{"family":"Hu","given":"Fei"},{"family":"Yan","given":"Chao"},{"family":"Miao","given":"Shiguang"}],"accessed":{"date-parts":[["2021",4,20]]},"issued":{"date-parts":[["2020",9,18]]}}},{"id":11,"uris":["http://zotero.org/users/7904379/items/KM4JS3VV"],"itemData":{"id":11,"type":"article-journal","abstract":"Abstract\n            The evaluation of turbulence closure models for large-eddy simulation (LES) has primarily been performed over flat terrain, where comparisons with theory and observations are simplified. The authors have previously developed improved closure models using explicit filtering and reconstruction, together with a dynamic eddy-viscosity model and a near-wall stress term. This dynamic reconstruction model (DRM) is a mixed model, combining scale-similarity and eddy-viscosity components. The DRM gave improved results over standard eddy-viscosity models for neutral boundary layer flow over flat but rough terrain, yielding the expected logarithmic velocity profiles near the wall. The results from the studies over flat terrain are now extended to flow over full-scale topography. The test case is flow over Askervein Hill, an isolated hill in western Scotland, where a field campaign was conducted in 1983 with the purpose of capturing wind data representing atmospheric episodes under near-neutral stratification and steady wind conditions. This widely studied flow provides a more challenging test case for the new turbulence models because of the sloping terrain and separation in the lee of the hill. Since an LES formulation is used, a number of simulation features are different than those typically used in the Askervein literature. The simulations are inherently unsteady, the inflow conditions are provided by a separate turbulent flow database, and (uniquely herein) ensemble averages of the turbulent flow results are used in comparisons with field data. Results indicate that the DRM can improve the predictions of flow speedup and especially turbulent kinetic energy (TKE) over the hill when compared with the standard TKE-1.5 model. This is the first study, to the authors’ knowledge, in which explicit filtering and reconstruction (scale similarity) and dynamic turbulence models have been applied to full-scale simulations of the atmospheric boundary layer over terrain. Simulations with the lowest level of reconstruction are straightforward. Increased levels of reconstruction, however, present difficulties when used with a dynamic eddy-viscosity model. An alternative mixed model is proposed to avoid the complexities associated with the dynamic procedure and to allow higher levels of reconstruction; this mixed model combines a standard TKE-1.5 eddy-viscosity closure with velocity reconstruction to form a simple and efficient turbulence model that gives good results for both mean flow and turbulence over Askervein Hill. The results indicate that significant improvements in LES over complex terrain can be obtained by the use of mixed models that combine scale-similarity and eddy-viscosity components.","container-title":"Journal of Applied Meteorology and Climatology","DOI":"10.1175/2008JAMC1862.1","ISSN":"1558-8432, 1558-8424","issue":"5","language":"en","page":"1050-1065","source":"DOI.org (Crossref)","title":"Evaluation of Turbulence Closure Models for Large-Eddy Simulation over Complex Terrain: Flow over Askervein Hill","title-short":"Evaluation of Turbulence Closure Models for Large-Eddy Simulation over Complex Terrain","URL":"http://journals.ametsoc.org/doi/10.1175/2008JAMC1862.1","volume":"48","author":[{"family":"Chow","given":"Fotini Katopodes"},{"family":"Street","given":"Robert L."}],"accessed":{"date-parts":[["2021",3,25]]},"issued":{"date-parts":[["2009",5,1]]}}}],"schema":"https://github.com/citation-style-language/schema/raw/master/csl-citation.json"} </w:instrText>
      </w:r>
      <w:r w:rsidR="00722877" w:rsidRPr="002C7DEC">
        <w:fldChar w:fldCharType="separate"/>
      </w:r>
      <w:r w:rsidR="00C62A9A" w:rsidRPr="00C62A9A">
        <w:t>(Canuto &amp; Cheng, 1997; Chow &amp; Street, 2009; Y. Liu et al., 2020; Zheng et al., 2015)</w:t>
      </w:r>
      <w:r w:rsidR="00722877" w:rsidRPr="002C7DEC">
        <w:fldChar w:fldCharType="end"/>
      </w:r>
      <w:r w:rsidR="00722877" w:rsidRPr="002C7DEC">
        <w:t>. In real</w:t>
      </w:r>
      <m:oMath>
        <m:r>
          <w:rPr>
            <w:rFonts w:ascii="Cambria Math" w:hAnsi="Cambria Math"/>
          </w:rPr>
          <m:t>-</m:t>
        </m:r>
      </m:oMath>
      <w:r w:rsidR="00722877" w:rsidRPr="002C7DEC">
        <w:t>case LES mode, the use of SGS TKE1.5 needs a filter (</w:t>
      </w:r>
      <m:oMath>
        <m:sSub>
          <m:sSubPr>
            <m:ctrlPr>
              <w:rPr>
                <w:rFonts w:ascii="Cambria Math" w:hAnsi="Cambria Math"/>
                <w:iCs/>
              </w:rPr>
            </m:ctrlPr>
          </m:sSubPr>
          <m:e>
            <m:r>
              <m:rPr>
                <m:sty m:val="p"/>
              </m:rPr>
              <w:rPr>
                <w:rFonts w:ascii="Cambria Math" w:hAnsi="Cambria Math"/>
              </w:rPr>
              <m:t xml:space="preserve"> C</m:t>
            </m:r>
          </m:e>
          <m:sub>
            <m:r>
              <m:rPr>
                <m:sty m:val="p"/>
              </m:rPr>
              <w:rPr>
                <w:rFonts w:ascii="Cambria Math" w:hAnsi="Cambria Math"/>
              </w:rPr>
              <m:t>k</m:t>
            </m:r>
          </m:sub>
        </m:sSub>
      </m:oMath>
      <w:r w:rsidR="00722877" w:rsidRPr="002C7DEC">
        <w:t xml:space="preserve">) in the inertial subrange to filter the SGS noise </w:t>
      </w:r>
      <w:r w:rsidR="00722877" w:rsidRPr="002C7DEC">
        <w:fldChar w:fldCharType="begin"/>
      </w:r>
      <w:r w:rsidR="00A44B66">
        <w:instrText xml:space="preserve"> ADDIN ZOTERO_ITEM CSL_CITATION {"citationID":"a2dvcaimdae","properties":{"formattedCitation":"(Deardorff, 1980; Takemi &amp; Rotunno, 2003)","plainCitation":"(Deardorff, 1980; Takemi &amp; Rotunno, 2003)","noteIndex":0},"citationItems":[{"id":86,"uris":["http://zotero.org/users/7904379/items/RJXV6VDZ"],"itemData":{"id":86,"type":"article-journal","abstract":"&lt;section class=\"abstract\"&gt;&lt;h2 class=\"abstractTitle text-title my-1\" id=\"d1375e2\"&gt;Abstract&lt;/h2&gt;&lt;p&gt;Using the newly developed Weather Research and Forecasting (WRF) model, this study investigates the effects of subgrid mixing and numerical filtering in mesoscale cloud simulations by examining the sensitivities to the parameters in turbulence-closure schemes as well as the parameters in the numerical filters. Three-dimensional simulations of squall lines in both no-shear and strong-shear environments have been performed. Using the Smagorinsky or 1.5-order turbulent kinetic energy (TKE) subgrid model with standard values for the model constants and no explicit numerical filter, the solution in the no-shear environment is characterized by many poorly resolved grid-scale cells. In the past, such grid-scale noise was avoided by adding a numerical filter which, however, produces excessive damping of the physical small-scale eddies. Without using such a filter, it was found that by increasing the proportionality constant in the eddy viscosity coefficient in the subgrid turbulence models, the cells become well resolved, but that further increases in the constant overly smooth the cells. Such solution sensitivity is also found in the strong-shear cases. The simulations using the subgrid models with viscosity coefficients 1.5 to 2 times larger than those widely used in other cloud models retain more power in short scales, but without an unwanted buildup of energy; with these optimum values, no numerical filters are required to avoid computational noise. These optimum constants do not depend significantly on grid spacings of &lt;em&gt;O&lt;/em&gt;(1 km). Therefore, it is concluded that by using the eddy viscosity formulation appropriate for mesoscale cloud simulations, the use of artificial numerical filters is avoided, and the mixing processes are represented by more physically based turbulence-closure models.&lt;/p&gt;&lt;/section&gt;","container-title":"Monthly Weather Review","DOI":"10.1175/1520-0493(2003)131&lt;2085:TEOSMM&gt;2.0.CO;2","ISSN":"1520-0493, 0027-0644","issue":"9","language":"EN","note":"publisher: American Meteorological Society\nsection: Monthly Weather Review","page":"2085-2101","source":"journals.ametsoc.org","title":"The Effects of Subgrid Model Mixing and Numerical Filtering in Simulations of Mesoscale Cloud Systems","URL":"https://journals.ametsoc.org/view/journals/mwre/131/9/1520-0493_2003_131_2085_teosmm_2.0.co_2.xml","volume":"131","author":[{"family":"Takemi","given":"Tetsuya"},{"family":"Rotunno","given":"Richard"}],"accessed":{"date-parts":[["2021",3,25]]},"issued":{"date-parts":[["2003",9,1]]}}},{"id":377,"uris":["http://zotero.org/users/7904379/items/TSWWS6BB"],"itemData":{"id":377,"type":"article-journal","abstract":"Results of a three-dimensional numerical model are analysed in a study of turbulence and entrainment within mixed layers containing stratocumulus with or without parameterized cloud-top radiative cooling. The model eliminates most of the assumptions invoked in theories of cloud-capped mixed layers, but suffers disadvantages which include poor resolution and large truncation errors in and above the capping inversion.","container-title":"Boundary-Layer Meteorology","DOI":"10.1007/BF00119502","ISSN":"1573-1472","issue":"4","journalAbbreviation":"Boundary-Layer Meteorol","language":"en","page":"495-527","source":"Springer Link","title":"Stratocumulus-capped mixed layers derived from a three-dimensional model","URL":"https://doi.org/10.1007/BF00119502","volume":"18","author":[{"family":"Deardorff","given":"James W."}],"accessed":{"date-parts":[["2021",4,19]]},"issued":{"date-parts":[["1980",6,1]]}}}],"schema":"https://github.com/citation-style-language/schema/raw/master/csl-citation.json"} </w:instrText>
      </w:r>
      <w:r w:rsidR="00722877" w:rsidRPr="002C7DEC">
        <w:fldChar w:fldCharType="separate"/>
      </w:r>
      <w:r w:rsidR="00A44B66" w:rsidRPr="00A44B66">
        <w:t>(Deardorff, 1980; Takemi &amp; Rotunno, 2003)</w:t>
      </w:r>
      <w:r w:rsidR="00722877" w:rsidRPr="002C7DEC">
        <w:fldChar w:fldCharType="end"/>
      </w:r>
      <w:r w:rsidR="00722877" w:rsidRPr="002C7DEC">
        <w:t xml:space="preserve">. The filter was set to a default value </w:t>
      </w:r>
      <m:oMath>
        <m:r>
          <w:rPr>
            <w:rFonts w:ascii="Cambria Math" w:hAnsi="Cambria Math"/>
          </w:rPr>
          <m:t>(</m:t>
        </m:r>
        <m:sSub>
          <m:sSubPr>
            <m:ctrlPr>
              <w:rPr>
                <w:rFonts w:ascii="Cambria Math" w:hAnsi="Cambria Math"/>
                <w:iCs/>
              </w:rPr>
            </m:ctrlPr>
          </m:sSubPr>
          <m:e>
            <m:r>
              <m:rPr>
                <m:sty m:val="p"/>
              </m:rPr>
              <w:rPr>
                <w:rFonts w:ascii="Cambria Math" w:hAnsi="Cambria Math"/>
              </w:rPr>
              <m:t xml:space="preserve"> C</m:t>
            </m:r>
          </m:e>
          <m:sub>
            <m:r>
              <m:rPr>
                <m:sty m:val="p"/>
              </m:rPr>
              <w:rPr>
                <w:rFonts w:ascii="Cambria Math" w:hAnsi="Cambria Math"/>
              </w:rPr>
              <m:t>k</m:t>
            </m:r>
          </m:sub>
        </m:sSub>
        <m:r>
          <m:rPr>
            <m:sty m:val="p"/>
          </m:rPr>
          <w:rPr>
            <w:rFonts w:ascii="Cambria Math" w:hAnsi="Cambria Math"/>
          </w:rPr>
          <m:t>=0.15)</m:t>
        </m:r>
      </m:oMath>
      <w:r w:rsidR="00722877" w:rsidRPr="002C7DEC">
        <w:t xml:space="preserve"> in this study. The advection options of order </w:t>
      </w:r>
      <m:oMath>
        <m:r>
          <w:rPr>
            <w:rFonts w:ascii="Cambria Math" w:hAnsi="Cambria Math"/>
          </w:rPr>
          <m:t xml:space="preserve">O (h) = </m:t>
        </m:r>
        <m:r>
          <w:rPr>
            <w:rFonts w:ascii="Cambria Math" w:hAnsi="Cambria Math"/>
          </w:rPr>
          <m:t>5</m:t>
        </m:r>
      </m:oMath>
      <w:r w:rsidR="00722877" w:rsidRPr="002C7DEC">
        <w:t xml:space="preserve"> and </w:t>
      </w:r>
      <m:oMath>
        <m:r>
          <w:rPr>
            <w:rFonts w:ascii="Cambria Math" w:hAnsi="Cambria Math"/>
          </w:rPr>
          <m:t xml:space="preserve">O (h) = </m:t>
        </m:r>
        <m:r>
          <w:rPr>
            <w:rFonts w:ascii="Cambria Math" w:hAnsi="Cambria Math"/>
          </w:rPr>
          <m:t>3</m:t>
        </m:r>
      </m:oMath>
      <w:r w:rsidR="00722877" w:rsidRPr="002C7DEC">
        <w:t xml:space="preserve"> were used to compensate for the coarser horizontal resolution </w:t>
      </w:r>
      <w:r w:rsidR="00722877" w:rsidRPr="002C7DEC">
        <w:fldChar w:fldCharType="begin"/>
      </w:r>
      <w:r w:rsidR="00E1325A">
        <w:instrText xml:space="preserve"> ADDIN ZOTERO_ITEM CSL_CITATION {"citationID":"a1vh6nopa31","properties":{"formattedCitation":"(Skamarock et al., 2008)","plainCitation":"(Skamarock et al., 2008)","noteIndex":0},"citationItems":[{"id":63,"uris":["http://zotero.org/users/7904379/items/AGQIY7XM"],"itemData":{"id":63,"type":"report","language":"en","note":"dimensions: 1002 KB\nmedium: application/pdf\nDOI: 10.5065/D68S4MVH","page":"1002 KB","publisher":"UCAR/NCAR","source":"DOI.org (Datacite)","title":"A Description of the Advanced Research WRF Version 3","URL":"http://opensky.ucar.edu/islandora/object/technotes:500","author":[{"family":"Skamarock","given":"William"},{"family":"Klemp","given":"Joseph"},{"family":"Dudhia","given":"Jimy"},{"family":"Gill","given":"David"},{"family":"Barker","given":"Dale"},{"family":"Wang","given":"Wei"},{"family":"Huang","given":"Xiang-Yu"},{"family":"Duda","given":"Michael"}],"accessed":{"date-parts":[["2021",3,25]]},"issued":{"date-parts":[["2008",6]]}}}],"schema":"https://github.com/citation-style-language/schema/raw/master/csl-citation.json"} </w:instrText>
      </w:r>
      <w:r w:rsidR="00722877" w:rsidRPr="002C7DEC">
        <w:fldChar w:fldCharType="separate"/>
      </w:r>
      <w:r w:rsidR="00A44B66" w:rsidRPr="00A44B66">
        <w:t>(Skamarock et al., 2008)</w:t>
      </w:r>
      <w:r w:rsidR="00722877" w:rsidRPr="002C7DEC">
        <w:fldChar w:fldCharType="end"/>
      </w:r>
      <w:r w:rsidR="00722877" w:rsidRPr="002C7DEC">
        <w:t xml:space="preserve">. </w:t>
      </w:r>
    </w:p>
    <w:p w14:paraId="7DCDCA42" w14:textId="1A17BF18" w:rsidR="00722877" w:rsidRPr="002C7DEC" w:rsidRDefault="00C2083B" w:rsidP="008E31C7">
      <w:pPr>
        <w:pStyle w:val="Heading3"/>
        <w:numPr>
          <w:ilvl w:val="2"/>
          <w:numId w:val="27"/>
        </w:numPr>
        <w:ind w:left="540"/>
      </w:pPr>
      <w:r w:rsidRPr="002C7DEC">
        <w:t xml:space="preserve">Experimental </w:t>
      </w:r>
      <w:r>
        <w:t>D</w:t>
      </w:r>
      <w:r w:rsidRPr="002C7DEC">
        <w:t xml:space="preserve">esign </w:t>
      </w:r>
    </w:p>
    <w:p w14:paraId="5AD54DAC" w14:textId="44B2E823" w:rsidR="00722877" w:rsidRDefault="00722877" w:rsidP="00052F10">
      <w:pPr>
        <w:ind w:firstLine="540"/>
      </w:pPr>
      <w:r w:rsidRPr="002C7DEC">
        <w:t>We designed six scenarios (case experiments A, B, B1, C, D</w:t>
      </w:r>
      <w:r w:rsidR="00F677EB">
        <w:t>,</w:t>
      </w:r>
      <w:r w:rsidRPr="002C7DEC">
        <w:t xml:space="preserve"> and E), based on </w:t>
      </w:r>
      <w:r w:rsidRPr="002C7DEC">
        <w:fldChar w:fldCharType="begin"/>
      </w:r>
      <w:r w:rsidR="00EC3304">
        <w:instrText xml:space="preserve"> ADDIN ZOTERO_ITEM CSL_CITATION {"citationID":"a277f183bjo","properties":{"formattedCitation":"(Talbot et al., 2012)","plainCitation":"(Talbot et al., 2012)","dontUpdate":true,"noteIndex":0},"citationItems":[{"id":72,"uris":["http://zotero.org/users/7904379/items/LEVUMHVU"],"itemData":{"id":72,"type":"article-journal","abstract":"&lt;section class=\"abstract\"&gt;&lt;h2 class=\"abstractTitle text-title my-1\" id=\"d5e2\"&gt;Abstract&lt;/h2&gt;&lt;p&gt;This paper assesses the performance of the Weather Research and Forecasting Model (WRF) as a tool for multiscale atmospheric simulations. Tests are performed in real and idealized cases with multiple configurations and with resolutions ranging from the mesoscale (gridcell size ~10 km) for the real cases to local scales (gridcell size ~50 m) for both real and idealized cases. All idealized simulations and the finest real-case simulations use the turbulence-resolving large-eddy simulation mode of WRF (WRF-LES). Tests in neutral conditions and with idealized forcing are first performed to assess the model’s sensitivity to grid resolutions and subgrid-scale parameterizations and to optimize the setup of the real cases. An increase in horizontal model resolution is found to be more beneficial than an increase in vertical resolution. WRF-LES is then tested, using extensive observational data, in real-world cases over complex terrain through nested simulations in which the mesoscale domains drive the LES domains. Analysis of the mesoscale simulations indicates that the data needed to force the largest simulated domain and to initialize surface parameters have the strongest influence on the results. Similarly, LES model fields are primarily influenced by their mesoscale meteorological forcing. As a result, the nesting of LES models down to a 50-m resolution does not improve all aspects of hydrometeorological predictions. Advantages of using fine-resolution LES are noted at nighttime (under stable conditions) and over heterogeneous surfaces when local properties are required or when resolving small-scale surface features is desirable.&lt;/p&gt;&lt;/section&gt;","container-title":"Journal of Hydrometeorology","DOI":"10.1175/JHM-D-11-048.1","ISSN":"1525-7541, 1525-755X","issue":"5","language":"EN","note":"publisher: American Meteorological Society\nsection: Journal of Hydrometeorology","page":"1421-1441","source":"journals.ametsoc.org","title":"Nested Mesoscale Large-Eddy Simulations with WRF: Performance in Real Test Cases","title-short":"Nested Mesoscale Large-Eddy Simulations with WRF","URL":"https://journals.ametsoc.org/view/journals/hydr/13/5/jhm-d-11-048_1.xml","volume":"13","author":[{"family":"Talbot","given":"Charles"},{"family":"Bou-Zeid","given":"Elie"},{"family":"Smith","given":"Jim"}],"accessed":{"date-parts":[["2021",3,25]]},"issued":{"date-parts":[["2012",10,1]]}}}],"schema":"https://github.com/citation-style-language/schema/raw/master/csl-citation.json"} </w:instrText>
      </w:r>
      <w:r w:rsidRPr="002C7DEC">
        <w:fldChar w:fldCharType="separate"/>
      </w:r>
      <w:r w:rsidR="00A44B66" w:rsidRPr="00A44B66">
        <w:t xml:space="preserve">Talbot et al., </w:t>
      </w:r>
      <w:r w:rsidR="00CC154F">
        <w:t>(</w:t>
      </w:r>
      <w:r w:rsidR="00A44B66" w:rsidRPr="00A44B66">
        <w:t>2012)</w:t>
      </w:r>
      <w:r w:rsidRPr="002C7DEC">
        <w:fldChar w:fldCharType="end"/>
      </w:r>
      <w:r w:rsidRPr="002C7DEC">
        <w:t xml:space="preserve"> and </w:t>
      </w:r>
      <w:r w:rsidRPr="002C7DEC">
        <w:fldChar w:fldCharType="begin"/>
      </w:r>
      <w:r w:rsidR="00EC3304">
        <w:instrText xml:space="preserve"> ADDIN ZOTERO_ITEM CSL_CITATION {"citationID":"a2clps3qaf9","properties":{"formattedCitation":"(Heinze et al., 2017)","plainCitation":"(Heinze et al., 2017)","dontUpdate":true,"noteIndex":0},"citationItems":[{"id":409,"uris":["http://zotero.org/users/7904379/items/VGB4LY5M"],"itemData":{"id":409,"type":"article-journal","abstract":"&lt;p&gt;&lt;strong class=\"journal-contentHeaderColor\"&gt;Abstract.&lt;/strong&gt; Large-eddy simulations (LESs) of a multi-week period during the HD(CP)&lt;sup&gt;2&lt;/sup&gt; (High-Definition Clouds and Precipitation for advancing Climate Prediction) Observational Prototype Experiment (HOPE) conducted in Germany are evaluated with respect to mean boundary layer quantities and turbulence statistics. Two LES models are used in a semi-idealized setup through forcing with mesoscale model output to account for the synoptic-scale conditions. Evaluation is performed based on the HOPE observations. The mean boundary layer characteristics like the boundary layer depth are in a principal agreement with observations. Simulating shallow-cumulus layers in agreement with the measurements poses a challenge for both LES models. Variance profiles agree satisfactorily with lidar measurements. The results depend on how the forcing data stemming from mesoscale model output are constructed. The mean boundary layer characteristics become less sensitive if the averaging domain for the forcing is large enough to filter out mesoscale fluctuations.&lt;/p&gt;","container-title":"Atmospheric Chemistry and Physics","DOI":"10.5194/acp-17-7083-2017","ISSN":"1680-7316","issue":"11","language":"English","note":"publisher: Copernicus GmbH","page":"7083-7109","source":"acp.copernicus.org","title":"Evaluation of large-eddy simulations forced with mesoscale model output for a multi-week period during a measurement campaign","URL":"https://acp.copernicus.org/articles/17/7083/2017/","volume":"17","author":[{"family":"Heinze","given":"Rieke"},{"family":"Moseley","given":"Christopher"},{"family":"Böske","given":"Lennart Nils"},{"family":"Muppa","given":"Shravan Kumar"},{"family":"Maurer","given":"Vera"},{"family":"Raasch","given":"Siegfried"},{"family":"Stevens","given":"Bjorn"}],"accessed":{"date-parts":[["2021",4,23]]},"issued":{"date-parts":[["2017",6,15]]}}}],"schema":"https://github.com/citation-style-language/schema/raw/master/csl-citation.json"} </w:instrText>
      </w:r>
      <w:r w:rsidRPr="002C7DEC">
        <w:fldChar w:fldCharType="separate"/>
      </w:r>
      <w:r w:rsidR="00A44B66" w:rsidRPr="00A44B66">
        <w:t xml:space="preserve">Heinze et al., </w:t>
      </w:r>
      <w:r w:rsidR="00CC154F">
        <w:t>(</w:t>
      </w:r>
      <w:r w:rsidR="00A44B66" w:rsidRPr="00A44B66">
        <w:t>2017)</w:t>
      </w:r>
      <w:r w:rsidRPr="002C7DEC">
        <w:fldChar w:fldCharType="end"/>
      </w:r>
      <w:r w:rsidRPr="002C7DEC">
        <w:t>, to account for the reliability of simulation results compared to observations, the efficiency of physical parameterization, and the skill of the strategy used in each scenario. These allowed us to prescribe dynamics associated with ABL process of C</w:t>
      </w:r>
      <w:r w:rsidR="00A02CE4">
        <w:rPr>
          <w:rFonts w:eastAsia="SimSun" w:hint="eastAsia"/>
          <w:lang w:eastAsia="zh-CN"/>
        </w:rPr>
        <w:t>C</w:t>
      </w:r>
      <w:r w:rsidRPr="002C7DEC">
        <w:t xml:space="preserve"> development over TP. We first assessed the mesoscale simulations, then performed the LES runs through a one-way nest</w:t>
      </w:r>
      <w:r w:rsidR="006277A0">
        <w:t>ing</w:t>
      </w:r>
      <w:r w:rsidRPr="002C7DEC">
        <w:t xml:space="preserve"> strategy, as presented in Table </w:t>
      </w:r>
      <w:r w:rsidR="005B5282">
        <w:t>4</w:t>
      </w:r>
      <w:r w:rsidRPr="002C7DEC">
        <w:t xml:space="preserve">.  </w:t>
      </w:r>
    </w:p>
    <w:p w14:paraId="4C9D57A5" w14:textId="35A7EC94" w:rsidR="00741F93" w:rsidRPr="00741F93" w:rsidRDefault="00741F93" w:rsidP="00741F93">
      <w:bookmarkStart w:id="46" w:name="_Hlk102900406"/>
      <w:r w:rsidRPr="00741F93">
        <w:rPr>
          <w:b/>
          <w:bCs/>
        </w:rPr>
        <w:lastRenderedPageBreak/>
        <w:t xml:space="preserve">Table </w:t>
      </w:r>
      <w:r w:rsidRPr="00741F93">
        <w:rPr>
          <w:b/>
          <w:bCs/>
        </w:rPr>
        <w:fldChar w:fldCharType="begin"/>
      </w:r>
      <w:r w:rsidRPr="00741F93">
        <w:rPr>
          <w:b/>
          <w:bCs/>
        </w:rPr>
        <w:instrText xml:space="preserve"> SEQ Table \* ARABIC </w:instrText>
      </w:r>
      <w:r w:rsidRPr="00741F93">
        <w:rPr>
          <w:b/>
          <w:bCs/>
        </w:rPr>
        <w:fldChar w:fldCharType="separate"/>
      </w:r>
      <w:r w:rsidR="004302F1">
        <w:rPr>
          <w:b/>
          <w:bCs/>
          <w:noProof/>
        </w:rPr>
        <w:t>4</w:t>
      </w:r>
      <w:r w:rsidRPr="00741F93">
        <w:rPr>
          <w:b/>
          <w:bCs/>
        </w:rPr>
        <w:fldChar w:fldCharType="end"/>
      </w:r>
      <w:r w:rsidRPr="00741F93">
        <w:t xml:space="preserve">, : </w:t>
      </w:r>
      <w:bookmarkStart w:id="47" w:name="_Hlk79704716"/>
      <w:r w:rsidRPr="00741F93">
        <w:t>Controlled experiment for mesoscale</w:t>
      </w:r>
      <w:r w:rsidR="00291D77">
        <w:t xml:space="preserve"> </w:t>
      </w:r>
      <w:r w:rsidR="00034901">
        <w:rPr>
          <w:rFonts w:eastAsia="SimSun" w:hint="eastAsia"/>
          <w:lang w:eastAsia="zh-CN"/>
        </w:rPr>
        <w:t xml:space="preserve">simulations </w:t>
      </w:r>
      <w:r w:rsidR="00291D77">
        <w:t>and LES</w:t>
      </w:r>
      <w:r w:rsidRPr="00741F93">
        <w:t xml:space="preserve">; </w:t>
      </w:r>
      <w:bookmarkStart w:id="48" w:name="_Hlk60249111"/>
      <w:r w:rsidRPr="00741F93">
        <w:t xml:space="preserve">observation </w:t>
      </w:r>
      <w:bookmarkEnd w:id="48"/>
      <w:r w:rsidRPr="00741F93">
        <w:t xml:space="preserve">data </w:t>
      </w:r>
      <w:r w:rsidR="00034901">
        <w:rPr>
          <w:rFonts w:eastAsia="SimSun" w:hint="eastAsia"/>
          <w:lang w:eastAsia="zh-CN"/>
        </w:rPr>
        <w:t>were</w:t>
      </w:r>
      <w:r w:rsidRPr="00741F93">
        <w:t xml:space="preserve"> used through Observation Nudging strategy; FNL, final reanalysis; TKE1.5, one and a half order turbulent kinetic energy closure model, used in anisotropic turbulence</w:t>
      </w:r>
      <w:r w:rsidR="004C44C0">
        <w:t xml:space="preserve"> for mesoscale simulation</w:t>
      </w:r>
      <w:r w:rsidR="00034901">
        <w:rPr>
          <w:rFonts w:eastAsia="SimSun" w:hint="eastAsia"/>
          <w:lang w:eastAsia="zh-CN"/>
        </w:rPr>
        <w:t>s</w:t>
      </w:r>
      <w:r w:rsidR="004C44C0">
        <w:t xml:space="preserve"> and </w:t>
      </w:r>
      <w:r w:rsidR="004C44C0" w:rsidRPr="004C44C0">
        <w:t>isotropic turbulence</w:t>
      </w:r>
      <w:r w:rsidR="004C44C0">
        <w:t xml:space="preserve"> for LES</w:t>
      </w:r>
      <w:r w:rsidRPr="00741F93">
        <w:t xml:space="preserve">; </w:t>
      </w:r>
      <w:bookmarkStart w:id="49" w:name="_Hlk70087480"/>
      <m:oMath>
        <m:sSub>
          <m:sSubPr>
            <m:ctrlPr>
              <w:rPr>
                <w:rFonts w:ascii="Cambria Math" w:hAnsi="Cambria Math"/>
              </w:rPr>
            </m:ctrlPr>
          </m:sSubPr>
          <m:e>
            <m:r>
              <m:rPr>
                <m:sty m:val="p"/>
              </m:rPr>
              <w:rPr>
                <w:rFonts w:ascii="Cambria Math" w:hAnsi="Cambria Math"/>
              </w:rPr>
              <m:t>R</m:t>
            </m:r>
          </m:e>
          <m:sub>
            <m:r>
              <m:rPr>
                <m:sty m:val="p"/>
              </m:rPr>
              <w:rPr>
                <w:rFonts w:ascii="Cambria Math" w:hAnsi="Cambria Math"/>
              </w:rPr>
              <m:t>i=1-3</m:t>
            </m:r>
          </m:sub>
        </m:sSub>
      </m:oMath>
      <w:r w:rsidRPr="00741F93">
        <w:t xml:space="preserve"> represent the radii of influence</w:t>
      </w:r>
      <w:bookmarkEnd w:id="49"/>
      <w:r w:rsidRPr="00741F93">
        <w:t xml:space="preserve"> </w:t>
      </w:r>
      <w:bookmarkStart w:id="50" w:name="_Hlk99873701"/>
      <w:r w:rsidRPr="00741F93">
        <w:t>values</w:t>
      </w:r>
      <w:r w:rsidR="00930557">
        <w:t xml:space="preserve"> from </w:t>
      </w:r>
      <m:oMath>
        <m:sSub>
          <m:sSubPr>
            <m:ctrlPr>
              <w:rPr>
                <w:rFonts w:ascii="Cambria Math" w:hAnsi="Cambria Math"/>
              </w:rPr>
            </m:ctrlPr>
          </m:sSubPr>
          <m:e>
            <m:r>
              <w:rPr>
                <w:rFonts w:ascii="Cambria Math" w:hAnsi="Cambria Math"/>
              </w:rPr>
              <m:t>D</m:t>
            </m:r>
            <m:r>
              <m:rPr>
                <m:sty m:val="p"/>
              </m:rPr>
              <w:rPr>
                <w:rFonts w:ascii="Cambria Math" w:hAnsi="Cambria Math"/>
              </w:rPr>
              <m:t>0</m:t>
            </m:r>
          </m:e>
          <m:sub>
            <m:r>
              <w:rPr>
                <w:rFonts w:ascii="Cambria Math" w:hAnsi="Cambria Math"/>
              </w:rPr>
              <m:t>i</m:t>
            </m:r>
            <m:r>
              <m:rPr>
                <m:sty m:val="p"/>
              </m:rPr>
              <w:rPr>
                <w:rFonts w:ascii="Cambria Math" w:hAnsi="Cambria Math"/>
              </w:rPr>
              <m:t>=1</m:t>
            </m:r>
          </m:sub>
        </m:sSub>
      </m:oMath>
      <w:r w:rsidR="00930557" w:rsidRPr="00291D77">
        <w:t xml:space="preserve"> to </w:t>
      </w:r>
      <m:oMath>
        <m:sSub>
          <m:sSubPr>
            <m:ctrlPr>
              <w:rPr>
                <w:rFonts w:ascii="Cambria Math" w:hAnsi="Cambria Math"/>
              </w:rPr>
            </m:ctrlPr>
          </m:sSubPr>
          <m:e>
            <m:r>
              <w:rPr>
                <w:rFonts w:ascii="Cambria Math" w:hAnsi="Cambria Math"/>
              </w:rPr>
              <m:t>D</m:t>
            </m:r>
            <m:r>
              <m:rPr>
                <m:sty m:val="p"/>
              </m:rPr>
              <w:rPr>
                <w:rFonts w:ascii="Cambria Math" w:hAnsi="Cambria Math"/>
              </w:rPr>
              <m:t>0</m:t>
            </m:r>
          </m:e>
          <m:sub>
            <m:r>
              <w:rPr>
                <w:rFonts w:ascii="Cambria Math" w:hAnsi="Cambria Math"/>
              </w:rPr>
              <m:t>i</m:t>
            </m:r>
            <m:r>
              <m:rPr>
                <m:sty m:val="p"/>
              </m:rPr>
              <w:rPr>
                <w:rFonts w:ascii="Cambria Math" w:hAnsi="Cambria Math"/>
              </w:rPr>
              <m:t>=3</m:t>
            </m:r>
          </m:sub>
        </m:sSub>
      </m:oMath>
      <w:r w:rsidR="00930557" w:rsidRPr="00291D77">
        <w:t>,</w:t>
      </w:r>
      <w:r w:rsidRPr="00741F93">
        <w:t xml:space="preserve"> </w:t>
      </w:r>
      <w:bookmarkEnd w:id="50"/>
      <w:r w:rsidR="004C44C0">
        <w:t xml:space="preserve">and </w:t>
      </w:r>
      <m:oMath>
        <m:sSub>
          <m:sSubPr>
            <m:ctrlPr>
              <w:rPr>
                <w:rFonts w:ascii="Cambria Math" w:hAnsi="Cambria Math"/>
              </w:rPr>
            </m:ctrlPr>
          </m:sSubPr>
          <m:e>
            <m:r>
              <w:rPr>
                <w:rFonts w:ascii="Cambria Math" w:hAnsi="Cambria Math"/>
              </w:rPr>
              <m:t>R</m:t>
            </m:r>
          </m:e>
          <m:sub>
            <m:r>
              <w:rPr>
                <w:rFonts w:ascii="Cambria Math" w:hAnsi="Cambria Math"/>
              </w:rPr>
              <m:t>i</m:t>
            </m:r>
            <m:r>
              <m:rPr>
                <m:sty m:val="p"/>
              </m:rPr>
              <w:rPr>
                <w:rFonts w:ascii="Cambria Math" w:hAnsi="Cambria Math"/>
              </w:rPr>
              <m:t>=4,5</m:t>
            </m:r>
          </m:sub>
        </m:sSub>
      </m:oMath>
      <w:r w:rsidR="004C44C0">
        <w:t xml:space="preserve"> </w:t>
      </w:r>
      <w:r w:rsidR="00622710">
        <w:t xml:space="preserve">are the </w:t>
      </w:r>
      <w:r w:rsidR="00622710" w:rsidRPr="00741F93">
        <w:t>values</w:t>
      </w:r>
      <w:r w:rsidR="00622710">
        <w:t xml:space="preserve"> from </w:t>
      </w:r>
      <m:oMath>
        <m:sSub>
          <m:sSubPr>
            <m:ctrlPr>
              <w:rPr>
                <w:rFonts w:ascii="Cambria Math" w:hAnsi="Cambria Math"/>
              </w:rPr>
            </m:ctrlPr>
          </m:sSubPr>
          <m:e>
            <m:r>
              <w:rPr>
                <w:rFonts w:ascii="Cambria Math" w:hAnsi="Cambria Math"/>
              </w:rPr>
              <m:t>D</m:t>
            </m:r>
            <m:r>
              <m:rPr>
                <m:sty m:val="p"/>
              </m:rPr>
              <w:rPr>
                <w:rFonts w:ascii="Cambria Math" w:hAnsi="Cambria Math"/>
              </w:rPr>
              <m:t>0</m:t>
            </m:r>
          </m:e>
          <m:sub>
            <m:r>
              <w:rPr>
                <w:rFonts w:ascii="Cambria Math" w:hAnsi="Cambria Math"/>
              </w:rPr>
              <m:t>i</m:t>
            </m:r>
            <m:r>
              <m:rPr>
                <m:sty m:val="p"/>
              </m:rPr>
              <w:rPr>
                <w:rFonts w:ascii="Cambria Math" w:hAnsi="Cambria Math"/>
              </w:rPr>
              <m:t>=4</m:t>
            </m:r>
          </m:sub>
        </m:sSub>
      </m:oMath>
      <w:r w:rsidR="00622710" w:rsidRPr="00291D77">
        <w:t xml:space="preserve"> to </w:t>
      </w:r>
      <m:oMath>
        <m:sSub>
          <m:sSubPr>
            <m:ctrlPr>
              <w:rPr>
                <w:rFonts w:ascii="Cambria Math" w:hAnsi="Cambria Math"/>
              </w:rPr>
            </m:ctrlPr>
          </m:sSubPr>
          <m:e>
            <m:r>
              <w:rPr>
                <w:rFonts w:ascii="Cambria Math" w:hAnsi="Cambria Math"/>
              </w:rPr>
              <m:t>D</m:t>
            </m:r>
            <m:r>
              <m:rPr>
                <m:sty m:val="p"/>
              </m:rPr>
              <w:rPr>
                <w:rFonts w:ascii="Cambria Math" w:hAnsi="Cambria Math"/>
              </w:rPr>
              <m:t>0</m:t>
            </m:r>
          </m:e>
          <m:sub>
            <m:r>
              <w:rPr>
                <w:rFonts w:ascii="Cambria Math" w:hAnsi="Cambria Math"/>
              </w:rPr>
              <m:t>i</m:t>
            </m:r>
            <m:r>
              <m:rPr>
                <m:sty m:val="p"/>
              </m:rPr>
              <w:rPr>
                <w:rFonts w:ascii="Cambria Math" w:hAnsi="Cambria Math"/>
              </w:rPr>
              <m:t>=5</m:t>
            </m:r>
          </m:sub>
        </m:sSub>
      </m:oMath>
      <w:r w:rsidR="00622710" w:rsidRPr="00291D77">
        <w:t>,</w:t>
      </w:r>
      <w:bookmarkEnd w:id="47"/>
      <w:r w:rsidRPr="00741F93">
        <w:t xml:space="preserve">  Eta levels </w:t>
      </w:r>
      <w:r w:rsidR="00034901">
        <w:rPr>
          <w:rFonts w:eastAsia="SimSun" w:hint="eastAsia"/>
          <w:lang w:eastAsia="zh-CN"/>
        </w:rPr>
        <w:t>were</w:t>
      </w:r>
      <w:r w:rsidRPr="00741F93">
        <w:t xml:space="preserve"> generated automatically for cases A, B, </w:t>
      </w:r>
      <w:r w:rsidR="00930557">
        <w:t xml:space="preserve">and C but </w:t>
      </w:r>
      <w:r w:rsidR="00291D77">
        <w:t xml:space="preserve">customized for case </w:t>
      </w:r>
      <w:r w:rsidRPr="00741F93">
        <w:t>B1.</w:t>
      </w:r>
      <w:r w:rsidR="00784FA4">
        <w:t xml:space="preserve"> </w:t>
      </w:r>
      <w:r w:rsidR="00291D77" w:rsidRPr="00291D77">
        <w:t>SGS, subgrid-scale.</w:t>
      </w:r>
    </w:p>
    <w:tbl>
      <w:tblPr>
        <w:tblStyle w:val="TableGridLight1"/>
        <w:tblW w:w="8995" w:type="dxa"/>
        <w:jc w:val="center"/>
        <w:tblLayout w:type="fixed"/>
        <w:tblLook w:val="04A0" w:firstRow="1" w:lastRow="0" w:firstColumn="1" w:lastColumn="0" w:noHBand="0" w:noVBand="1"/>
      </w:tblPr>
      <w:tblGrid>
        <w:gridCol w:w="1090"/>
        <w:gridCol w:w="636"/>
        <w:gridCol w:w="636"/>
        <w:gridCol w:w="1090"/>
        <w:gridCol w:w="1363"/>
        <w:gridCol w:w="1267"/>
        <w:gridCol w:w="1459"/>
        <w:gridCol w:w="1454"/>
      </w:tblGrid>
      <w:tr w:rsidR="001B70A3" w:rsidRPr="00291D77" w14:paraId="33F2DA4F" w14:textId="77777777" w:rsidTr="00663612">
        <w:trPr>
          <w:trHeight w:val="191"/>
          <w:jc w:val="center"/>
        </w:trPr>
        <w:tc>
          <w:tcPr>
            <w:tcW w:w="1090" w:type="dxa"/>
            <w:vMerge w:val="restart"/>
            <w:tcBorders>
              <w:top w:val="single" w:sz="8" w:space="0" w:color="auto"/>
              <w:left w:val="single" w:sz="8" w:space="0" w:color="auto"/>
              <w:right w:val="single" w:sz="8" w:space="0" w:color="auto"/>
            </w:tcBorders>
            <w:vAlign w:val="center"/>
          </w:tcPr>
          <w:p w14:paraId="1B2D4076" w14:textId="77777777" w:rsidR="00425BD7" w:rsidRPr="00D3656B" w:rsidRDefault="00425BD7" w:rsidP="001B70A3">
            <w:pPr>
              <w:spacing w:after="0"/>
              <w:jc w:val="center"/>
              <w:rPr>
                <w:b/>
                <w:bCs/>
                <w:sz w:val="16"/>
                <w:szCs w:val="16"/>
              </w:rPr>
            </w:pPr>
            <w:bookmarkStart w:id="51" w:name="_Hlk102900337"/>
            <w:bookmarkEnd w:id="46"/>
            <w:r w:rsidRPr="00D3656B">
              <w:rPr>
                <w:b/>
                <w:bCs/>
                <w:sz w:val="16"/>
                <w:szCs w:val="16"/>
              </w:rPr>
              <w:t>Mesoscale</w:t>
            </w:r>
          </w:p>
          <w:p w14:paraId="320EB394" w14:textId="77777777" w:rsidR="00425BD7" w:rsidRPr="00291D77" w:rsidRDefault="00425BD7" w:rsidP="001B70A3">
            <w:pPr>
              <w:spacing w:after="0"/>
              <w:jc w:val="center"/>
              <w:rPr>
                <w:b/>
                <w:bCs/>
                <w:sz w:val="16"/>
                <w:szCs w:val="16"/>
              </w:rPr>
            </w:pPr>
            <w:r w:rsidRPr="00D3656B">
              <w:rPr>
                <w:b/>
                <w:bCs/>
                <w:sz w:val="16"/>
                <w:szCs w:val="16"/>
              </w:rPr>
              <w:t>Simulations</w:t>
            </w:r>
          </w:p>
        </w:tc>
        <w:tc>
          <w:tcPr>
            <w:tcW w:w="636" w:type="dxa"/>
            <w:vMerge w:val="restart"/>
            <w:tcBorders>
              <w:top w:val="single" w:sz="8" w:space="0" w:color="auto"/>
              <w:left w:val="single" w:sz="8" w:space="0" w:color="auto"/>
            </w:tcBorders>
            <w:vAlign w:val="center"/>
          </w:tcPr>
          <w:p w14:paraId="790BFDE4" w14:textId="77777777" w:rsidR="00425BD7" w:rsidRPr="00291D77" w:rsidRDefault="00425BD7" w:rsidP="001B70A3">
            <w:pPr>
              <w:spacing w:after="0"/>
              <w:jc w:val="center"/>
              <w:rPr>
                <w:b/>
                <w:bCs/>
                <w:sz w:val="16"/>
                <w:szCs w:val="16"/>
              </w:rPr>
            </w:pPr>
            <w:r w:rsidRPr="00291D77">
              <w:rPr>
                <w:b/>
                <w:bCs/>
                <w:sz w:val="16"/>
                <w:szCs w:val="16"/>
              </w:rPr>
              <w:t>Case</w:t>
            </w:r>
          </w:p>
        </w:tc>
        <w:tc>
          <w:tcPr>
            <w:tcW w:w="636" w:type="dxa"/>
            <w:vMerge w:val="restart"/>
            <w:tcBorders>
              <w:top w:val="single" w:sz="8" w:space="0" w:color="auto"/>
            </w:tcBorders>
            <w:vAlign w:val="center"/>
          </w:tcPr>
          <w:p w14:paraId="5C181ED2" w14:textId="77777777" w:rsidR="00425BD7" w:rsidRPr="00291D77" w:rsidRDefault="00425BD7" w:rsidP="001B70A3">
            <w:pPr>
              <w:spacing w:after="0"/>
              <w:jc w:val="center"/>
              <w:rPr>
                <w:b/>
                <w:bCs/>
                <w:sz w:val="16"/>
                <w:szCs w:val="16"/>
              </w:rPr>
            </w:pPr>
            <w:r w:rsidRPr="00291D77">
              <w:rPr>
                <w:b/>
                <w:bCs/>
                <w:sz w:val="16"/>
                <w:szCs w:val="16"/>
              </w:rPr>
              <w:t>Input Data</w:t>
            </w:r>
          </w:p>
        </w:tc>
        <w:tc>
          <w:tcPr>
            <w:tcW w:w="1090" w:type="dxa"/>
            <w:vMerge w:val="restart"/>
            <w:tcBorders>
              <w:top w:val="single" w:sz="8" w:space="0" w:color="auto"/>
            </w:tcBorders>
            <w:vAlign w:val="center"/>
          </w:tcPr>
          <w:p w14:paraId="24633608" w14:textId="77777777" w:rsidR="00425BD7" w:rsidRPr="00291D77" w:rsidRDefault="00425BD7" w:rsidP="001B70A3">
            <w:pPr>
              <w:spacing w:after="0"/>
              <w:jc w:val="center"/>
              <w:rPr>
                <w:b/>
                <w:bCs/>
                <w:sz w:val="16"/>
                <w:szCs w:val="16"/>
              </w:rPr>
            </w:pPr>
            <w:r w:rsidRPr="00291D77">
              <w:rPr>
                <w:b/>
                <w:bCs/>
                <w:sz w:val="16"/>
                <w:szCs w:val="16"/>
              </w:rPr>
              <w:t>Horizontal</w:t>
            </w:r>
          </w:p>
          <w:p w14:paraId="0D1C9F49" w14:textId="77777777" w:rsidR="00425BD7" w:rsidRPr="00291D77" w:rsidRDefault="00425BD7" w:rsidP="001B70A3">
            <w:pPr>
              <w:spacing w:after="0"/>
              <w:jc w:val="center"/>
              <w:rPr>
                <w:b/>
                <w:bCs/>
                <w:sz w:val="16"/>
                <w:szCs w:val="16"/>
              </w:rPr>
            </w:pPr>
            <w:r w:rsidRPr="00291D77">
              <w:rPr>
                <w:b/>
                <w:bCs/>
                <w:sz w:val="16"/>
                <w:szCs w:val="16"/>
              </w:rPr>
              <w:t>Turbulence</w:t>
            </w:r>
          </w:p>
        </w:tc>
        <w:tc>
          <w:tcPr>
            <w:tcW w:w="1363" w:type="dxa"/>
            <w:vMerge w:val="restart"/>
            <w:tcBorders>
              <w:top w:val="single" w:sz="8" w:space="0" w:color="auto"/>
              <w:right w:val="single" w:sz="8" w:space="0" w:color="auto"/>
            </w:tcBorders>
            <w:vAlign w:val="center"/>
          </w:tcPr>
          <w:p w14:paraId="1E1766D9" w14:textId="77777777" w:rsidR="00425BD7" w:rsidRPr="00291D77" w:rsidRDefault="00425BD7" w:rsidP="001B70A3">
            <w:pPr>
              <w:spacing w:after="0"/>
              <w:jc w:val="center"/>
              <w:rPr>
                <w:b/>
                <w:bCs/>
                <w:sz w:val="16"/>
                <w:szCs w:val="16"/>
              </w:rPr>
            </w:pPr>
            <w:r w:rsidRPr="00291D77">
              <w:rPr>
                <w:b/>
                <w:bCs/>
                <w:sz w:val="16"/>
                <w:szCs w:val="16"/>
              </w:rPr>
              <w:t>Eta levels</w:t>
            </w:r>
          </w:p>
        </w:tc>
        <w:tc>
          <w:tcPr>
            <w:tcW w:w="4180" w:type="dxa"/>
            <w:gridSpan w:val="3"/>
            <w:tcBorders>
              <w:top w:val="single" w:sz="8" w:space="0" w:color="auto"/>
              <w:left w:val="single" w:sz="8" w:space="0" w:color="auto"/>
              <w:bottom w:val="single" w:sz="8" w:space="0" w:color="auto"/>
              <w:right w:val="single" w:sz="8" w:space="0" w:color="auto"/>
            </w:tcBorders>
            <w:vAlign w:val="center"/>
          </w:tcPr>
          <w:p w14:paraId="02D15692" w14:textId="433A5737" w:rsidR="00425BD7" w:rsidRPr="00291D77" w:rsidRDefault="00425BD7" w:rsidP="001B70A3">
            <w:pPr>
              <w:spacing w:after="0"/>
              <w:jc w:val="center"/>
              <w:rPr>
                <w:b/>
                <w:bCs/>
                <w:sz w:val="16"/>
                <w:szCs w:val="16"/>
              </w:rPr>
            </w:pPr>
            <w:r w:rsidRPr="00291D77">
              <w:rPr>
                <w:b/>
                <w:bCs/>
                <w:sz w:val="16"/>
                <w:szCs w:val="16"/>
              </w:rPr>
              <w:t xml:space="preserve">Horizontal Grid Spacing </w:t>
            </w:r>
            <m:oMath>
              <m:sSub>
                <m:sSubPr>
                  <m:ctrlPr>
                    <w:rPr>
                      <w:rFonts w:ascii="Cambria Math" w:hAnsi="Cambria Math"/>
                      <w:b/>
                      <w:bCs/>
                      <w:sz w:val="16"/>
                      <w:szCs w:val="16"/>
                    </w:rPr>
                  </m:ctrlPr>
                </m:sSubPr>
                <m:e>
                  <m:r>
                    <m:rPr>
                      <m:sty m:val="b"/>
                    </m:rPr>
                    <w:rPr>
                      <w:rFonts w:ascii="Cambria Math" w:hAnsi="Cambria Math"/>
                      <w:sz w:val="16"/>
                      <w:szCs w:val="16"/>
                    </w:rPr>
                    <m:t>∆</m:t>
                  </m:r>
                  <m:r>
                    <m:rPr>
                      <m:sty m:val="bi"/>
                    </m:rPr>
                    <w:rPr>
                      <w:rFonts w:ascii="Cambria Math" w:hAnsi="Cambria Math"/>
                      <w:sz w:val="16"/>
                      <w:szCs w:val="16"/>
                    </w:rPr>
                    <m:t>x</m:t>
                  </m:r>
                </m:e>
                <m:sub>
                  <m:r>
                    <m:rPr>
                      <m:sty m:val="bi"/>
                    </m:rPr>
                    <w:rPr>
                      <w:rFonts w:ascii="Cambria Math" w:hAnsi="Cambria Math"/>
                      <w:sz w:val="16"/>
                      <w:szCs w:val="16"/>
                    </w:rPr>
                    <m:t>i</m:t>
                  </m:r>
                  <m:r>
                    <m:rPr>
                      <m:sty m:val="b"/>
                    </m:rPr>
                    <w:rPr>
                      <w:rFonts w:ascii="Cambria Math" w:hAnsi="Cambria Math"/>
                      <w:sz w:val="16"/>
                      <w:szCs w:val="16"/>
                    </w:rPr>
                    <m:t>=1-3</m:t>
                  </m:r>
                </m:sub>
              </m:sSub>
              <m:r>
                <m:rPr>
                  <m:sty m:val="b"/>
                </m:rPr>
                <w:rPr>
                  <w:rFonts w:ascii="Cambria Math" w:hAnsi="Cambria Math"/>
                  <w:sz w:val="16"/>
                  <w:szCs w:val="16"/>
                </w:rPr>
                <m:t>=</m:t>
              </m:r>
              <m:sSub>
                <m:sSubPr>
                  <m:ctrlPr>
                    <w:rPr>
                      <w:rFonts w:ascii="Cambria Math" w:hAnsi="Cambria Math"/>
                      <w:b/>
                      <w:bCs/>
                      <w:sz w:val="16"/>
                      <w:szCs w:val="16"/>
                    </w:rPr>
                  </m:ctrlPr>
                </m:sSubPr>
                <m:e>
                  <m:r>
                    <m:rPr>
                      <m:sty m:val="b"/>
                    </m:rPr>
                    <w:rPr>
                      <w:rFonts w:ascii="Cambria Math" w:hAnsi="Cambria Math"/>
                      <w:sz w:val="16"/>
                      <w:szCs w:val="16"/>
                    </w:rPr>
                    <m:t>∆</m:t>
                  </m:r>
                  <m:r>
                    <m:rPr>
                      <m:sty m:val="bi"/>
                    </m:rPr>
                    <w:rPr>
                      <w:rFonts w:ascii="Cambria Math" w:hAnsi="Cambria Math"/>
                      <w:sz w:val="16"/>
                      <w:szCs w:val="16"/>
                    </w:rPr>
                    <m:t>y</m:t>
                  </m:r>
                </m:e>
                <m:sub>
                  <m:r>
                    <m:rPr>
                      <m:sty m:val="bi"/>
                    </m:rPr>
                    <w:rPr>
                      <w:rFonts w:ascii="Cambria Math" w:hAnsi="Cambria Math"/>
                      <w:sz w:val="16"/>
                      <w:szCs w:val="16"/>
                    </w:rPr>
                    <m:t>i</m:t>
                  </m:r>
                  <m:r>
                    <m:rPr>
                      <m:sty m:val="b"/>
                    </m:rPr>
                    <w:rPr>
                      <w:rFonts w:ascii="Cambria Math" w:hAnsi="Cambria Math"/>
                      <w:sz w:val="16"/>
                      <w:szCs w:val="16"/>
                    </w:rPr>
                    <m:t>=1-3</m:t>
                  </m:r>
                </m:sub>
              </m:sSub>
            </m:oMath>
            <w:r w:rsidRPr="00291D77">
              <w:rPr>
                <w:b/>
                <w:bCs/>
                <w:sz w:val="16"/>
                <w:szCs w:val="16"/>
              </w:rPr>
              <w:t xml:space="preserve"> and </w:t>
            </w:r>
            <m:oMath>
              <m:sSub>
                <m:sSubPr>
                  <m:ctrlPr>
                    <w:rPr>
                      <w:rFonts w:ascii="Cambria Math" w:hAnsi="Cambria Math"/>
                      <w:b/>
                      <w:bCs/>
                      <w:sz w:val="16"/>
                      <w:szCs w:val="16"/>
                    </w:rPr>
                  </m:ctrlPr>
                </m:sSubPr>
                <m:e>
                  <m:r>
                    <m:rPr>
                      <m:sty m:val="bi"/>
                    </m:rPr>
                    <w:rPr>
                      <w:rFonts w:ascii="Cambria Math" w:hAnsi="Cambria Math"/>
                      <w:sz w:val="16"/>
                      <w:szCs w:val="16"/>
                    </w:rPr>
                    <m:t>R</m:t>
                  </m:r>
                </m:e>
                <m:sub>
                  <m:r>
                    <m:rPr>
                      <m:sty m:val="bi"/>
                    </m:rPr>
                    <w:rPr>
                      <w:rFonts w:ascii="Cambria Math" w:hAnsi="Cambria Math"/>
                      <w:sz w:val="16"/>
                      <w:szCs w:val="16"/>
                    </w:rPr>
                    <m:t>i</m:t>
                  </m:r>
                  <m:r>
                    <m:rPr>
                      <m:sty m:val="b"/>
                    </m:rPr>
                    <w:rPr>
                      <w:rFonts w:ascii="Cambria Math" w:hAnsi="Cambria Math"/>
                      <w:sz w:val="16"/>
                      <w:szCs w:val="16"/>
                    </w:rPr>
                    <m:t>=1-3</m:t>
                  </m:r>
                </m:sub>
              </m:sSub>
            </m:oMath>
          </w:p>
        </w:tc>
      </w:tr>
      <w:tr w:rsidR="00DF332B" w:rsidRPr="00932477" w14:paraId="39F9C0DE" w14:textId="77777777" w:rsidTr="00663612">
        <w:trPr>
          <w:trHeight w:val="191"/>
          <w:jc w:val="center"/>
        </w:trPr>
        <w:tc>
          <w:tcPr>
            <w:tcW w:w="1090" w:type="dxa"/>
            <w:vMerge/>
            <w:tcBorders>
              <w:left w:val="single" w:sz="8" w:space="0" w:color="auto"/>
              <w:right w:val="single" w:sz="8" w:space="0" w:color="auto"/>
            </w:tcBorders>
            <w:vAlign w:val="center"/>
          </w:tcPr>
          <w:p w14:paraId="06ADD62E" w14:textId="77777777" w:rsidR="00425BD7" w:rsidRPr="00932477" w:rsidRDefault="00425BD7" w:rsidP="001B70A3">
            <w:pPr>
              <w:spacing w:after="0"/>
              <w:jc w:val="center"/>
              <w:rPr>
                <w:sz w:val="16"/>
                <w:szCs w:val="16"/>
              </w:rPr>
            </w:pPr>
          </w:p>
        </w:tc>
        <w:tc>
          <w:tcPr>
            <w:tcW w:w="636" w:type="dxa"/>
            <w:vMerge/>
            <w:tcBorders>
              <w:left w:val="single" w:sz="8" w:space="0" w:color="auto"/>
              <w:bottom w:val="single" w:sz="8" w:space="0" w:color="auto"/>
            </w:tcBorders>
            <w:vAlign w:val="center"/>
          </w:tcPr>
          <w:p w14:paraId="55FE6625" w14:textId="77777777" w:rsidR="00425BD7" w:rsidRPr="00932477" w:rsidRDefault="00425BD7" w:rsidP="001B70A3">
            <w:pPr>
              <w:spacing w:after="0"/>
              <w:jc w:val="center"/>
              <w:rPr>
                <w:sz w:val="16"/>
                <w:szCs w:val="16"/>
              </w:rPr>
            </w:pPr>
          </w:p>
        </w:tc>
        <w:tc>
          <w:tcPr>
            <w:tcW w:w="636" w:type="dxa"/>
            <w:vMerge/>
            <w:tcBorders>
              <w:bottom w:val="single" w:sz="8" w:space="0" w:color="auto"/>
            </w:tcBorders>
            <w:vAlign w:val="center"/>
          </w:tcPr>
          <w:p w14:paraId="1BA18591" w14:textId="77777777" w:rsidR="00425BD7" w:rsidRPr="00932477" w:rsidRDefault="00425BD7" w:rsidP="001B70A3">
            <w:pPr>
              <w:spacing w:after="0"/>
              <w:jc w:val="center"/>
              <w:rPr>
                <w:sz w:val="16"/>
                <w:szCs w:val="16"/>
              </w:rPr>
            </w:pPr>
          </w:p>
        </w:tc>
        <w:tc>
          <w:tcPr>
            <w:tcW w:w="1090" w:type="dxa"/>
            <w:vMerge/>
            <w:tcBorders>
              <w:bottom w:val="single" w:sz="8" w:space="0" w:color="auto"/>
            </w:tcBorders>
            <w:vAlign w:val="center"/>
          </w:tcPr>
          <w:p w14:paraId="1E8DC346" w14:textId="77777777" w:rsidR="00425BD7" w:rsidRPr="00932477" w:rsidRDefault="00425BD7" w:rsidP="001B70A3">
            <w:pPr>
              <w:spacing w:after="0"/>
              <w:jc w:val="center"/>
              <w:rPr>
                <w:sz w:val="16"/>
                <w:szCs w:val="16"/>
              </w:rPr>
            </w:pPr>
          </w:p>
        </w:tc>
        <w:tc>
          <w:tcPr>
            <w:tcW w:w="1363" w:type="dxa"/>
            <w:vMerge/>
            <w:tcBorders>
              <w:bottom w:val="single" w:sz="8" w:space="0" w:color="auto"/>
              <w:right w:val="single" w:sz="8" w:space="0" w:color="auto"/>
            </w:tcBorders>
            <w:vAlign w:val="center"/>
          </w:tcPr>
          <w:p w14:paraId="3F8925BA" w14:textId="77777777" w:rsidR="00425BD7" w:rsidRPr="00932477" w:rsidRDefault="00425BD7" w:rsidP="001B70A3">
            <w:pPr>
              <w:spacing w:after="0"/>
              <w:jc w:val="center"/>
              <w:rPr>
                <w:sz w:val="16"/>
                <w:szCs w:val="16"/>
              </w:rPr>
            </w:pPr>
          </w:p>
        </w:tc>
        <w:tc>
          <w:tcPr>
            <w:tcW w:w="1267" w:type="dxa"/>
            <w:tcBorders>
              <w:top w:val="single" w:sz="8" w:space="0" w:color="auto"/>
              <w:left w:val="single" w:sz="8" w:space="0" w:color="auto"/>
            </w:tcBorders>
            <w:vAlign w:val="center"/>
          </w:tcPr>
          <w:p w14:paraId="0B792D7C" w14:textId="77777777" w:rsidR="00425BD7" w:rsidRPr="00932477" w:rsidRDefault="00BB4B77" w:rsidP="001B70A3">
            <w:pPr>
              <w:spacing w:after="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D</m:t>
                    </m:r>
                    <m:r>
                      <m:rPr>
                        <m:sty m:val="p"/>
                      </m:rPr>
                      <w:rPr>
                        <w:rFonts w:ascii="Cambria Math" w:hAnsi="Cambria Math"/>
                        <w:sz w:val="16"/>
                        <w:szCs w:val="16"/>
                      </w:rPr>
                      <m:t>0</m:t>
                    </m:r>
                  </m:e>
                  <m:sub>
                    <m:r>
                      <w:rPr>
                        <w:rFonts w:ascii="Cambria Math" w:hAnsi="Cambria Math"/>
                        <w:sz w:val="16"/>
                        <w:szCs w:val="16"/>
                      </w:rPr>
                      <m:t>i</m:t>
                    </m:r>
                    <m:r>
                      <m:rPr>
                        <m:sty m:val="p"/>
                      </m:rPr>
                      <w:rPr>
                        <w:rFonts w:ascii="Cambria Math" w:hAnsi="Cambria Math"/>
                        <w:sz w:val="16"/>
                        <w:szCs w:val="16"/>
                      </w:rPr>
                      <m:t>=1</m:t>
                    </m:r>
                  </m:sub>
                </m:sSub>
              </m:oMath>
            </m:oMathPara>
          </w:p>
          <w:p w14:paraId="3E8FF415" w14:textId="77777777" w:rsidR="00E54E4C" w:rsidRPr="00E54E4C" w:rsidRDefault="00425BD7" w:rsidP="001B70A3">
            <w:pPr>
              <w:spacing w:after="0"/>
              <w:jc w:val="center"/>
              <w:rPr>
                <w:sz w:val="16"/>
                <w:szCs w:val="16"/>
              </w:rPr>
            </w:pPr>
            <m:oMathPara>
              <m:oMath>
                <m:r>
                  <m:rPr>
                    <m:sty m:val="p"/>
                  </m:rPr>
                  <w:rPr>
                    <w:rFonts w:ascii="Cambria Math" w:hAnsi="Cambria Math"/>
                    <w:sz w:val="16"/>
                    <w:szCs w:val="16"/>
                  </w:rPr>
                  <m:t>∆</m:t>
                </m:r>
                <m:r>
                  <w:rPr>
                    <w:rFonts w:ascii="Cambria Math" w:hAnsi="Cambria Math"/>
                    <w:sz w:val="16"/>
                    <w:szCs w:val="16"/>
                  </w:rPr>
                  <m:t>x</m:t>
                </m:r>
                <m:r>
                  <m:rPr>
                    <m:sty m:val="p"/>
                  </m:rPr>
                  <w:rPr>
                    <w:rFonts w:ascii="Cambria Math" w:hAnsi="Cambria Math"/>
                    <w:sz w:val="16"/>
                    <w:szCs w:val="16"/>
                  </w:rPr>
                  <m:t>1=∆</m:t>
                </m:r>
                <m:r>
                  <w:rPr>
                    <w:rFonts w:ascii="Cambria Math" w:hAnsi="Cambria Math"/>
                    <w:sz w:val="16"/>
                    <w:szCs w:val="16"/>
                  </w:rPr>
                  <m:t>y</m:t>
                </m:r>
                <m:r>
                  <m:rPr>
                    <m:sty m:val="p"/>
                  </m:rPr>
                  <w:rPr>
                    <w:rFonts w:ascii="Cambria Math" w:hAnsi="Cambria Math"/>
                    <w:sz w:val="16"/>
                    <w:szCs w:val="16"/>
                  </w:rPr>
                  <m:t>1</m:t>
                </m:r>
              </m:oMath>
            </m:oMathPara>
          </w:p>
          <w:p w14:paraId="26E453D6" w14:textId="2977CB59" w:rsidR="00425BD7" w:rsidRPr="00932477" w:rsidRDefault="00425BD7" w:rsidP="00E54E4C">
            <w:pPr>
              <w:spacing w:after="0"/>
              <w:jc w:val="center"/>
              <w:rPr>
                <w:sz w:val="16"/>
                <w:szCs w:val="16"/>
              </w:rPr>
            </w:pPr>
            <m:oMath>
              <m:r>
                <m:rPr>
                  <m:sty m:val="p"/>
                </m:rPr>
                <w:rPr>
                  <w:rFonts w:ascii="Cambria Math" w:hAnsi="Cambria Math"/>
                  <w:sz w:val="16"/>
                  <w:szCs w:val="16"/>
                </w:rPr>
                <m:t>=</m:t>
              </m:r>
            </m:oMath>
            <w:r w:rsidRPr="00932477">
              <w:rPr>
                <w:sz w:val="16"/>
                <w:szCs w:val="16"/>
              </w:rPr>
              <w:t>9,234 m</w:t>
            </w:r>
          </w:p>
        </w:tc>
        <w:tc>
          <w:tcPr>
            <w:tcW w:w="1459" w:type="dxa"/>
            <w:tcBorders>
              <w:top w:val="single" w:sz="8" w:space="0" w:color="auto"/>
            </w:tcBorders>
            <w:vAlign w:val="center"/>
          </w:tcPr>
          <w:p w14:paraId="2070EFF7" w14:textId="77777777" w:rsidR="00425BD7" w:rsidRPr="00932477" w:rsidRDefault="00BB4B77" w:rsidP="001B70A3">
            <w:pPr>
              <w:spacing w:after="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D</m:t>
                    </m:r>
                    <m:r>
                      <m:rPr>
                        <m:sty m:val="p"/>
                      </m:rPr>
                      <w:rPr>
                        <w:rFonts w:ascii="Cambria Math" w:hAnsi="Cambria Math"/>
                        <w:sz w:val="16"/>
                        <w:szCs w:val="16"/>
                      </w:rPr>
                      <m:t>0</m:t>
                    </m:r>
                  </m:e>
                  <m:sub>
                    <m:r>
                      <w:rPr>
                        <w:rFonts w:ascii="Cambria Math" w:hAnsi="Cambria Math"/>
                        <w:sz w:val="16"/>
                        <w:szCs w:val="16"/>
                      </w:rPr>
                      <m:t>i</m:t>
                    </m:r>
                    <m:r>
                      <m:rPr>
                        <m:sty m:val="p"/>
                      </m:rPr>
                      <w:rPr>
                        <w:rFonts w:ascii="Cambria Math" w:hAnsi="Cambria Math"/>
                        <w:sz w:val="16"/>
                        <w:szCs w:val="16"/>
                      </w:rPr>
                      <m:t>=2</m:t>
                    </m:r>
                  </m:sub>
                </m:sSub>
              </m:oMath>
            </m:oMathPara>
          </w:p>
          <w:p w14:paraId="20555B95" w14:textId="77777777" w:rsidR="00E54E4C" w:rsidRPr="00E54E4C" w:rsidRDefault="00425BD7" w:rsidP="001B70A3">
            <w:pPr>
              <w:spacing w:after="0"/>
              <w:jc w:val="center"/>
              <w:rPr>
                <w:sz w:val="16"/>
                <w:szCs w:val="16"/>
              </w:rPr>
            </w:pPr>
            <m:oMathPara>
              <m:oMath>
                <m:r>
                  <m:rPr>
                    <m:sty m:val="p"/>
                  </m:rPr>
                  <w:rPr>
                    <w:rFonts w:ascii="Cambria Math" w:hAnsi="Cambria Math"/>
                    <w:sz w:val="16"/>
                    <w:szCs w:val="16"/>
                  </w:rPr>
                  <m:t>∆</m:t>
                </m:r>
                <m:r>
                  <w:rPr>
                    <w:rFonts w:ascii="Cambria Math" w:hAnsi="Cambria Math"/>
                    <w:sz w:val="16"/>
                    <w:szCs w:val="16"/>
                  </w:rPr>
                  <m:t>x</m:t>
                </m:r>
                <m:r>
                  <m:rPr>
                    <m:sty m:val="p"/>
                  </m:rPr>
                  <w:rPr>
                    <w:rFonts w:ascii="Cambria Math" w:hAnsi="Cambria Math"/>
                    <w:sz w:val="16"/>
                    <w:szCs w:val="16"/>
                  </w:rPr>
                  <m:t>2=∆</m:t>
                </m:r>
                <m:r>
                  <w:rPr>
                    <w:rFonts w:ascii="Cambria Math" w:hAnsi="Cambria Math"/>
                    <w:sz w:val="16"/>
                    <w:szCs w:val="16"/>
                  </w:rPr>
                  <m:t>y</m:t>
                </m:r>
                <m:r>
                  <m:rPr>
                    <m:sty m:val="p"/>
                  </m:rPr>
                  <w:rPr>
                    <w:rFonts w:ascii="Cambria Math" w:hAnsi="Cambria Math"/>
                    <w:sz w:val="16"/>
                    <w:szCs w:val="16"/>
                  </w:rPr>
                  <m:t>2</m:t>
                </m:r>
              </m:oMath>
            </m:oMathPara>
          </w:p>
          <w:p w14:paraId="27B2AB8D" w14:textId="22B1F6CA" w:rsidR="00425BD7" w:rsidRPr="00932477" w:rsidRDefault="00425BD7" w:rsidP="001B70A3">
            <w:pPr>
              <w:spacing w:after="0"/>
              <w:jc w:val="center"/>
              <w:rPr>
                <w:sz w:val="16"/>
                <w:szCs w:val="16"/>
              </w:rPr>
            </w:pPr>
            <m:oMath>
              <m:r>
                <m:rPr>
                  <m:sty m:val="p"/>
                </m:rPr>
                <w:rPr>
                  <w:rFonts w:ascii="Cambria Math" w:hAnsi="Cambria Math"/>
                  <w:sz w:val="16"/>
                  <w:szCs w:val="16"/>
                </w:rPr>
                <m:t>=</m:t>
              </m:r>
            </m:oMath>
            <w:r w:rsidRPr="00932477">
              <w:rPr>
                <w:sz w:val="16"/>
                <w:szCs w:val="16"/>
              </w:rPr>
              <w:t xml:space="preserve"> 3,078 m</w:t>
            </w:r>
          </w:p>
        </w:tc>
        <w:tc>
          <w:tcPr>
            <w:tcW w:w="1454" w:type="dxa"/>
            <w:tcBorders>
              <w:top w:val="single" w:sz="8" w:space="0" w:color="auto"/>
              <w:right w:val="single" w:sz="8" w:space="0" w:color="auto"/>
            </w:tcBorders>
            <w:vAlign w:val="center"/>
          </w:tcPr>
          <w:p w14:paraId="0C6C0B61" w14:textId="77777777" w:rsidR="00425BD7" w:rsidRPr="00932477" w:rsidRDefault="00BB4B77" w:rsidP="001B70A3">
            <w:pPr>
              <w:spacing w:after="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D</m:t>
                    </m:r>
                    <m:r>
                      <m:rPr>
                        <m:sty m:val="p"/>
                      </m:rPr>
                      <w:rPr>
                        <w:rFonts w:ascii="Cambria Math" w:hAnsi="Cambria Math"/>
                        <w:sz w:val="16"/>
                        <w:szCs w:val="16"/>
                      </w:rPr>
                      <m:t>0</m:t>
                    </m:r>
                  </m:e>
                  <m:sub>
                    <m:r>
                      <w:rPr>
                        <w:rFonts w:ascii="Cambria Math" w:hAnsi="Cambria Math"/>
                        <w:sz w:val="16"/>
                        <w:szCs w:val="16"/>
                      </w:rPr>
                      <m:t>i</m:t>
                    </m:r>
                    <m:r>
                      <m:rPr>
                        <m:sty m:val="p"/>
                      </m:rPr>
                      <w:rPr>
                        <w:rFonts w:ascii="Cambria Math" w:hAnsi="Cambria Math"/>
                        <w:sz w:val="16"/>
                        <w:szCs w:val="16"/>
                      </w:rPr>
                      <m:t>=3</m:t>
                    </m:r>
                  </m:sub>
                </m:sSub>
              </m:oMath>
            </m:oMathPara>
          </w:p>
          <w:p w14:paraId="1D08CBF0" w14:textId="77777777" w:rsidR="00E54E4C" w:rsidRPr="00E54E4C" w:rsidRDefault="00425BD7" w:rsidP="001B70A3">
            <w:pPr>
              <w:spacing w:after="0"/>
              <w:jc w:val="center"/>
              <w:rPr>
                <w:sz w:val="16"/>
                <w:szCs w:val="16"/>
              </w:rPr>
            </w:pPr>
            <m:oMathPara>
              <m:oMath>
                <m:r>
                  <m:rPr>
                    <m:sty m:val="p"/>
                  </m:rPr>
                  <w:rPr>
                    <w:rFonts w:ascii="Cambria Math" w:hAnsi="Cambria Math"/>
                    <w:sz w:val="16"/>
                    <w:szCs w:val="16"/>
                  </w:rPr>
                  <m:t>∆</m:t>
                </m:r>
                <m:r>
                  <w:rPr>
                    <w:rFonts w:ascii="Cambria Math" w:hAnsi="Cambria Math"/>
                    <w:sz w:val="16"/>
                    <w:szCs w:val="16"/>
                  </w:rPr>
                  <m:t>x</m:t>
                </m:r>
                <m:r>
                  <m:rPr>
                    <m:sty m:val="p"/>
                  </m:rPr>
                  <w:rPr>
                    <w:rFonts w:ascii="Cambria Math" w:hAnsi="Cambria Math"/>
                    <w:sz w:val="16"/>
                    <w:szCs w:val="16"/>
                  </w:rPr>
                  <m:t>3=∆</m:t>
                </m:r>
                <m:r>
                  <w:rPr>
                    <w:rFonts w:ascii="Cambria Math" w:hAnsi="Cambria Math"/>
                    <w:sz w:val="16"/>
                    <w:szCs w:val="16"/>
                  </w:rPr>
                  <m:t>y</m:t>
                </m:r>
                <m:r>
                  <m:rPr>
                    <m:sty m:val="p"/>
                  </m:rPr>
                  <w:rPr>
                    <w:rFonts w:ascii="Cambria Math" w:hAnsi="Cambria Math"/>
                    <w:sz w:val="16"/>
                    <w:szCs w:val="16"/>
                  </w:rPr>
                  <m:t>3</m:t>
                </m:r>
              </m:oMath>
            </m:oMathPara>
          </w:p>
          <w:p w14:paraId="27FD42D6" w14:textId="4267A3EE" w:rsidR="00425BD7" w:rsidRPr="00932477" w:rsidRDefault="00425BD7" w:rsidP="001B70A3">
            <w:pPr>
              <w:spacing w:after="0"/>
              <w:jc w:val="center"/>
              <w:rPr>
                <w:sz w:val="16"/>
                <w:szCs w:val="16"/>
              </w:rPr>
            </w:pPr>
            <m:oMath>
              <m:r>
                <m:rPr>
                  <m:sty m:val="p"/>
                </m:rPr>
                <w:rPr>
                  <w:rFonts w:ascii="Cambria Math" w:hAnsi="Cambria Math"/>
                  <w:sz w:val="16"/>
                  <w:szCs w:val="16"/>
                </w:rPr>
                <m:t>=</m:t>
              </m:r>
            </m:oMath>
            <w:r w:rsidRPr="00932477">
              <w:rPr>
                <w:sz w:val="16"/>
                <w:szCs w:val="16"/>
              </w:rPr>
              <w:t xml:space="preserve"> 1,026 m</w:t>
            </w:r>
          </w:p>
        </w:tc>
      </w:tr>
      <w:tr w:rsidR="00663612" w:rsidRPr="00932477" w14:paraId="07D03BCD" w14:textId="77777777" w:rsidTr="00663612">
        <w:trPr>
          <w:trHeight w:val="245"/>
          <w:jc w:val="center"/>
        </w:trPr>
        <w:tc>
          <w:tcPr>
            <w:tcW w:w="1090" w:type="dxa"/>
            <w:vMerge/>
            <w:tcBorders>
              <w:left w:val="single" w:sz="8" w:space="0" w:color="auto"/>
              <w:right w:val="single" w:sz="8" w:space="0" w:color="auto"/>
            </w:tcBorders>
            <w:vAlign w:val="center"/>
          </w:tcPr>
          <w:p w14:paraId="3D68D62C" w14:textId="77777777" w:rsidR="00425BD7" w:rsidRPr="00932477" w:rsidRDefault="00425BD7" w:rsidP="001B70A3">
            <w:pPr>
              <w:spacing w:after="0"/>
              <w:jc w:val="center"/>
              <w:rPr>
                <w:sz w:val="16"/>
                <w:szCs w:val="16"/>
              </w:rPr>
            </w:pPr>
          </w:p>
        </w:tc>
        <w:tc>
          <w:tcPr>
            <w:tcW w:w="636" w:type="dxa"/>
            <w:tcBorders>
              <w:top w:val="single" w:sz="8" w:space="0" w:color="auto"/>
              <w:left w:val="single" w:sz="8" w:space="0" w:color="auto"/>
            </w:tcBorders>
            <w:vAlign w:val="center"/>
          </w:tcPr>
          <w:p w14:paraId="79ED216F" w14:textId="77777777" w:rsidR="00425BD7" w:rsidRPr="00932477" w:rsidRDefault="00425BD7" w:rsidP="001B70A3">
            <w:pPr>
              <w:spacing w:after="0"/>
              <w:jc w:val="center"/>
              <w:rPr>
                <w:sz w:val="16"/>
                <w:szCs w:val="16"/>
              </w:rPr>
            </w:pPr>
            <w:r w:rsidRPr="00932477">
              <w:rPr>
                <w:sz w:val="16"/>
                <w:szCs w:val="16"/>
              </w:rPr>
              <w:t>A</w:t>
            </w:r>
          </w:p>
        </w:tc>
        <w:tc>
          <w:tcPr>
            <w:tcW w:w="636" w:type="dxa"/>
            <w:tcBorders>
              <w:top w:val="single" w:sz="8" w:space="0" w:color="auto"/>
            </w:tcBorders>
            <w:vAlign w:val="center"/>
          </w:tcPr>
          <w:p w14:paraId="19289C28" w14:textId="77777777" w:rsidR="00425BD7" w:rsidRPr="00932477" w:rsidRDefault="00425BD7" w:rsidP="001B70A3">
            <w:pPr>
              <w:spacing w:after="0"/>
              <w:jc w:val="center"/>
              <w:rPr>
                <w:sz w:val="16"/>
                <w:szCs w:val="16"/>
              </w:rPr>
            </w:pPr>
            <w:r w:rsidRPr="00932477">
              <w:rPr>
                <w:sz w:val="16"/>
                <w:szCs w:val="16"/>
              </w:rPr>
              <w:t>FNL</w:t>
            </w:r>
          </w:p>
        </w:tc>
        <w:tc>
          <w:tcPr>
            <w:tcW w:w="1090" w:type="dxa"/>
            <w:vMerge w:val="restart"/>
            <w:tcBorders>
              <w:top w:val="single" w:sz="8" w:space="0" w:color="auto"/>
            </w:tcBorders>
            <w:vAlign w:val="center"/>
          </w:tcPr>
          <w:p w14:paraId="45FB75AF" w14:textId="77777777" w:rsidR="00425BD7" w:rsidRPr="00932477" w:rsidRDefault="00425BD7" w:rsidP="001B70A3">
            <w:pPr>
              <w:spacing w:after="0"/>
              <w:jc w:val="center"/>
              <w:rPr>
                <w:sz w:val="16"/>
                <w:szCs w:val="16"/>
              </w:rPr>
            </w:pPr>
            <w:r w:rsidRPr="00932477">
              <w:rPr>
                <w:sz w:val="16"/>
                <w:szCs w:val="16"/>
              </w:rPr>
              <w:t>TKE1.5</w:t>
            </w:r>
          </w:p>
        </w:tc>
        <w:tc>
          <w:tcPr>
            <w:tcW w:w="1363" w:type="dxa"/>
            <w:vMerge w:val="restart"/>
            <w:tcBorders>
              <w:top w:val="single" w:sz="8" w:space="0" w:color="auto"/>
            </w:tcBorders>
            <w:vAlign w:val="center"/>
          </w:tcPr>
          <w:p w14:paraId="5ADE9B88" w14:textId="3655755D" w:rsidR="00425BD7" w:rsidRPr="00932477" w:rsidRDefault="00425BD7" w:rsidP="001B70A3">
            <w:pPr>
              <w:spacing w:after="0"/>
              <w:jc w:val="center"/>
              <w:rPr>
                <w:sz w:val="16"/>
                <w:szCs w:val="16"/>
              </w:rPr>
            </w:pPr>
            <w:r w:rsidRPr="00932477">
              <w:rPr>
                <w:sz w:val="16"/>
                <w:szCs w:val="16"/>
              </w:rPr>
              <w:t>50, 1rst model</w:t>
            </w:r>
          </w:p>
          <w:p w14:paraId="29018BE5" w14:textId="77777777" w:rsidR="00425BD7" w:rsidRPr="00932477" w:rsidRDefault="00425BD7" w:rsidP="001B70A3">
            <w:pPr>
              <w:spacing w:after="0"/>
              <w:jc w:val="center"/>
              <w:rPr>
                <w:sz w:val="16"/>
                <w:szCs w:val="16"/>
              </w:rPr>
            </w:pPr>
            <w:r w:rsidRPr="00932477">
              <w:rPr>
                <w:sz w:val="16"/>
                <w:szCs w:val="16"/>
              </w:rPr>
              <w:t>level: 65 m with</w:t>
            </w:r>
          </w:p>
          <w:p w14:paraId="3B60A1B7" w14:textId="77777777" w:rsidR="00425BD7" w:rsidRPr="00932477" w:rsidRDefault="00425BD7" w:rsidP="001B70A3">
            <w:pPr>
              <w:spacing w:after="0"/>
              <w:jc w:val="center"/>
              <w:rPr>
                <w:sz w:val="16"/>
                <w:szCs w:val="16"/>
              </w:rPr>
            </w:pPr>
            <m:oMathPara>
              <m:oMath>
                <m:r>
                  <m:rPr>
                    <m:sty m:val="p"/>
                  </m:rPr>
                  <w:rPr>
                    <w:rFonts w:ascii="Cambria Math" w:hAnsi="Cambria Math"/>
                    <w:sz w:val="16"/>
                    <w:szCs w:val="16"/>
                  </w:rPr>
                  <m:t xml:space="preserve">16 </m:t>
                </m:r>
                <m:r>
                  <w:rPr>
                    <w:rFonts w:ascii="Cambria Math" w:hAnsi="Cambria Math"/>
                    <w:sz w:val="16"/>
                    <w:szCs w:val="16"/>
                  </w:rPr>
                  <m:t>layers</m:t>
                </m:r>
              </m:oMath>
            </m:oMathPara>
          </w:p>
          <w:p w14:paraId="0528B4F0" w14:textId="28CCDC92" w:rsidR="00425BD7" w:rsidRPr="00932477" w:rsidRDefault="00425BD7" w:rsidP="001B70A3">
            <w:pPr>
              <w:spacing w:after="0"/>
              <w:jc w:val="center"/>
              <w:rPr>
                <w:sz w:val="16"/>
                <w:szCs w:val="16"/>
              </w:rPr>
            </w:pPr>
            <m:oMathPara>
              <m:oMath>
                <m:r>
                  <m:rPr>
                    <m:sty m:val="p"/>
                  </m:rPr>
                  <w:rPr>
                    <w:rFonts w:ascii="Cambria Math" w:hAnsi="Cambria Math"/>
                    <w:sz w:val="16"/>
                    <w:szCs w:val="16"/>
                  </w:rPr>
                  <m:t>&lt;4</m:t>
                </m:r>
                <m:r>
                  <w:rPr>
                    <w:rFonts w:ascii="Cambria Math" w:hAnsi="Cambria Math"/>
                    <w:sz w:val="16"/>
                    <w:szCs w:val="16"/>
                  </w:rPr>
                  <m:t>000m</m:t>
                </m:r>
              </m:oMath>
            </m:oMathPara>
          </w:p>
        </w:tc>
        <w:tc>
          <w:tcPr>
            <w:tcW w:w="1267" w:type="dxa"/>
            <w:vAlign w:val="center"/>
          </w:tcPr>
          <w:p w14:paraId="05B20B4C" w14:textId="77777777" w:rsidR="00425BD7" w:rsidRPr="00932477" w:rsidRDefault="00BB4B77" w:rsidP="001B70A3">
            <w:pPr>
              <w:spacing w:after="0"/>
              <w:jc w:val="center"/>
              <w:rPr>
                <w:sz w:val="16"/>
                <w:szCs w:val="16"/>
              </w:rPr>
            </w:pPr>
            <m:oMath>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1</m:t>
                  </m:r>
                </m:sub>
              </m:sSub>
            </m:oMath>
            <w:r w:rsidR="00425BD7" w:rsidRPr="00932477">
              <w:rPr>
                <w:sz w:val="16"/>
                <w:szCs w:val="16"/>
              </w:rPr>
              <w:t xml:space="preserve"> is useless</w:t>
            </w:r>
          </w:p>
        </w:tc>
        <w:tc>
          <w:tcPr>
            <w:tcW w:w="1459" w:type="dxa"/>
            <w:vAlign w:val="center"/>
          </w:tcPr>
          <w:p w14:paraId="1A680740" w14:textId="77777777" w:rsidR="00425BD7" w:rsidRPr="00932477" w:rsidRDefault="00BB4B77" w:rsidP="001B70A3">
            <w:pPr>
              <w:spacing w:after="0"/>
              <w:jc w:val="center"/>
              <w:rPr>
                <w:sz w:val="16"/>
                <w:szCs w:val="16"/>
              </w:rPr>
            </w:pPr>
            <m:oMath>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2</m:t>
                  </m:r>
                </m:sub>
              </m:sSub>
            </m:oMath>
            <w:r w:rsidR="00425BD7" w:rsidRPr="00932477">
              <w:rPr>
                <w:sz w:val="16"/>
                <w:szCs w:val="16"/>
              </w:rPr>
              <w:t xml:space="preserve"> is useless</w:t>
            </w:r>
          </w:p>
        </w:tc>
        <w:tc>
          <w:tcPr>
            <w:tcW w:w="1454" w:type="dxa"/>
            <w:tcBorders>
              <w:right w:val="single" w:sz="8" w:space="0" w:color="auto"/>
            </w:tcBorders>
            <w:vAlign w:val="center"/>
          </w:tcPr>
          <w:p w14:paraId="23EAF546" w14:textId="77777777" w:rsidR="00425BD7" w:rsidRPr="00932477" w:rsidRDefault="00BB4B77" w:rsidP="001B70A3">
            <w:pPr>
              <w:spacing w:after="0"/>
              <w:jc w:val="center"/>
              <w:rPr>
                <w:sz w:val="16"/>
                <w:szCs w:val="16"/>
              </w:rPr>
            </w:pPr>
            <m:oMath>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3</m:t>
                  </m:r>
                </m:sub>
              </m:sSub>
            </m:oMath>
            <w:r w:rsidR="00425BD7" w:rsidRPr="00932477">
              <w:rPr>
                <w:sz w:val="16"/>
                <w:szCs w:val="16"/>
              </w:rPr>
              <w:t xml:space="preserve"> is useless</w:t>
            </w:r>
          </w:p>
        </w:tc>
      </w:tr>
      <w:tr w:rsidR="001B70A3" w:rsidRPr="00932477" w14:paraId="60A0DFCD" w14:textId="77777777" w:rsidTr="00663612">
        <w:trPr>
          <w:trHeight w:val="376"/>
          <w:jc w:val="center"/>
        </w:trPr>
        <w:tc>
          <w:tcPr>
            <w:tcW w:w="1090" w:type="dxa"/>
            <w:vMerge/>
            <w:tcBorders>
              <w:left w:val="single" w:sz="8" w:space="0" w:color="auto"/>
              <w:right w:val="single" w:sz="8" w:space="0" w:color="auto"/>
            </w:tcBorders>
            <w:vAlign w:val="center"/>
          </w:tcPr>
          <w:p w14:paraId="5A92D1E1" w14:textId="77777777" w:rsidR="00425BD7" w:rsidRPr="00932477" w:rsidRDefault="00425BD7" w:rsidP="001B70A3">
            <w:pPr>
              <w:spacing w:after="0"/>
              <w:jc w:val="center"/>
              <w:rPr>
                <w:sz w:val="16"/>
                <w:szCs w:val="16"/>
              </w:rPr>
            </w:pPr>
          </w:p>
        </w:tc>
        <w:tc>
          <w:tcPr>
            <w:tcW w:w="636" w:type="dxa"/>
            <w:tcBorders>
              <w:left w:val="single" w:sz="8" w:space="0" w:color="auto"/>
            </w:tcBorders>
            <w:vAlign w:val="center"/>
          </w:tcPr>
          <w:p w14:paraId="4D8A9D99" w14:textId="77777777" w:rsidR="00425BD7" w:rsidRPr="00932477" w:rsidRDefault="00425BD7" w:rsidP="001B70A3">
            <w:pPr>
              <w:spacing w:after="0"/>
              <w:jc w:val="center"/>
              <w:rPr>
                <w:sz w:val="16"/>
                <w:szCs w:val="16"/>
              </w:rPr>
            </w:pPr>
            <w:r w:rsidRPr="00932477">
              <w:rPr>
                <w:sz w:val="16"/>
                <w:szCs w:val="16"/>
              </w:rPr>
              <w:t>B</w:t>
            </w:r>
          </w:p>
        </w:tc>
        <w:tc>
          <w:tcPr>
            <w:tcW w:w="636" w:type="dxa"/>
            <w:vMerge w:val="restart"/>
            <w:vAlign w:val="center"/>
          </w:tcPr>
          <w:p w14:paraId="59CCCFE5" w14:textId="77777777" w:rsidR="00425BD7" w:rsidRPr="00932477" w:rsidRDefault="00425BD7" w:rsidP="001B70A3">
            <w:pPr>
              <w:spacing w:after="0"/>
              <w:jc w:val="center"/>
              <w:rPr>
                <w:sz w:val="16"/>
                <w:szCs w:val="16"/>
              </w:rPr>
            </w:pPr>
            <w:r w:rsidRPr="00932477">
              <w:rPr>
                <w:sz w:val="16"/>
                <w:szCs w:val="16"/>
              </w:rPr>
              <w:t>FNL,</w:t>
            </w:r>
          </w:p>
          <w:p w14:paraId="215071D0" w14:textId="77777777" w:rsidR="00425BD7" w:rsidRPr="00932477" w:rsidRDefault="00425BD7" w:rsidP="001B70A3">
            <w:pPr>
              <w:spacing w:after="0"/>
              <w:jc w:val="center"/>
              <w:rPr>
                <w:sz w:val="16"/>
                <w:szCs w:val="16"/>
              </w:rPr>
            </w:pPr>
            <w:r w:rsidRPr="00932477">
              <w:rPr>
                <w:sz w:val="16"/>
                <w:szCs w:val="16"/>
              </w:rPr>
              <w:t>Obs.</w:t>
            </w:r>
          </w:p>
        </w:tc>
        <w:tc>
          <w:tcPr>
            <w:tcW w:w="1090" w:type="dxa"/>
            <w:vMerge/>
            <w:vAlign w:val="center"/>
          </w:tcPr>
          <w:p w14:paraId="262B0870" w14:textId="77777777" w:rsidR="00425BD7" w:rsidRPr="00932477" w:rsidRDefault="00425BD7" w:rsidP="001B70A3">
            <w:pPr>
              <w:spacing w:after="0"/>
              <w:jc w:val="center"/>
              <w:rPr>
                <w:sz w:val="16"/>
                <w:szCs w:val="16"/>
              </w:rPr>
            </w:pPr>
          </w:p>
        </w:tc>
        <w:tc>
          <w:tcPr>
            <w:tcW w:w="1363" w:type="dxa"/>
            <w:vMerge/>
            <w:vAlign w:val="center"/>
          </w:tcPr>
          <w:p w14:paraId="5BEF7C4A" w14:textId="77777777" w:rsidR="00425BD7" w:rsidRPr="00932477" w:rsidRDefault="00425BD7" w:rsidP="001B70A3">
            <w:pPr>
              <w:spacing w:after="0"/>
              <w:jc w:val="center"/>
              <w:rPr>
                <w:sz w:val="16"/>
                <w:szCs w:val="16"/>
              </w:rPr>
            </w:pPr>
          </w:p>
        </w:tc>
        <w:tc>
          <w:tcPr>
            <w:tcW w:w="1267" w:type="dxa"/>
            <w:vMerge w:val="restart"/>
            <w:vAlign w:val="center"/>
          </w:tcPr>
          <w:p w14:paraId="0D80074A" w14:textId="77777777" w:rsidR="00425BD7" w:rsidRPr="00932477" w:rsidRDefault="00BB4B77" w:rsidP="001B70A3">
            <w:pPr>
              <w:spacing w:after="0"/>
              <w:jc w:val="center"/>
              <w:rPr>
                <w:sz w:val="16"/>
                <w:szCs w:val="16"/>
              </w:rPr>
            </w:pPr>
            <m:oMath>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1</m:t>
                  </m:r>
                </m:sub>
              </m:sSub>
            </m:oMath>
            <w:r w:rsidR="00425BD7" w:rsidRPr="00932477">
              <w:rPr>
                <w:sz w:val="16"/>
                <w:szCs w:val="16"/>
              </w:rPr>
              <w:t xml:space="preserve"> = 980,000 m</w:t>
            </w:r>
          </w:p>
        </w:tc>
        <w:tc>
          <w:tcPr>
            <w:tcW w:w="1459" w:type="dxa"/>
            <w:vMerge w:val="restart"/>
            <w:vAlign w:val="center"/>
          </w:tcPr>
          <w:p w14:paraId="03A464A6" w14:textId="77777777" w:rsidR="00425BD7" w:rsidRPr="00932477" w:rsidRDefault="00BB4B77" w:rsidP="001B70A3">
            <w:pPr>
              <w:spacing w:after="0"/>
              <w:jc w:val="center"/>
              <w:rPr>
                <w:sz w:val="16"/>
                <w:szCs w:val="16"/>
              </w:rPr>
            </w:pPr>
            <m:oMath>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2</m:t>
                  </m:r>
                </m:sub>
              </m:sSub>
            </m:oMath>
            <w:r w:rsidR="00425BD7" w:rsidRPr="00932477">
              <w:rPr>
                <w:sz w:val="16"/>
                <w:szCs w:val="16"/>
              </w:rPr>
              <w:t xml:space="preserve"> = 330,000 m</w:t>
            </w:r>
          </w:p>
        </w:tc>
        <w:tc>
          <w:tcPr>
            <w:tcW w:w="1454" w:type="dxa"/>
            <w:vMerge w:val="restart"/>
            <w:tcBorders>
              <w:right w:val="single" w:sz="8" w:space="0" w:color="auto"/>
            </w:tcBorders>
            <w:vAlign w:val="center"/>
          </w:tcPr>
          <w:p w14:paraId="54B5E1B6" w14:textId="77777777" w:rsidR="00425BD7" w:rsidRPr="00932477" w:rsidRDefault="00BB4B77" w:rsidP="001B70A3">
            <w:pPr>
              <w:spacing w:after="0"/>
              <w:jc w:val="center"/>
              <w:rPr>
                <w:sz w:val="16"/>
                <w:szCs w:val="16"/>
              </w:rPr>
            </w:pPr>
            <m:oMath>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3</m:t>
                  </m:r>
                </m:sub>
              </m:sSub>
            </m:oMath>
            <w:r w:rsidR="00425BD7" w:rsidRPr="00932477">
              <w:rPr>
                <w:sz w:val="16"/>
                <w:szCs w:val="16"/>
              </w:rPr>
              <w:t xml:space="preserve"> = 120,000 m</w:t>
            </w:r>
          </w:p>
        </w:tc>
      </w:tr>
      <w:tr w:rsidR="00DF332B" w:rsidRPr="00932477" w14:paraId="0347DDAB" w14:textId="77777777" w:rsidTr="00663612">
        <w:trPr>
          <w:trHeight w:val="264"/>
          <w:jc w:val="center"/>
        </w:trPr>
        <w:tc>
          <w:tcPr>
            <w:tcW w:w="1090" w:type="dxa"/>
            <w:vMerge/>
            <w:tcBorders>
              <w:left w:val="single" w:sz="8" w:space="0" w:color="auto"/>
              <w:bottom w:val="single" w:sz="8" w:space="0" w:color="auto"/>
              <w:right w:val="single" w:sz="8" w:space="0" w:color="auto"/>
            </w:tcBorders>
            <w:vAlign w:val="center"/>
          </w:tcPr>
          <w:p w14:paraId="16B6AFC4" w14:textId="77777777" w:rsidR="00425BD7" w:rsidRPr="00932477" w:rsidRDefault="00425BD7" w:rsidP="001B70A3">
            <w:pPr>
              <w:spacing w:after="0"/>
              <w:jc w:val="center"/>
              <w:rPr>
                <w:sz w:val="16"/>
                <w:szCs w:val="16"/>
              </w:rPr>
            </w:pPr>
          </w:p>
        </w:tc>
        <w:tc>
          <w:tcPr>
            <w:tcW w:w="636" w:type="dxa"/>
            <w:tcBorders>
              <w:left w:val="single" w:sz="8" w:space="0" w:color="auto"/>
              <w:bottom w:val="single" w:sz="8" w:space="0" w:color="auto"/>
            </w:tcBorders>
            <w:vAlign w:val="center"/>
          </w:tcPr>
          <w:p w14:paraId="7981A214" w14:textId="77777777" w:rsidR="00425BD7" w:rsidRPr="00932477" w:rsidRDefault="00425BD7" w:rsidP="001B70A3">
            <w:pPr>
              <w:spacing w:after="0"/>
              <w:jc w:val="center"/>
              <w:rPr>
                <w:sz w:val="16"/>
                <w:szCs w:val="16"/>
              </w:rPr>
            </w:pPr>
            <w:r w:rsidRPr="00932477">
              <w:rPr>
                <w:sz w:val="16"/>
                <w:szCs w:val="16"/>
              </w:rPr>
              <w:t>B1</w:t>
            </w:r>
          </w:p>
        </w:tc>
        <w:tc>
          <w:tcPr>
            <w:tcW w:w="636" w:type="dxa"/>
            <w:vMerge/>
            <w:tcBorders>
              <w:bottom w:val="single" w:sz="8" w:space="0" w:color="auto"/>
            </w:tcBorders>
            <w:vAlign w:val="center"/>
          </w:tcPr>
          <w:p w14:paraId="7D33DC16" w14:textId="77777777" w:rsidR="00425BD7" w:rsidRPr="00932477" w:rsidRDefault="00425BD7" w:rsidP="001B70A3">
            <w:pPr>
              <w:spacing w:after="0"/>
              <w:jc w:val="center"/>
              <w:rPr>
                <w:sz w:val="16"/>
                <w:szCs w:val="16"/>
              </w:rPr>
            </w:pPr>
          </w:p>
        </w:tc>
        <w:tc>
          <w:tcPr>
            <w:tcW w:w="1090" w:type="dxa"/>
            <w:vMerge/>
            <w:tcBorders>
              <w:bottom w:val="single" w:sz="8" w:space="0" w:color="auto"/>
            </w:tcBorders>
            <w:vAlign w:val="center"/>
          </w:tcPr>
          <w:p w14:paraId="498F3DE4" w14:textId="77777777" w:rsidR="00425BD7" w:rsidRPr="00932477" w:rsidRDefault="00425BD7" w:rsidP="001B70A3">
            <w:pPr>
              <w:spacing w:after="0"/>
              <w:jc w:val="center"/>
              <w:rPr>
                <w:sz w:val="16"/>
                <w:szCs w:val="16"/>
              </w:rPr>
            </w:pPr>
          </w:p>
        </w:tc>
        <w:tc>
          <w:tcPr>
            <w:tcW w:w="1363" w:type="dxa"/>
            <w:tcBorders>
              <w:bottom w:val="single" w:sz="8" w:space="0" w:color="auto"/>
            </w:tcBorders>
            <w:vAlign w:val="center"/>
          </w:tcPr>
          <w:p w14:paraId="17461E16" w14:textId="0AF3C53D" w:rsidR="00425BD7" w:rsidRPr="00932477" w:rsidRDefault="00425BD7" w:rsidP="001B70A3">
            <w:pPr>
              <w:spacing w:after="0"/>
              <w:jc w:val="center"/>
              <w:rPr>
                <w:sz w:val="16"/>
                <w:szCs w:val="16"/>
              </w:rPr>
            </w:pPr>
            <w:r w:rsidRPr="00932477">
              <w:rPr>
                <w:sz w:val="16"/>
                <w:szCs w:val="16"/>
              </w:rPr>
              <w:t>56, 1rst model level: 8</w:t>
            </w:r>
            <w:r w:rsidR="00D3656B">
              <w:rPr>
                <w:sz w:val="16"/>
                <w:szCs w:val="16"/>
              </w:rPr>
              <w:t xml:space="preserve"> </w:t>
            </w:r>
            <w:r w:rsidRPr="00932477">
              <w:rPr>
                <w:sz w:val="16"/>
                <w:szCs w:val="16"/>
              </w:rPr>
              <w:t xml:space="preserve">m with </w:t>
            </w:r>
            <m:oMath>
              <m:r>
                <m:rPr>
                  <m:sty m:val="p"/>
                </m:rPr>
                <w:rPr>
                  <w:rFonts w:ascii="Cambria Math" w:hAnsi="Cambria Math"/>
                  <w:sz w:val="16"/>
                  <w:szCs w:val="16"/>
                </w:rPr>
                <m:t xml:space="preserve">40 </m:t>
              </m:r>
              <m:r>
                <w:rPr>
                  <w:rFonts w:ascii="Cambria Math" w:hAnsi="Cambria Math"/>
                  <w:sz w:val="16"/>
                  <w:szCs w:val="16"/>
                </w:rPr>
                <m:t>layers</m:t>
              </m:r>
            </m:oMath>
          </w:p>
          <w:p w14:paraId="77FCE5B1" w14:textId="1A1D5A1A" w:rsidR="00425BD7" w:rsidRPr="00932477" w:rsidRDefault="00425BD7" w:rsidP="001B70A3">
            <w:pPr>
              <w:spacing w:after="0"/>
              <w:jc w:val="center"/>
              <w:rPr>
                <w:sz w:val="16"/>
                <w:szCs w:val="16"/>
              </w:rPr>
            </w:pPr>
            <m:oMathPara>
              <m:oMath>
                <m:r>
                  <m:rPr>
                    <m:sty m:val="p"/>
                  </m:rPr>
                  <w:rPr>
                    <w:rFonts w:ascii="Cambria Math" w:hAnsi="Cambria Math"/>
                    <w:sz w:val="16"/>
                    <w:szCs w:val="16"/>
                  </w:rPr>
                  <m:t>&lt;4</m:t>
                </m:r>
                <m:r>
                  <w:rPr>
                    <w:rFonts w:ascii="Cambria Math" w:hAnsi="Cambria Math"/>
                    <w:sz w:val="16"/>
                    <w:szCs w:val="16"/>
                  </w:rPr>
                  <m:t>000m</m:t>
                </m:r>
              </m:oMath>
            </m:oMathPara>
          </w:p>
        </w:tc>
        <w:tc>
          <w:tcPr>
            <w:tcW w:w="1267" w:type="dxa"/>
            <w:vMerge/>
            <w:tcBorders>
              <w:bottom w:val="single" w:sz="8" w:space="0" w:color="auto"/>
            </w:tcBorders>
            <w:vAlign w:val="center"/>
          </w:tcPr>
          <w:p w14:paraId="3C049DE1" w14:textId="77777777" w:rsidR="00425BD7" w:rsidRPr="00932477" w:rsidRDefault="00425BD7" w:rsidP="001B70A3">
            <w:pPr>
              <w:spacing w:after="0"/>
              <w:jc w:val="center"/>
              <w:rPr>
                <w:sz w:val="16"/>
                <w:szCs w:val="16"/>
              </w:rPr>
            </w:pPr>
          </w:p>
        </w:tc>
        <w:tc>
          <w:tcPr>
            <w:tcW w:w="1459" w:type="dxa"/>
            <w:vMerge/>
            <w:vAlign w:val="center"/>
          </w:tcPr>
          <w:p w14:paraId="18298DD8" w14:textId="77777777" w:rsidR="00425BD7" w:rsidRPr="00932477" w:rsidRDefault="00425BD7" w:rsidP="001B70A3">
            <w:pPr>
              <w:spacing w:after="0"/>
              <w:jc w:val="center"/>
              <w:rPr>
                <w:sz w:val="16"/>
                <w:szCs w:val="16"/>
              </w:rPr>
            </w:pPr>
          </w:p>
        </w:tc>
        <w:tc>
          <w:tcPr>
            <w:tcW w:w="1454" w:type="dxa"/>
            <w:vMerge/>
            <w:tcBorders>
              <w:right w:val="single" w:sz="8" w:space="0" w:color="auto"/>
            </w:tcBorders>
            <w:vAlign w:val="center"/>
          </w:tcPr>
          <w:p w14:paraId="0D33476D" w14:textId="77777777" w:rsidR="00425BD7" w:rsidRPr="00932477" w:rsidRDefault="00425BD7" w:rsidP="001B70A3">
            <w:pPr>
              <w:spacing w:after="0"/>
              <w:jc w:val="center"/>
              <w:rPr>
                <w:sz w:val="16"/>
                <w:szCs w:val="16"/>
              </w:rPr>
            </w:pPr>
          </w:p>
        </w:tc>
      </w:tr>
      <w:tr w:rsidR="001B70A3" w:rsidRPr="00291D77" w14:paraId="40F59753" w14:textId="77777777" w:rsidTr="00663612">
        <w:trPr>
          <w:trHeight w:val="395"/>
          <w:jc w:val="center"/>
        </w:trPr>
        <w:tc>
          <w:tcPr>
            <w:tcW w:w="1090" w:type="dxa"/>
            <w:vMerge w:val="restart"/>
            <w:tcBorders>
              <w:top w:val="single" w:sz="8" w:space="0" w:color="auto"/>
              <w:left w:val="single" w:sz="8" w:space="0" w:color="auto"/>
              <w:right w:val="single" w:sz="8" w:space="0" w:color="auto"/>
            </w:tcBorders>
            <w:vAlign w:val="center"/>
          </w:tcPr>
          <w:p w14:paraId="42CF106C" w14:textId="77777777" w:rsidR="001B70A3" w:rsidRPr="00D3656B" w:rsidRDefault="001B70A3" w:rsidP="001B70A3">
            <w:pPr>
              <w:spacing w:after="0"/>
              <w:jc w:val="center"/>
              <w:rPr>
                <w:b/>
                <w:bCs/>
                <w:sz w:val="16"/>
                <w:szCs w:val="16"/>
              </w:rPr>
            </w:pPr>
            <w:r w:rsidRPr="00D3656B">
              <w:rPr>
                <w:b/>
                <w:bCs/>
                <w:sz w:val="16"/>
                <w:szCs w:val="16"/>
              </w:rPr>
              <w:t>Microscale</w:t>
            </w:r>
          </w:p>
          <w:p w14:paraId="1CB5E00B" w14:textId="77777777" w:rsidR="001B70A3" w:rsidRPr="00291D77" w:rsidRDefault="001B70A3" w:rsidP="001B70A3">
            <w:pPr>
              <w:spacing w:after="0"/>
              <w:jc w:val="center"/>
              <w:rPr>
                <w:b/>
                <w:bCs/>
                <w:sz w:val="16"/>
                <w:szCs w:val="16"/>
              </w:rPr>
            </w:pPr>
            <w:r w:rsidRPr="00D3656B">
              <w:rPr>
                <w:b/>
                <w:bCs/>
                <w:sz w:val="16"/>
                <w:szCs w:val="16"/>
              </w:rPr>
              <w:t>Simulations</w:t>
            </w:r>
          </w:p>
        </w:tc>
        <w:tc>
          <w:tcPr>
            <w:tcW w:w="636" w:type="dxa"/>
            <w:vMerge w:val="restart"/>
            <w:tcBorders>
              <w:top w:val="single" w:sz="8" w:space="0" w:color="auto"/>
              <w:left w:val="single" w:sz="8" w:space="0" w:color="auto"/>
            </w:tcBorders>
            <w:vAlign w:val="center"/>
          </w:tcPr>
          <w:p w14:paraId="0860D38D" w14:textId="77777777" w:rsidR="001B70A3" w:rsidRPr="00D3656B" w:rsidRDefault="001B70A3" w:rsidP="001B70A3">
            <w:pPr>
              <w:spacing w:after="0"/>
              <w:jc w:val="center"/>
              <w:rPr>
                <w:b/>
                <w:bCs/>
                <w:sz w:val="16"/>
                <w:szCs w:val="16"/>
              </w:rPr>
            </w:pPr>
            <w:r w:rsidRPr="00D3656B">
              <w:rPr>
                <w:b/>
                <w:bCs/>
                <w:sz w:val="16"/>
                <w:szCs w:val="16"/>
              </w:rPr>
              <w:t>Case</w:t>
            </w:r>
          </w:p>
        </w:tc>
        <w:tc>
          <w:tcPr>
            <w:tcW w:w="1726" w:type="dxa"/>
            <w:gridSpan w:val="2"/>
            <w:vMerge w:val="restart"/>
            <w:vAlign w:val="center"/>
          </w:tcPr>
          <w:p w14:paraId="78B373D3" w14:textId="77777777" w:rsidR="001B70A3" w:rsidRPr="00D3656B" w:rsidRDefault="001B70A3" w:rsidP="001B70A3">
            <w:pPr>
              <w:spacing w:after="0"/>
              <w:jc w:val="center"/>
              <w:rPr>
                <w:b/>
                <w:bCs/>
                <w:sz w:val="16"/>
                <w:szCs w:val="16"/>
              </w:rPr>
            </w:pPr>
            <w:r w:rsidRPr="00D3656B">
              <w:rPr>
                <w:b/>
                <w:bCs/>
                <w:sz w:val="16"/>
                <w:szCs w:val="16"/>
              </w:rPr>
              <w:t>Input Data</w:t>
            </w:r>
          </w:p>
        </w:tc>
        <w:tc>
          <w:tcPr>
            <w:tcW w:w="1363" w:type="dxa"/>
            <w:vMerge w:val="restart"/>
            <w:tcBorders>
              <w:top w:val="single" w:sz="8" w:space="0" w:color="auto"/>
            </w:tcBorders>
            <w:vAlign w:val="center"/>
          </w:tcPr>
          <w:p w14:paraId="176F6987" w14:textId="77777777" w:rsidR="001B70A3" w:rsidRPr="00D3656B" w:rsidRDefault="001B70A3" w:rsidP="001B70A3">
            <w:pPr>
              <w:spacing w:after="0"/>
              <w:jc w:val="center"/>
              <w:rPr>
                <w:b/>
                <w:bCs/>
                <w:sz w:val="16"/>
                <w:szCs w:val="16"/>
              </w:rPr>
            </w:pPr>
            <w:r w:rsidRPr="00D3656B">
              <w:rPr>
                <w:b/>
                <w:bCs/>
                <w:sz w:val="16"/>
                <w:szCs w:val="16"/>
              </w:rPr>
              <w:t>Parent</w:t>
            </w:r>
          </w:p>
          <w:p w14:paraId="28302DE5" w14:textId="77777777" w:rsidR="001B70A3" w:rsidRPr="00D3656B" w:rsidRDefault="001B70A3" w:rsidP="001B70A3">
            <w:pPr>
              <w:spacing w:after="0"/>
              <w:jc w:val="center"/>
              <w:rPr>
                <w:b/>
                <w:bCs/>
                <w:sz w:val="16"/>
                <w:szCs w:val="16"/>
              </w:rPr>
            </w:pPr>
            <w:r w:rsidRPr="00D3656B">
              <w:rPr>
                <w:b/>
                <w:bCs/>
                <w:sz w:val="16"/>
                <w:szCs w:val="16"/>
              </w:rPr>
              <w:t>Mesoscale</w:t>
            </w:r>
          </w:p>
          <w:p w14:paraId="5B5D7977" w14:textId="77777777" w:rsidR="001B70A3" w:rsidRPr="00D3656B" w:rsidRDefault="001B70A3" w:rsidP="001B70A3">
            <w:pPr>
              <w:spacing w:after="0"/>
              <w:jc w:val="center"/>
              <w:rPr>
                <w:b/>
                <w:bCs/>
                <w:sz w:val="16"/>
                <w:szCs w:val="16"/>
              </w:rPr>
            </w:pPr>
            <w:r w:rsidRPr="00D3656B">
              <w:rPr>
                <w:b/>
                <w:bCs/>
                <w:sz w:val="16"/>
                <w:szCs w:val="16"/>
              </w:rPr>
              <w:t>Turbulence</w:t>
            </w:r>
          </w:p>
          <w:p w14:paraId="2C09AAD1" w14:textId="77777777" w:rsidR="001B70A3" w:rsidRPr="00D3656B" w:rsidRDefault="001B70A3" w:rsidP="001B70A3">
            <w:pPr>
              <w:spacing w:after="0"/>
              <w:jc w:val="center"/>
              <w:rPr>
                <w:b/>
                <w:bCs/>
                <w:sz w:val="16"/>
                <w:szCs w:val="16"/>
              </w:rPr>
            </w:pPr>
            <w:r w:rsidRPr="00D3656B">
              <w:rPr>
                <w:b/>
                <w:bCs/>
                <w:sz w:val="16"/>
                <w:szCs w:val="16"/>
              </w:rPr>
              <w:t>Model</w:t>
            </w:r>
          </w:p>
        </w:tc>
        <w:tc>
          <w:tcPr>
            <w:tcW w:w="1267" w:type="dxa"/>
            <w:vMerge w:val="restart"/>
            <w:tcBorders>
              <w:top w:val="single" w:sz="8" w:space="0" w:color="auto"/>
              <w:right w:val="single" w:sz="8" w:space="0" w:color="auto"/>
            </w:tcBorders>
            <w:vAlign w:val="center"/>
          </w:tcPr>
          <w:p w14:paraId="09EACC93" w14:textId="77777777" w:rsidR="001B70A3" w:rsidRPr="00D3656B" w:rsidRDefault="001B70A3" w:rsidP="001B70A3">
            <w:pPr>
              <w:spacing w:after="0"/>
              <w:jc w:val="center"/>
              <w:rPr>
                <w:b/>
                <w:bCs/>
                <w:sz w:val="16"/>
                <w:szCs w:val="16"/>
              </w:rPr>
            </w:pPr>
            <w:r w:rsidRPr="00D3656B">
              <w:rPr>
                <w:b/>
                <w:bCs/>
                <w:sz w:val="16"/>
                <w:szCs w:val="16"/>
              </w:rPr>
              <w:t>SGS</w:t>
            </w:r>
          </w:p>
          <w:p w14:paraId="0FB6E32B" w14:textId="77777777" w:rsidR="001B70A3" w:rsidRPr="00D3656B" w:rsidRDefault="001B70A3" w:rsidP="001B70A3">
            <w:pPr>
              <w:spacing w:after="0"/>
              <w:jc w:val="center"/>
              <w:rPr>
                <w:b/>
                <w:bCs/>
                <w:sz w:val="16"/>
                <w:szCs w:val="16"/>
              </w:rPr>
            </w:pPr>
            <w:r w:rsidRPr="00D3656B">
              <w:rPr>
                <w:b/>
                <w:bCs/>
                <w:sz w:val="16"/>
                <w:szCs w:val="16"/>
              </w:rPr>
              <w:t>Turbulence</w:t>
            </w:r>
          </w:p>
          <w:p w14:paraId="7635B233" w14:textId="77777777" w:rsidR="001B70A3" w:rsidRPr="00D3656B" w:rsidRDefault="001B70A3" w:rsidP="001B70A3">
            <w:pPr>
              <w:spacing w:after="0"/>
              <w:jc w:val="center"/>
              <w:rPr>
                <w:b/>
                <w:bCs/>
                <w:sz w:val="16"/>
                <w:szCs w:val="16"/>
              </w:rPr>
            </w:pPr>
            <w:r w:rsidRPr="00D3656B">
              <w:rPr>
                <w:b/>
                <w:bCs/>
                <w:sz w:val="16"/>
                <w:szCs w:val="16"/>
              </w:rPr>
              <w:t>Model</w:t>
            </w:r>
          </w:p>
        </w:tc>
        <w:tc>
          <w:tcPr>
            <w:tcW w:w="2913" w:type="dxa"/>
            <w:gridSpan w:val="2"/>
            <w:tcBorders>
              <w:top w:val="single" w:sz="8" w:space="0" w:color="auto"/>
              <w:left w:val="single" w:sz="8" w:space="0" w:color="auto"/>
              <w:bottom w:val="single" w:sz="8" w:space="0" w:color="auto"/>
              <w:right w:val="single" w:sz="8" w:space="0" w:color="auto"/>
            </w:tcBorders>
            <w:vAlign w:val="center"/>
          </w:tcPr>
          <w:p w14:paraId="4DF6B40A" w14:textId="77777777" w:rsidR="00E54E4C" w:rsidRDefault="001B70A3" w:rsidP="001B70A3">
            <w:pPr>
              <w:spacing w:after="0"/>
              <w:jc w:val="center"/>
              <w:rPr>
                <w:b/>
                <w:bCs/>
                <w:sz w:val="16"/>
                <w:szCs w:val="16"/>
              </w:rPr>
            </w:pPr>
            <w:r w:rsidRPr="00D3656B">
              <w:rPr>
                <w:b/>
                <w:bCs/>
                <w:sz w:val="16"/>
                <w:szCs w:val="16"/>
              </w:rPr>
              <w:t>Horizontal Grid Spacing</w:t>
            </w:r>
          </w:p>
          <w:p w14:paraId="0502369B" w14:textId="761CE7D4" w:rsidR="001B70A3" w:rsidRPr="00D3656B" w:rsidRDefault="001B70A3" w:rsidP="001B70A3">
            <w:pPr>
              <w:spacing w:after="0"/>
              <w:jc w:val="center"/>
              <w:rPr>
                <w:b/>
                <w:bCs/>
                <w:sz w:val="16"/>
                <w:szCs w:val="16"/>
              </w:rPr>
            </w:pPr>
            <w:r w:rsidRPr="00D3656B">
              <w:rPr>
                <w:b/>
                <w:bCs/>
                <w:sz w:val="16"/>
                <w:szCs w:val="16"/>
              </w:rPr>
              <w:t xml:space="preserve"> </w:t>
            </w:r>
            <m:oMath>
              <m:sSub>
                <m:sSubPr>
                  <m:ctrlPr>
                    <w:rPr>
                      <w:rFonts w:ascii="Cambria Math" w:hAnsi="Cambria Math"/>
                      <w:b/>
                      <w:bCs/>
                      <w:sz w:val="16"/>
                      <w:szCs w:val="16"/>
                    </w:rPr>
                  </m:ctrlPr>
                </m:sSubPr>
                <m:e>
                  <m:r>
                    <m:rPr>
                      <m:sty m:val="b"/>
                    </m:rPr>
                    <w:rPr>
                      <w:rFonts w:ascii="Cambria Math" w:hAnsi="Cambria Math"/>
                      <w:sz w:val="16"/>
                      <w:szCs w:val="16"/>
                    </w:rPr>
                    <m:t>∆</m:t>
                  </m:r>
                  <m:r>
                    <m:rPr>
                      <m:sty m:val="bi"/>
                    </m:rPr>
                    <w:rPr>
                      <w:rFonts w:ascii="Cambria Math" w:hAnsi="Cambria Math"/>
                      <w:sz w:val="16"/>
                      <w:szCs w:val="16"/>
                    </w:rPr>
                    <m:t>x</m:t>
                  </m:r>
                </m:e>
                <m:sub>
                  <m:r>
                    <m:rPr>
                      <m:sty m:val="bi"/>
                    </m:rPr>
                    <w:rPr>
                      <w:rFonts w:ascii="Cambria Math" w:hAnsi="Cambria Math"/>
                      <w:sz w:val="16"/>
                      <w:szCs w:val="16"/>
                    </w:rPr>
                    <m:t>i</m:t>
                  </m:r>
                  <m:r>
                    <m:rPr>
                      <m:sty m:val="b"/>
                    </m:rPr>
                    <w:rPr>
                      <w:rFonts w:ascii="Cambria Math" w:hAnsi="Cambria Math"/>
                      <w:sz w:val="16"/>
                      <w:szCs w:val="16"/>
                    </w:rPr>
                    <m:t>=4,5</m:t>
                  </m:r>
                </m:sub>
              </m:sSub>
              <m:r>
                <m:rPr>
                  <m:sty m:val="b"/>
                </m:rPr>
                <w:rPr>
                  <w:rFonts w:ascii="Cambria Math" w:hAnsi="Cambria Math"/>
                  <w:sz w:val="16"/>
                  <w:szCs w:val="16"/>
                </w:rPr>
                <m:t>=</m:t>
              </m:r>
              <m:sSub>
                <m:sSubPr>
                  <m:ctrlPr>
                    <w:rPr>
                      <w:rFonts w:ascii="Cambria Math" w:hAnsi="Cambria Math"/>
                      <w:b/>
                      <w:bCs/>
                      <w:sz w:val="16"/>
                      <w:szCs w:val="16"/>
                    </w:rPr>
                  </m:ctrlPr>
                </m:sSubPr>
                <m:e>
                  <m:r>
                    <m:rPr>
                      <m:sty m:val="b"/>
                    </m:rPr>
                    <w:rPr>
                      <w:rFonts w:ascii="Cambria Math" w:hAnsi="Cambria Math"/>
                      <w:sz w:val="16"/>
                      <w:szCs w:val="16"/>
                    </w:rPr>
                    <m:t>∆</m:t>
                  </m:r>
                  <m:r>
                    <m:rPr>
                      <m:sty m:val="bi"/>
                    </m:rPr>
                    <w:rPr>
                      <w:rFonts w:ascii="Cambria Math" w:hAnsi="Cambria Math"/>
                      <w:sz w:val="16"/>
                      <w:szCs w:val="16"/>
                    </w:rPr>
                    <m:t>y</m:t>
                  </m:r>
                </m:e>
                <m:sub>
                  <m:r>
                    <m:rPr>
                      <m:sty m:val="bi"/>
                    </m:rPr>
                    <w:rPr>
                      <w:rFonts w:ascii="Cambria Math" w:hAnsi="Cambria Math"/>
                      <w:sz w:val="16"/>
                      <w:szCs w:val="16"/>
                    </w:rPr>
                    <m:t>i</m:t>
                  </m:r>
                  <m:r>
                    <m:rPr>
                      <m:sty m:val="b"/>
                    </m:rPr>
                    <w:rPr>
                      <w:rFonts w:ascii="Cambria Math" w:hAnsi="Cambria Math"/>
                      <w:sz w:val="16"/>
                      <w:szCs w:val="16"/>
                    </w:rPr>
                    <m:t>=4,5</m:t>
                  </m:r>
                </m:sub>
              </m:sSub>
            </m:oMath>
            <w:r w:rsidRPr="00D3656B">
              <w:rPr>
                <w:b/>
                <w:bCs/>
                <w:sz w:val="16"/>
                <w:szCs w:val="16"/>
              </w:rPr>
              <w:t xml:space="preserve"> and </w:t>
            </w:r>
            <m:oMath>
              <m:sSub>
                <m:sSubPr>
                  <m:ctrlPr>
                    <w:rPr>
                      <w:rFonts w:ascii="Cambria Math" w:hAnsi="Cambria Math"/>
                      <w:b/>
                      <w:bCs/>
                      <w:sz w:val="16"/>
                      <w:szCs w:val="16"/>
                    </w:rPr>
                  </m:ctrlPr>
                </m:sSubPr>
                <m:e>
                  <m:r>
                    <m:rPr>
                      <m:sty m:val="bi"/>
                    </m:rPr>
                    <w:rPr>
                      <w:rFonts w:ascii="Cambria Math" w:hAnsi="Cambria Math"/>
                      <w:sz w:val="16"/>
                      <w:szCs w:val="16"/>
                    </w:rPr>
                    <m:t>R</m:t>
                  </m:r>
                </m:e>
                <m:sub>
                  <m:r>
                    <m:rPr>
                      <m:sty m:val="bi"/>
                    </m:rPr>
                    <w:rPr>
                      <w:rFonts w:ascii="Cambria Math" w:hAnsi="Cambria Math"/>
                      <w:sz w:val="16"/>
                      <w:szCs w:val="16"/>
                    </w:rPr>
                    <m:t>i</m:t>
                  </m:r>
                  <m:r>
                    <m:rPr>
                      <m:sty m:val="b"/>
                    </m:rPr>
                    <w:rPr>
                      <w:rFonts w:ascii="Cambria Math" w:hAnsi="Cambria Math"/>
                      <w:sz w:val="16"/>
                      <w:szCs w:val="16"/>
                    </w:rPr>
                    <m:t>=4,5</m:t>
                  </m:r>
                </m:sub>
              </m:sSub>
            </m:oMath>
          </w:p>
        </w:tc>
      </w:tr>
      <w:tr w:rsidR="001B70A3" w:rsidRPr="00A30064" w14:paraId="5B91466D" w14:textId="77777777" w:rsidTr="00663612">
        <w:trPr>
          <w:trHeight w:val="163"/>
          <w:jc w:val="center"/>
        </w:trPr>
        <w:tc>
          <w:tcPr>
            <w:tcW w:w="1090" w:type="dxa"/>
            <w:vMerge/>
            <w:tcBorders>
              <w:left w:val="single" w:sz="8" w:space="0" w:color="auto"/>
              <w:right w:val="single" w:sz="8" w:space="0" w:color="auto"/>
            </w:tcBorders>
            <w:vAlign w:val="center"/>
          </w:tcPr>
          <w:p w14:paraId="28BB1BC7" w14:textId="77777777" w:rsidR="001B70A3" w:rsidRPr="00A30064" w:rsidRDefault="001B70A3" w:rsidP="001B70A3">
            <w:pPr>
              <w:spacing w:after="0"/>
              <w:jc w:val="center"/>
              <w:rPr>
                <w:sz w:val="16"/>
                <w:szCs w:val="16"/>
              </w:rPr>
            </w:pPr>
          </w:p>
        </w:tc>
        <w:tc>
          <w:tcPr>
            <w:tcW w:w="636" w:type="dxa"/>
            <w:vMerge/>
            <w:tcBorders>
              <w:left w:val="single" w:sz="8" w:space="0" w:color="auto"/>
              <w:bottom w:val="single" w:sz="8" w:space="0" w:color="auto"/>
            </w:tcBorders>
            <w:vAlign w:val="center"/>
          </w:tcPr>
          <w:p w14:paraId="2D2565DB" w14:textId="77777777" w:rsidR="001B70A3" w:rsidRPr="0045023B" w:rsidRDefault="001B70A3" w:rsidP="001B70A3">
            <w:pPr>
              <w:spacing w:after="0"/>
              <w:jc w:val="center"/>
              <w:rPr>
                <w:sz w:val="16"/>
                <w:szCs w:val="16"/>
              </w:rPr>
            </w:pPr>
          </w:p>
        </w:tc>
        <w:tc>
          <w:tcPr>
            <w:tcW w:w="1726" w:type="dxa"/>
            <w:gridSpan w:val="2"/>
            <w:vMerge/>
            <w:tcBorders>
              <w:bottom w:val="single" w:sz="8" w:space="0" w:color="auto"/>
            </w:tcBorders>
            <w:vAlign w:val="center"/>
          </w:tcPr>
          <w:p w14:paraId="0EC13DC1" w14:textId="77777777" w:rsidR="001B70A3" w:rsidRPr="0045023B" w:rsidRDefault="001B70A3" w:rsidP="001B70A3">
            <w:pPr>
              <w:spacing w:after="0"/>
              <w:jc w:val="center"/>
              <w:rPr>
                <w:sz w:val="16"/>
                <w:szCs w:val="16"/>
              </w:rPr>
            </w:pPr>
          </w:p>
        </w:tc>
        <w:tc>
          <w:tcPr>
            <w:tcW w:w="1363" w:type="dxa"/>
            <w:vMerge/>
            <w:tcBorders>
              <w:bottom w:val="single" w:sz="8" w:space="0" w:color="auto"/>
            </w:tcBorders>
            <w:vAlign w:val="center"/>
          </w:tcPr>
          <w:p w14:paraId="266ADB9F" w14:textId="77777777" w:rsidR="001B70A3" w:rsidRPr="0045023B" w:rsidRDefault="001B70A3" w:rsidP="001B70A3">
            <w:pPr>
              <w:spacing w:after="0"/>
              <w:jc w:val="center"/>
              <w:rPr>
                <w:sz w:val="16"/>
                <w:szCs w:val="16"/>
              </w:rPr>
            </w:pPr>
          </w:p>
        </w:tc>
        <w:tc>
          <w:tcPr>
            <w:tcW w:w="1267" w:type="dxa"/>
            <w:vMerge/>
            <w:tcBorders>
              <w:bottom w:val="single" w:sz="8" w:space="0" w:color="auto"/>
              <w:right w:val="single" w:sz="8" w:space="0" w:color="auto"/>
            </w:tcBorders>
            <w:vAlign w:val="center"/>
          </w:tcPr>
          <w:p w14:paraId="6C7839AD" w14:textId="77777777" w:rsidR="001B70A3" w:rsidRPr="0045023B" w:rsidRDefault="001B70A3" w:rsidP="001B70A3">
            <w:pPr>
              <w:spacing w:after="0"/>
              <w:jc w:val="center"/>
              <w:rPr>
                <w:sz w:val="16"/>
                <w:szCs w:val="16"/>
              </w:rPr>
            </w:pPr>
          </w:p>
        </w:tc>
        <w:tc>
          <w:tcPr>
            <w:tcW w:w="1459" w:type="dxa"/>
            <w:tcBorders>
              <w:top w:val="single" w:sz="8" w:space="0" w:color="auto"/>
              <w:left w:val="single" w:sz="8" w:space="0" w:color="auto"/>
            </w:tcBorders>
            <w:vAlign w:val="center"/>
          </w:tcPr>
          <w:p w14:paraId="5B4996A9" w14:textId="2AA89AD6" w:rsidR="001B70A3" w:rsidRPr="0045023B" w:rsidRDefault="00BB4B77" w:rsidP="001B70A3">
            <w:pPr>
              <w:spacing w:after="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D</m:t>
                    </m:r>
                    <m:r>
                      <m:rPr>
                        <m:sty m:val="p"/>
                      </m:rPr>
                      <w:rPr>
                        <w:rFonts w:ascii="Cambria Math" w:hAnsi="Cambria Math"/>
                        <w:sz w:val="16"/>
                        <w:szCs w:val="16"/>
                      </w:rPr>
                      <m:t>0</m:t>
                    </m:r>
                  </m:e>
                  <m:sub>
                    <m:r>
                      <w:rPr>
                        <w:rFonts w:ascii="Cambria Math" w:hAnsi="Cambria Math"/>
                        <w:sz w:val="16"/>
                        <w:szCs w:val="16"/>
                      </w:rPr>
                      <m:t>i</m:t>
                    </m:r>
                    <m:r>
                      <m:rPr>
                        <m:sty m:val="p"/>
                      </m:rPr>
                      <w:rPr>
                        <w:rFonts w:ascii="Cambria Math" w:hAnsi="Cambria Math"/>
                        <w:sz w:val="16"/>
                        <w:szCs w:val="16"/>
                      </w:rPr>
                      <m:t>=4</m:t>
                    </m:r>
                  </m:sub>
                </m:sSub>
              </m:oMath>
            </m:oMathPara>
          </w:p>
          <w:p w14:paraId="1871467C" w14:textId="77777777" w:rsidR="00E54E4C" w:rsidRPr="00E54E4C" w:rsidRDefault="0045023B" w:rsidP="001B70A3">
            <w:pPr>
              <w:spacing w:after="0"/>
              <w:jc w:val="center"/>
              <w:rPr>
                <w:sz w:val="16"/>
                <w:szCs w:val="16"/>
              </w:rPr>
            </w:pPr>
            <m:oMathPara>
              <m:oMath>
                <m:r>
                  <m:rPr>
                    <m:sty m:val="p"/>
                  </m:rPr>
                  <w:rPr>
                    <w:rFonts w:ascii="Cambria Math" w:hAnsi="Cambria Math"/>
                    <w:sz w:val="16"/>
                    <w:szCs w:val="16"/>
                  </w:rPr>
                  <m:t>∆</m:t>
                </m:r>
                <m:r>
                  <w:rPr>
                    <w:rFonts w:ascii="Cambria Math" w:hAnsi="Cambria Math"/>
                    <w:sz w:val="16"/>
                    <w:szCs w:val="16"/>
                  </w:rPr>
                  <m:t>x</m:t>
                </m:r>
                <m:r>
                  <m:rPr>
                    <m:sty m:val="p"/>
                  </m:rPr>
                  <w:rPr>
                    <w:rFonts w:ascii="Cambria Math" w:hAnsi="Cambria Math"/>
                    <w:sz w:val="16"/>
                    <w:szCs w:val="16"/>
                  </w:rPr>
                  <m:t>4=∆</m:t>
                </m:r>
                <m:r>
                  <w:rPr>
                    <w:rFonts w:ascii="Cambria Math" w:hAnsi="Cambria Math"/>
                    <w:sz w:val="16"/>
                    <w:szCs w:val="16"/>
                  </w:rPr>
                  <m:t>y</m:t>
                </m:r>
                <m:r>
                  <m:rPr>
                    <m:sty m:val="p"/>
                  </m:rPr>
                  <w:rPr>
                    <w:rFonts w:ascii="Cambria Math" w:hAnsi="Cambria Math"/>
                    <w:sz w:val="16"/>
                    <w:szCs w:val="16"/>
                  </w:rPr>
                  <m:t>4</m:t>
                </m:r>
              </m:oMath>
            </m:oMathPara>
          </w:p>
          <w:p w14:paraId="3125B221" w14:textId="1B4DF308" w:rsidR="001B70A3" w:rsidRPr="0045023B" w:rsidRDefault="0045023B" w:rsidP="001B70A3">
            <w:pPr>
              <w:spacing w:after="0"/>
              <w:jc w:val="center"/>
              <w:rPr>
                <w:sz w:val="16"/>
                <w:szCs w:val="16"/>
              </w:rPr>
            </w:pPr>
            <m:oMath>
              <m:r>
                <m:rPr>
                  <m:sty m:val="p"/>
                </m:rPr>
                <w:rPr>
                  <w:rFonts w:ascii="Cambria Math" w:hAnsi="Cambria Math"/>
                  <w:sz w:val="16"/>
                  <w:szCs w:val="16"/>
                </w:rPr>
                <m:t>=</m:t>
              </m:r>
            </m:oMath>
            <w:r w:rsidR="001B70A3" w:rsidRPr="0045023B">
              <w:rPr>
                <w:sz w:val="16"/>
                <w:szCs w:val="16"/>
              </w:rPr>
              <w:t xml:space="preserve"> 342 m</w:t>
            </w:r>
          </w:p>
        </w:tc>
        <w:tc>
          <w:tcPr>
            <w:tcW w:w="1454" w:type="dxa"/>
            <w:tcBorders>
              <w:top w:val="single" w:sz="8" w:space="0" w:color="auto"/>
              <w:right w:val="single" w:sz="8" w:space="0" w:color="auto"/>
            </w:tcBorders>
            <w:vAlign w:val="center"/>
          </w:tcPr>
          <w:p w14:paraId="0E2F6293" w14:textId="3F6325F9" w:rsidR="001B70A3" w:rsidRPr="00A30064" w:rsidRDefault="00BB4B77" w:rsidP="001B70A3">
            <w:pPr>
              <w:spacing w:after="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D</m:t>
                    </m:r>
                    <m:r>
                      <m:rPr>
                        <m:sty m:val="p"/>
                      </m:rPr>
                      <w:rPr>
                        <w:rFonts w:ascii="Cambria Math" w:hAnsi="Cambria Math"/>
                        <w:sz w:val="16"/>
                        <w:szCs w:val="16"/>
                      </w:rPr>
                      <m:t>0</m:t>
                    </m:r>
                  </m:e>
                  <m:sub>
                    <m:r>
                      <w:rPr>
                        <w:rFonts w:ascii="Cambria Math" w:hAnsi="Cambria Math"/>
                        <w:sz w:val="16"/>
                        <w:szCs w:val="16"/>
                      </w:rPr>
                      <m:t>i</m:t>
                    </m:r>
                    <m:r>
                      <m:rPr>
                        <m:sty m:val="p"/>
                      </m:rPr>
                      <w:rPr>
                        <w:rFonts w:ascii="Cambria Math" w:hAnsi="Cambria Math"/>
                        <w:sz w:val="16"/>
                        <w:szCs w:val="16"/>
                      </w:rPr>
                      <m:t>=5</m:t>
                    </m:r>
                  </m:sub>
                </m:sSub>
              </m:oMath>
            </m:oMathPara>
          </w:p>
          <w:p w14:paraId="2078D426" w14:textId="77777777" w:rsidR="00E54E4C" w:rsidRPr="00E54E4C" w:rsidRDefault="0045023B" w:rsidP="001B70A3">
            <w:pPr>
              <w:spacing w:after="0"/>
              <w:jc w:val="center"/>
              <w:rPr>
                <w:sz w:val="16"/>
                <w:szCs w:val="16"/>
              </w:rPr>
            </w:pPr>
            <m:oMathPara>
              <m:oMath>
                <m:r>
                  <m:rPr>
                    <m:sty m:val="p"/>
                  </m:rPr>
                  <w:rPr>
                    <w:rFonts w:ascii="Cambria Math" w:hAnsi="Cambria Math"/>
                    <w:sz w:val="16"/>
                    <w:szCs w:val="16"/>
                  </w:rPr>
                  <m:t>∆</m:t>
                </m:r>
                <m:r>
                  <w:rPr>
                    <w:rFonts w:ascii="Cambria Math" w:hAnsi="Cambria Math"/>
                    <w:sz w:val="16"/>
                    <w:szCs w:val="16"/>
                  </w:rPr>
                  <m:t>x</m:t>
                </m:r>
                <m:r>
                  <m:rPr>
                    <m:sty m:val="p"/>
                  </m:rPr>
                  <w:rPr>
                    <w:rFonts w:ascii="Cambria Math" w:hAnsi="Cambria Math"/>
                    <w:sz w:val="16"/>
                    <w:szCs w:val="16"/>
                  </w:rPr>
                  <m:t>5=∆</m:t>
                </m:r>
                <m:r>
                  <w:rPr>
                    <w:rFonts w:ascii="Cambria Math" w:hAnsi="Cambria Math"/>
                    <w:sz w:val="16"/>
                    <w:szCs w:val="16"/>
                  </w:rPr>
                  <m:t>y</m:t>
                </m:r>
                <m:r>
                  <m:rPr>
                    <m:sty m:val="p"/>
                  </m:rPr>
                  <w:rPr>
                    <w:rFonts w:ascii="Cambria Math" w:hAnsi="Cambria Math"/>
                    <w:sz w:val="16"/>
                    <w:szCs w:val="16"/>
                  </w:rPr>
                  <m:t>5</m:t>
                </m:r>
              </m:oMath>
            </m:oMathPara>
          </w:p>
          <w:p w14:paraId="4AE558ED" w14:textId="7B73B1CC" w:rsidR="001B70A3" w:rsidRPr="00A30064" w:rsidRDefault="0045023B" w:rsidP="001B70A3">
            <w:pPr>
              <w:spacing w:after="0"/>
              <w:jc w:val="center"/>
              <w:rPr>
                <w:sz w:val="16"/>
                <w:szCs w:val="16"/>
              </w:rPr>
            </w:pPr>
            <m:oMath>
              <m:r>
                <m:rPr>
                  <m:sty m:val="p"/>
                </m:rPr>
                <w:rPr>
                  <w:rFonts w:ascii="Cambria Math" w:hAnsi="Cambria Math"/>
                  <w:sz w:val="16"/>
                  <w:szCs w:val="16"/>
                </w:rPr>
                <m:t>=</m:t>
              </m:r>
            </m:oMath>
            <w:r w:rsidR="001B70A3" w:rsidRPr="00A30064">
              <w:rPr>
                <w:sz w:val="16"/>
                <w:szCs w:val="16"/>
              </w:rPr>
              <w:t xml:space="preserve"> 114 m</w:t>
            </w:r>
          </w:p>
        </w:tc>
      </w:tr>
      <w:tr w:rsidR="001B70A3" w:rsidRPr="00A30064" w14:paraId="467F0D9C" w14:textId="77777777" w:rsidTr="00663612">
        <w:trPr>
          <w:trHeight w:val="414"/>
          <w:jc w:val="center"/>
        </w:trPr>
        <w:tc>
          <w:tcPr>
            <w:tcW w:w="1090" w:type="dxa"/>
            <w:vMerge/>
            <w:tcBorders>
              <w:left w:val="single" w:sz="8" w:space="0" w:color="auto"/>
              <w:right w:val="single" w:sz="8" w:space="0" w:color="auto"/>
            </w:tcBorders>
            <w:vAlign w:val="center"/>
          </w:tcPr>
          <w:p w14:paraId="6F47A4A1" w14:textId="77777777" w:rsidR="001B70A3" w:rsidRPr="00A30064" w:rsidRDefault="001B70A3" w:rsidP="001B70A3">
            <w:pPr>
              <w:spacing w:after="0"/>
              <w:jc w:val="center"/>
              <w:rPr>
                <w:sz w:val="16"/>
                <w:szCs w:val="16"/>
              </w:rPr>
            </w:pPr>
          </w:p>
        </w:tc>
        <w:tc>
          <w:tcPr>
            <w:tcW w:w="636" w:type="dxa"/>
            <w:tcBorders>
              <w:top w:val="single" w:sz="8" w:space="0" w:color="auto"/>
              <w:left w:val="single" w:sz="8" w:space="0" w:color="auto"/>
            </w:tcBorders>
            <w:vAlign w:val="center"/>
          </w:tcPr>
          <w:p w14:paraId="2A8396F2" w14:textId="77777777" w:rsidR="001B70A3" w:rsidRPr="00A30064" w:rsidRDefault="001B70A3" w:rsidP="001B70A3">
            <w:pPr>
              <w:spacing w:after="0"/>
              <w:jc w:val="center"/>
              <w:rPr>
                <w:sz w:val="16"/>
                <w:szCs w:val="16"/>
              </w:rPr>
            </w:pPr>
            <w:r w:rsidRPr="00A30064">
              <w:rPr>
                <w:sz w:val="16"/>
                <w:szCs w:val="16"/>
              </w:rPr>
              <w:t>C</w:t>
            </w:r>
          </w:p>
        </w:tc>
        <w:tc>
          <w:tcPr>
            <w:tcW w:w="1726" w:type="dxa"/>
            <w:gridSpan w:val="2"/>
            <w:tcBorders>
              <w:top w:val="single" w:sz="8" w:space="0" w:color="auto"/>
            </w:tcBorders>
            <w:vAlign w:val="center"/>
          </w:tcPr>
          <w:p w14:paraId="15428F78" w14:textId="77777777" w:rsidR="001B70A3" w:rsidRPr="00A30064" w:rsidRDefault="001B70A3" w:rsidP="001B70A3">
            <w:pPr>
              <w:spacing w:after="0"/>
              <w:jc w:val="center"/>
              <w:rPr>
                <w:sz w:val="16"/>
                <w:szCs w:val="16"/>
              </w:rPr>
            </w:pPr>
            <w:r w:rsidRPr="00A30064">
              <w:rPr>
                <w:sz w:val="16"/>
                <w:szCs w:val="16"/>
              </w:rPr>
              <w:t>Input</w:t>
            </w:r>
          </w:p>
          <w:p w14:paraId="34686FEC" w14:textId="5A06A180" w:rsidR="00E2655B" w:rsidRDefault="001B70A3" w:rsidP="001B70A3">
            <w:pPr>
              <w:spacing w:after="0"/>
              <w:jc w:val="center"/>
              <w:rPr>
                <w:sz w:val="16"/>
                <w:szCs w:val="16"/>
              </w:rPr>
            </w:pPr>
            <w:r w:rsidRPr="00A30064">
              <w:rPr>
                <w:sz w:val="16"/>
                <w:szCs w:val="16"/>
              </w:rPr>
              <w:t>from case B</w:t>
            </w:r>
            <w:r w:rsidR="00784FA4">
              <w:rPr>
                <w:sz w:val="16"/>
                <w:szCs w:val="16"/>
              </w:rPr>
              <w:t>,</w:t>
            </w:r>
            <w:r w:rsidR="00E2655B">
              <w:rPr>
                <w:sz w:val="16"/>
                <w:szCs w:val="16"/>
              </w:rPr>
              <w:t xml:space="preserve"> </w:t>
            </w:r>
            <w:r w:rsidRPr="00A30064">
              <w:rPr>
                <w:sz w:val="16"/>
                <w:szCs w:val="16"/>
              </w:rPr>
              <w:t xml:space="preserve">FNL, </w:t>
            </w:r>
            <w:r w:rsidR="00E2655B">
              <w:rPr>
                <w:sz w:val="16"/>
                <w:szCs w:val="16"/>
              </w:rPr>
              <w:t>and</w:t>
            </w:r>
          </w:p>
          <w:p w14:paraId="09017E58" w14:textId="7B4580BB" w:rsidR="001B70A3" w:rsidRPr="00A30064" w:rsidRDefault="001B70A3" w:rsidP="001B70A3">
            <w:pPr>
              <w:spacing w:after="0"/>
              <w:jc w:val="center"/>
              <w:rPr>
                <w:sz w:val="16"/>
                <w:szCs w:val="16"/>
              </w:rPr>
            </w:pPr>
            <w:r w:rsidRPr="00A30064">
              <w:rPr>
                <w:sz w:val="16"/>
                <w:szCs w:val="16"/>
              </w:rPr>
              <w:t>obs</w:t>
            </w:r>
            <w:r w:rsidR="00E2655B">
              <w:rPr>
                <w:sz w:val="16"/>
                <w:szCs w:val="16"/>
              </w:rPr>
              <w:t>ervation</w:t>
            </w:r>
          </w:p>
        </w:tc>
        <w:tc>
          <w:tcPr>
            <w:tcW w:w="1363" w:type="dxa"/>
            <w:tcBorders>
              <w:top w:val="single" w:sz="8" w:space="0" w:color="auto"/>
            </w:tcBorders>
            <w:vAlign w:val="center"/>
          </w:tcPr>
          <w:p w14:paraId="1958AD1E" w14:textId="77777777" w:rsidR="001B70A3" w:rsidRPr="00A30064" w:rsidRDefault="001B70A3" w:rsidP="001B70A3">
            <w:pPr>
              <w:spacing w:after="0"/>
              <w:jc w:val="center"/>
              <w:rPr>
                <w:sz w:val="16"/>
                <w:szCs w:val="16"/>
              </w:rPr>
            </w:pPr>
            <w:r w:rsidRPr="00A30064">
              <w:rPr>
                <w:sz w:val="16"/>
                <w:szCs w:val="16"/>
              </w:rPr>
              <w:t>TKE1.5</w:t>
            </w:r>
          </w:p>
          <w:p w14:paraId="79F625BF" w14:textId="77777777" w:rsidR="001B70A3" w:rsidRPr="00A30064" w:rsidRDefault="001B70A3" w:rsidP="001B70A3">
            <w:pPr>
              <w:spacing w:after="0"/>
              <w:jc w:val="center"/>
              <w:rPr>
                <w:sz w:val="16"/>
                <w:szCs w:val="16"/>
              </w:rPr>
            </w:pPr>
          </w:p>
        </w:tc>
        <w:tc>
          <w:tcPr>
            <w:tcW w:w="1267" w:type="dxa"/>
            <w:vMerge w:val="restart"/>
            <w:tcBorders>
              <w:top w:val="single" w:sz="8" w:space="0" w:color="auto"/>
            </w:tcBorders>
            <w:vAlign w:val="center"/>
          </w:tcPr>
          <w:p w14:paraId="73130605" w14:textId="77777777" w:rsidR="001B70A3" w:rsidRPr="00A30064" w:rsidRDefault="001B70A3" w:rsidP="001B70A3">
            <w:pPr>
              <w:spacing w:after="0"/>
              <w:jc w:val="center"/>
              <w:rPr>
                <w:sz w:val="16"/>
                <w:szCs w:val="16"/>
              </w:rPr>
            </w:pPr>
            <w:r w:rsidRPr="00A30064">
              <w:rPr>
                <w:sz w:val="16"/>
                <w:szCs w:val="16"/>
              </w:rPr>
              <w:t>TKE1.5</w:t>
            </w:r>
          </w:p>
        </w:tc>
        <w:tc>
          <w:tcPr>
            <w:tcW w:w="1459" w:type="dxa"/>
            <w:vMerge w:val="restart"/>
            <w:vAlign w:val="center"/>
          </w:tcPr>
          <w:p w14:paraId="3BDAF4EA" w14:textId="77777777" w:rsidR="001B70A3" w:rsidRPr="00A30064" w:rsidRDefault="00BB4B77" w:rsidP="001B70A3">
            <w:pPr>
              <w:spacing w:after="0"/>
              <w:jc w:val="center"/>
              <w:rPr>
                <w:sz w:val="16"/>
                <w:szCs w:val="16"/>
              </w:rPr>
            </w:pPr>
            <m:oMath>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4</m:t>
                  </m:r>
                </m:sub>
              </m:sSub>
            </m:oMath>
            <w:r w:rsidR="001B70A3" w:rsidRPr="00A30064">
              <w:rPr>
                <w:sz w:val="16"/>
                <w:szCs w:val="16"/>
              </w:rPr>
              <w:t xml:space="preserve"> = 40,000 m</w:t>
            </w:r>
          </w:p>
        </w:tc>
        <w:tc>
          <w:tcPr>
            <w:tcW w:w="1454" w:type="dxa"/>
            <w:vMerge w:val="restart"/>
            <w:tcBorders>
              <w:right w:val="single" w:sz="8" w:space="0" w:color="auto"/>
            </w:tcBorders>
            <w:vAlign w:val="center"/>
          </w:tcPr>
          <w:p w14:paraId="59F27BAA" w14:textId="77777777" w:rsidR="001B70A3" w:rsidRPr="00A30064" w:rsidRDefault="00BB4B77" w:rsidP="001B70A3">
            <w:pPr>
              <w:spacing w:after="0"/>
              <w:jc w:val="center"/>
              <w:rPr>
                <w:sz w:val="16"/>
                <w:szCs w:val="16"/>
              </w:rPr>
            </w:pPr>
            <m:oMath>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5</m:t>
                  </m:r>
                </m:sub>
              </m:sSub>
            </m:oMath>
            <w:r w:rsidR="001B70A3" w:rsidRPr="00A30064">
              <w:rPr>
                <w:sz w:val="16"/>
                <w:szCs w:val="16"/>
              </w:rPr>
              <w:t xml:space="preserve"> = 15,000 m</w:t>
            </w:r>
          </w:p>
        </w:tc>
      </w:tr>
      <w:tr w:rsidR="001B70A3" w:rsidRPr="00A30064" w14:paraId="59A572ED" w14:textId="77777777" w:rsidTr="00663612">
        <w:trPr>
          <w:trHeight w:val="427"/>
          <w:jc w:val="center"/>
        </w:trPr>
        <w:tc>
          <w:tcPr>
            <w:tcW w:w="1090" w:type="dxa"/>
            <w:vMerge/>
            <w:tcBorders>
              <w:left w:val="single" w:sz="8" w:space="0" w:color="auto"/>
              <w:right w:val="single" w:sz="8" w:space="0" w:color="auto"/>
            </w:tcBorders>
            <w:vAlign w:val="center"/>
          </w:tcPr>
          <w:p w14:paraId="133A063F" w14:textId="77777777" w:rsidR="001B70A3" w:rsidRPr="00A30064" w:rsidRDefault="001B70A3" w:rsidP="001B70A3">
            <w:pPr>
              <w:spacing w:after="0"/>
              <w:jc w:val="center"/>
              <w:rPr>
                <w:sz w:val="16"/>
                <w:szCs w:val="16"/>
              </w:rPr>
            </w:pPr>
          </w:p>
        </w:tc>
        <w:tc>
          <w:tcPr>
            <w:tcW w:w="636" w:type="dxa"/>
            <w:tcBorders>
              <w:left w:val="single" w:sz="8" w:space="0" w:color="auto"/>
            </w:tcBorders>
            <w:vAlign w:val="center"/>
          </w:tcPr>
          <w:p w14:paraId="340E59EE" w14:textId="77777777" w:rsidR="001B70A3" w:rsidRPr="00A30064" w:rsidRDefault="001B70A3" w:rsidP="001B70A3">
            <w:pPr>
              <w:spacing w:after="0"/>
              <w:jc w:val="center"/>
              <w:rPr>
                <w:sz w:val="16"/>
                <w:szCs w:val="16"/>
              </w:rPr>
            </w:pPr>
            <w:r w:rsidRPr="00A30064">
              <w:rPr>
                <w:sz w:val="16"/>
                <w:szCs w:val="16"/>
              </w:rPr>
              <w:t>D</w:t>
            </w:r>
          </w:p>
        </w:tc>
        <w:tc>
          <w:tcPr>
            <w:tcW w:w="1726" w:type="dxa"/>
            <w:gridSpan w:val="2"/>
            <w:vAlign w:val="center"/>
          </w:tcPr>
          <w:p w14:paraId="259CDE66" w14:textId="4883073C" w:rsidR="001B70A3" w:rsidRPr="00A30064" w:rsidRDefault="00E2655B" w:rsidP="001B70A3">
            <w:pPr>
              <w:spacing w:after="0"/>
              <w:jc w:val="center"/>
              <w:rPr>
                <w:sz w:val="16"/>
                <w:szCs w:val="16"/>
              </w:rPr>
            </w:pPr>
            <w:r w:rsidRPr="00A30064">
              <w:rPr>
                <w:sz w:val="16"/>
                <w:szCs w:val="16"/>
              </w:rPr>
              <w:t>Obs</w:t>
            </w:r>
            <w:r>
              <w:rPr>
                <w:sz w:val="16"/>
                <w:szCs w:val="16"/>
              </w:rPr>
              <w:t>ervation and</w:t>
            </w:r>
            <w:r w:rsidRPr="00A30064">
              <w:rPr>
                <w:sz w:val="16"/>
                <w:szCs w:val="16"/>
              </w:rPr>
              <w:t xml:space="preserve"> FNL</w:t>
            </w:r>
          </w:p>
        </w:tc>
        <w:tc>
          <w:tcPr>
            <w:tcW w:w="1363" w:type="dxa"/>
            <w:vMerge w:val="restart"/>
            <w:vAlign w:val="center"/>
          </w:tcPr>
          <w:p w14:paraId="0E0CA7DB" w14:textId="5BF2DCE7" w:rsidR="001B70A3" w:rsidRPr="00A30064" w:rsidRDefault="00D01FF7" w:rsidP="001B70A3">
            <w:pPr>
              <w:spacing w:after="0"/>
              <w:jc w:val="center"/>
              <w:rPr>
                <w:sz w:val="16"/>
                <w:szCs w:val="16"/>
              </w:rPr>
            </w:pPr>
            <w:r>
              <w:rPr>
                <w:sz w:val="16"/>
                <w:szCs w:val="16"/>
              </w:rPr>
              <w:t>The parent mesoscale turbulence model (TKE1.5) is u</w:t>
            </w:r>
            <w:r w:rsidR="001B70A3" w:rsidRPr="00A30064">
              <w:rPr>
                <w:sz w:val="16"/>
                <w:szCs w:val="16"/>
              </w:rPr>
              <w:t>seless</w:t>
            </w:r>
          </w:p>
        </w:tc>
        <w:tc>
          <w:tcPr>
            <w:tcW w:w="1267" w:type="dxa"/>
            <w:vMerge/>
            <w:vAlign w:val="center"/>
          </w:tcPr>
          <w:p w14:paraId="169023E6" w14:textId="77777777" w:rsidR="001B70A3" w:rsidRPr="00A30064" w:rsidRDefault="001B70A3" w:rsidP="001B70A3">
            <w:pPr>
              <w:spacing w:after="0"/>
              <w:jc w:val="center"/>
              <w:rPr>
                <w:sz w:val="16"/>
                <w:szCs w:val="16"/>
              </w:rPr>
            </w:pPr>
          </w:p>
        </w:tc>
        <w:tc>
          <w:tcPr>
            <w:tcW w:w="1459" w:type="dxa"/>
            <w:vMerge/>
            <w:vAlign w:val="center"/>
          </w:tcPr>
          <w:p w14:paraId="32BDEFE5" w14:textId="77777777" w:rsidR="001B70A3" w:rsidRPr="00A30064" w:rsidRDefault="001B70A3" w:rsidP="001B70A3">
            <w:pPr>
              <w:spacing w:after="0"/>
              <w:jc w:val="center"/>
              <w:rPr>
                <w:sz w:val="16"/>
                <w:szCs w:val="16"/>
              </w:rPr>
            </w:pPr>
          </w:p>
        </w:tc>
        <w:tc>
          <w:tcPr>
            <w:tcW w:w="1454" w:type="dxa"/>
            <w:vMerge/>
            <w:tcBorders>
              <w:right w:val="single" w:sz="8" w:space="0" w:color="auto"/>
            </w:tcBorders>
            <w:vAlign w:val="center"/>
          </w:tcPr>
          <w:p w14:paraId="3BA8E6A7" w14:textId="77777777" w:rsidR="001B70A3" w:rsidRPr="00A30064" w:rsidRDefault="001B70A3" w:rsidP="001B70A3">
            <w:pPr>
              <w:spacing w:after="0"/>
              <w:jc w:val="center"/>
              <w:rPr>
                <w:sz w:val="16"/>
                <w:szCs w:val="16"/>
              </w:rPr>
            </w:pPr>
          </w:p>
        </w:tc>
      </w:tr>
      <w:tr w:rsidR="001B70A3" w:rsidRPr="00A30064" w14:paraId="2AEDEA41" w14:textId="77777777" w:rsidTr="00663612">
        <w:trPr>
          <w:trHeight w:val="427"/>
          <w:jc w:val="center"/>
        </w:trPr>
        <w:tc>
          <w:tcPr>
            <w:tcW w:w="1090" w:type="dxa"/>
            <w:vMerge/>
            <w:tcBorders>
              <w:left w:val="single" w:sz="8" w:space="0" w:color="auto"/>
              <w:bottom w:val="single" w:sz="8" w:space="0" w:color="auto"/>
              <w:right w:val="single" w:sz="8" w:space="0" w:color="auto"/>
            </w:tcBorders>
            <w:vAlign w:val="center"/>
          </w:tcPr>
          <w:p w14:paraId="3B36DB45" w14:textId="77777777" w:rsidR="001B70A3" w:rsidRPr="00A30064" w:rsidRDefault="001B70A3" w:rsidP="001B70A3">
            <w:pPr>
              <w:spacing w:after="0"/>
              <w:jc w:val="center"/>
              <w:rPr>
                <w:sz w:val="16"/>
                <w:szCs w:val="16"/>
              </w:rPr>
            </w:pPr>
          </w:p>
        </w:tc>
        <w:tc>
          <w:tcPr>
            <w:tcW w:w="636" w:type="dxa"/>
            <w:tcBorders>
              <w:left w:val="single" w:sz="8" w:space="0" w:color="auto"/>
              <w:bottom w:val="single" w:sz="8" w:space="0" w:color="auto"/>
            </w:tcBorders>
            <w:vAlign w:val="center"/>
          </w:tcPr>
          <w:p w14:paraId="4286B27E" w14:textId="77777777" w:rsidR="001B70A3" w:rsidRPr="00A30064" w:rsidRDefault="001B70A3" w:rsidP="001B70A3">
            <w:pPr>
              <w:spacing w:after="0"/>
              <w:jc w:val="center"/>
              <w:rPr>
                <w:sz w:val="16"/>
                <w:szCs w:val="16"/>
              </w:rPr>
            </w:pPr>
            <w:r w:rsidRPr="00A30064">
              <w:rPr>
                <w:sz w:val="16"/>
                <w:szCs w:val="16"/>
              </w:rPr>
              <w:t>E</w:t>
            </w:r>
          </w:p>
        </w:tc>
        <w:tc>
          <w:tcPr>
            <w:tcW w:w="1726" w:type="dxa"/>
            <w:gridSpan w:val="2"/>
            <w:tcBorders>
              <w:bottom w:val="single" w:sz="8" w:space="0" w:color="auto"/>
            </w:tcBorders>
            <w:vAlign w:val="center"/>
          </w:tcPr>
          <w:p w14:paraId="447A701A" w14:textId="77777777" w:rsidR="001B70A3" w:rsidRPr="00A30064" w:rsidRDefault="001B70A3" w:rsidP="001B70A3">
            <w:pPr>
              <w:spacing w:after="0"/>
              <w:jc w:val="center"/>
              <w:rPr>
                <w:sz w:val="16"/>
                <w:szCs w:val="16"/>
              </w:rPr>
            </w:pPr>
            <w:r w:rsidRPr="00A30064">
              <w:rPr>
                <w:sz w:val="16"/>
                <w:szCs w:val="16"/>
              </w:rPr>
              <w:t>FNL</w:t>
            </w:r>
          </w:p>
        </w:tc>
        <w:tc>
          <w:tcPr>
            <w:tcW w:w="1363" w:type="dxa"/>
            <w:vMerge/>
            <w:tcBorders>
              <w:bottom w:val="single" w:sz="8" w:space="0" w:color="auto"/>
            </w:tcBorders>
            <w:vAlign w:val="center"/>
          </w:tcPr>
          <w:p w14:paraId="282B779A" w14:textId="77777777" w:rsidR="001B70A3" w:rsidRPr="00A30064" w:rsidRDefault="001B70A3" w:rsidP="001B70A3">
            <w:pPr>
              <w:spacing w:after="0"/>
              <w:jc w:val="center"/>
              <w:rPr>
                <w:sz w:val="16"/>
                <w:szCs w:val="16"/>
              </w:rPr>
            </w:pPr>
          </w:p>
        </w:tc>
        <w:tc>
          <w:tcPr>
            <w:tcW w:w="1267" w:type="dxa"/>
            <w:vMerge/>
            <w:tcBorders>
              <w:bottom w:val="single" w:sz="8" w:space="0" w:color="auto"/>
            </w:tcBorders>
            <w:vAlign w:val="center"/>
          </w:tcPr>
          <w:p w14:paraId="269826D7" w14:textId="77777777" w:rsidR="001B70A3" w:rsidRPr="00A30064" w:rsidRDefault="001B70A3" w:rsidP="001B70A3">
            <w:pPr>
              <w:spacing w:after="0"/>
              <w:jc w:val="center"/>
              <w:rPr>
                <w:sz w:val="16"/>
                <w:szCs w:val="16"/>
              </w:rPr>
            </w:pPr>
          </w:p>
        </w:tc>
        <w:tc>
          <w:tcPr>
            <w:tcW w:w="1459" w:type="dxa"/>
            <w:vMerge/>
            <w:tcBorders>
              <w:bottom w:val="single" w:sz="8" w:space="0" w:color="auto"/>
            </w:tcBorders>
            <w:vAlign w:val="center"/>
          </w:tcPr>
          <w:p w14:paraId="3616BC0E" w14:textId="77777777" w:rsidR="001B70A3" w:rsidRPr="00A30064" w:rsidRDefault="001B70A3" w:rsidP="001B70A3">
            <w:pPr>
              <w:spacing w:after="0"/>
              <w:jc w:val="center"/>
              <w:rPr>
                <w:sz w:val="16"/>
                <w:szCs w:val="16"/>
              </w:rPr>
            </w:pPr>
          </w:p>
        </w:tc>
        <w:tc>
          <w:tcPr>
            <w:tcW w:w="1454" w:type="dxa"/>
            <w:vMerge/>
            <w:tcBorders>
              <w:bottom w:val="single" w:sz="8" w:space="0" w:color="auto"/>
              <w:right w:val="single" w:sz="8" w:space="0" w:color="auto"/>
            </w:tcBorders>
            <w:vAlign w:val="center"/>
          </w:tcPr>
          <w:p w14:paraId="21393689" w14:textId="77777777" w:rsidR="001B70A3" w:rsidRPr="00A30064" w:rsidRDefault="001B70A3" w:rsidP="001B70A3">
            <w:pPr>
              <w:spacing w:after="0"/>
              <w:jc w:val="center"/>
              <w:rPr>
                <w:sz w:val="16"/>
                <w:szCs w:val="16"/>
              </w:rPr>
            </w:pPr>
          </w:p>
        </w:tc>
      </w:tr>
      <w:bookmarkEnd w:id="51"/>
    </w:tbl>
    <w:p w14:paraId="60A98986" w14:textId="77777777" w:rsidR="005B5282" w:rsidRDefault="005B5282" w:rsidP="00D85BF9"/>
    <w:p w14:paraId="44119786" w14:textId="02BC7369" w:rsidR="00722877" w:rsidRPr="002C7DEC" w:rsidRDefault="00722877" w:rsidP="00052F10">
      <w:pPr>
        <w:ind w:firstLine="540"/>
      </w:pPr>
      <w:r w:rsidRPr="002C7DEC">
        <w:t xml:space="preserve">As presented in Table 4, </w:t>
      </w:r>
      <w:bookmarkStart w:id="52" w:name="_Hlk83056260"/>
      <w:bookmarkStart w:id="53" w:name="_Hlk65726834"/>
      <w:r w:rsidRPr="002C7DEC">
        <w:t>we designed a mesoscale simulation, scenarios A as a benchmark experiment to help determine the optimality of observation nudging in scenario B.</w:t>
      </w:r>
      <w:bookmarkEnd w:id="52"/>
      <w:r w:rsidRPr="002C7DEC">
        <w:t xml:space="preserve"> We applied observation nudging in scenarios B, B1, C, and D. The nudging strength in these simulations was set to</w:t>
      </w:r>
      <m:oMath>
        <m:r>
          <w:rPr>
            <w:rFonts w:ascii="Cambria Math" w:hAnsi="Cambria Math"/>
          </w:rPr>
          <m:t xml:space="preserve"> 120×</m:t>
        </m:r>
        <m:sSup>
          <m:sSupPr>
            <m:ctrlPr>
              <w:rPr>
                <w:rFonts w:ascii="Cambria Math" w:hAnsi="Cambria Math"/>
                <w:i/>
              </w:rPr>
            </m:ctrlPr>
          </m:sSupPr>
          <m:e>
            <m:r>
              <w:rPr>
                <w:rFonts w:ascii="Cambria Math" w:hAnsi="Cambria Math"/>
              </w:rPr>
              <m:t>e</m:t>
            </m:r>
          </m:e>
          <m:sup>
            <m:r>
              <w:rPr>
                <w:rFonts w:ascii="Cambria Math" w:hAnsi="Cambria Math"/>
              </w:rPr>
              <m:t>-4</m:t>
            </m:r>
          </m:sup>
        </m:sSup>
        <m:sSup>
          <m:sSupPr>
            <m:ctrlPr>
              <w:rPr>
                <w:rFonts w:ascii="Cambria Math" w:hAnsi="Cambria Math"/>
                <w:i/>
              </w:rPr>
            </m:ctrlPr>
          </m:sSupPr>
          <m:e>
            <m:r>
              <w:rPr>
                <w:rFonts w:ascii="Cambria Math" w:hAnsi="Cambria Math"/>
              </w:rPr>
              <m:t>s</m:t>
            </m:r>
          </m:e>
          <m:sup>
            <m:r>
              <w:rPr>
                <w:rFonts w:ascii="Cambria Math" w:hAnsi="Cambria Math"/>
              </w:rPr>
              <m:t>-1</m:t>
            </m:r>
          </m:sup>
        </m:sSup>
      </m:oMath>
      <w:r w:rsidRPr="002C7DEC">
        <w:t xml:space="preserve">. As shown in Table 4, the radii of influence were set to </w:t>
      </w:r>
      <m:oMath>
        <m:sSub>
          <m:sSubPr>
            <m:ctrlPr>
              <w:rPr>
                <w:rFonts w:ascii="Cambria Math" w:hAnsi="Cambria Math"/>
                <w:i/>
              </w:rPr>
            </m:ctrlPr>
          </m:sSubPr>
          <m:e>
            <m:r>
              <w:rPr>
                <w:rFonts w:ascii="Cambria Math" w:hAnsi="Cambria Math"/>
              </w:rPr>
              <m:t>R</m:t>
            </m:r>
          </m:e>
          <m:sub>
            <m:r>
              <w:rPr>
                <w:rFonts w:ascii="Cambria Math" w:hAnsi="Cambria Math"/>
              </w:rPr>
              <m:t>i=1-5</m:t>
            </m:r>
          </m:sub>
        </m:sSub>
      </m:oMath>
      <w:r w:rsidRPr="002C7DEC">
        <w:t xml:space="preserve">, respectively for </w:t>
      </w:r>
      <m:oMath>
        <m:sSub>
          <m:sSubPr>
            <m:ctrlPr>
              <w:rPr>
                <w:rFonts w:ascii="Cambria Math" w:hAnsi="Cambria Math"/>
                <w:i/>
              </w:rPr>
            </m:ctrlPr>
          </m:sSubPr>
          <m:e>
            <m:r>
              <w:rPr>
                <w:rFonts w:ascii="Cambria Math" w:hAnsi="Cambria Math"/>
              </w:rPr>
              <m:t>D0</m:t>
            </m:r>
          </m:e>
          <m:sub>
            <m:r>
              <w:rPr>
                <w:rFonts w:ascii="Cambria Math" w:hAnsi="Cambria Math"/>
              </w:rPr>
              <m:t>i=1-5</m:t>
            </m:r>
          </m:sub>
        </m:sSub>
      </m:oMath>
      <w:r w:rsidRPr="002C7DEC">
        <w:t>. Each radius of influence on a given</w:t>
      </w:r>
      <w:r w:rsidR="00F02037">
        <w:t xml:space="preserve"> </w:t>
      </w:r>
      <w:r w:rsidRPr="002C7DEC">
        <w:t xml:space="preserve">domain was slightly greater than a half-diagonal of that domain. </w:t>
      </w:r>
      <w:bookmarkStart w:id="54" w:name="_Hlk61000353"/>
      <w:bookmarkStart w:id="55" w:name="_Hlk69954915"/>
      <w:r w:rsidRPr="002C7DEC">
        <w:t>Therefore, each point of the WRF domain at any distance within the domain will be influenced at least by one observation station. Observation stations are less dense and sparse (Figure 1</w:t>
      </w:r>
      <w:r w:rsidR="00F02037">
        <w:t>c</w:t>
      </w:r>
      <w:r w:rsidRPr="002C7DEC">
        <w:t>). We wanted every observation at any station to influence the whole domain at maximum. Therefore, scenario B determines the impact of observation nudging on the simulation results. Scenario B1 determine</w:t>
      </w:r>
      <w:r w:rsidR="00034901">
        <w:rPr>
          <w:rFonts w:eastAsia="SimSun" w:hint="eastAsia"/>
          <w:lang w:eastAsia="zh-CN"/>
        </w:rPr>
        <w:t>s</w:t>
      </w:r>
      <w:r w:rsidRPr="002C7DEC">
        <w:t xml:space="preserve"> the optimality of </w:t>
      </w:r>
      <w:r w:rsidR="00F02037">
        <w:t xml:space="preserve">the external forcing on </w:t>
      </w:r>
      <w:r w:rsidRPr="002C7DEC">
        <w:t>the ABL</w:t>
      </w:r>
      <w:r w:rsidR="00957CF9">
        <w:t xml:space="preserve"> such as </w:t>
      </w:r>
      <w:r w:rsidR="00957CF9" w:rsidRPr="00957CF9">
        <w:t xml:space="preserve">surface drag </w:t>
      </w:r>
      <w:r w:rsidR="00957CF9">
        <w:t>and heating caused by the infrared radiation divergence imposed to the atmosphere</w:t>
      </w:r>
      <w:r w:rsidRPr="002C7DEC">
        <w:t>.</w:t>
      </w:r>
      <w:r w:rsidR="007256FD">
        <w:t xml:space="preserve"> Note that s</w:t>
      </w:r>
      <w:r w:rsidR="007256FD" w:rsidRPr="007256FD">
        <w:t xml:space="preserve">urface characteristics directly affect ABL. Therefore, increasing the layers in this part accentuates the effect of surface characteristics on the simulation results. </w:t>
      </w:r>
      <w:r w:rsidRPr="002C7DEC">
        <w:t xml:space="preserve"> Scenario C is an LES that determines the effect of large-scale forcing on microscale circulation. </w:t>
      </w:r>
      <w:bookmarkEnd w:id="54"/>
      <w:r w:rsidRPr="002C7DEC">
        <w:t>LES is useful for understanding the specific processes underlying the ABL, clouds, etc. In this scenario, a one-way nest</w:t>
      </w:r>
      <w:r w:rsidR="006277A0">
        <w:t>ing</w:t>
      </w:r>
      <w:r w:rsidRPr="002C7DEC">
        <w:t xml:space="preserve"> strategy was performed between </w:t>
      </w:r>
      <w:bookmarkStart w:id="56" w:name="_Hlk70109469"/>
      <m:oMath>
        <m:sSub>
          <m:sSubPr>
            <m:ctrlPr>
              <w:rPr>
                <w:rFonts w:ascii="Cambria Math" w:hAnsi="Cambria Math"/>
                <w:i/>
              </w:rPr>
            </m:ctrlPr>
          </m:sSubPr>
          <m:e>
            <m:r>
              <w:rPr>
                <w:rFonts w:ascii="Cambria Math" w:hAnsi="Cambria Math"/>
              </w:rPr>
              <m:t>D0</m:t>
            </m:r>
          </m:e>
          <m:sub>
            <m:r>
              <w:rPr>
                <w:rFonts w:ascii="Cambria Math" w:hAnsi="Cambria Math"/>
              </w:rPr>
              <m:t>i=3</m:t>
            </m:r>
          </m:sub>
        </m:sSub>
      </m:oMath>
      <w:bookmarkEnd w:id="56"/>
      <w:r w:rsidRPr="002C7DEC">
        <w:t xml:space="preserve"> and </w:t>
      </w:r>
      <m:oMath>
        <m:sSub>
          <m:sSubPr>
            <m:ctrlPr>
              <w:rPr>
                <w:rFonts w:ascii="Cambria Math" w:hAnsi="Cambria Math"/>
                <w:i/>
              </w:rPr>
            </m:ctrlPr>
          </m:sSubPr>
          <m:e>
            <m:r>
              <w:rPr>
                <w:rFonts w:ascii="Cambria Math" w:hAnsi="Cambria Math"/>
              </w:rPr>
              <m:t>D0</m:t>
            </m:r>
          </m:e>
          <m:sub>
            <m:r>
              <w:rPr>
                <w:rFonts w:ascii="Cambria Math" w:hAnsi="Cambria Math"/>
              </w:rPr>
              <m:t>i=4</m:t>
            </m:r>
          </m:sub>
        </m:sSub>
      </m:oMath>
      <w:r w:rsidRPr="002C7DEC">
        <w:t xml:space="preserve"> where the </w:t>
      </w:r>
      <w:bookmarkStart w:id="57" w:name="_Hlk70110164"/>
      <w:r w:rsidRPr="002C7DEC">
        <w:t>former</w:t>
      </w:r>
      <w:bookmarkEnd w:id="57"/>
      <w:r w:rsidRPr="002C7DEC">
        <w:t xml:space="preserve"> provides the boundary condition for the latter with data from higher resolution land and masked surface fields. As mentioned earlier, this strategy only feeds suitable information from </w:t>
      </w:r>
      <m:oMath>
        <m:sSub>
          <m:sSubPr>
            <m:ctrlPr>
              <w:rPr>
                <w:rFonts w:ascii="Cambria Math" w:hAnsi="Cambria Math"/>
                <w:i/>
              </w:rPr>
            </m:ctrlPr>
          </m:sSubPr>
          <m:e>
            <m:r>
              <w:rPr>
                <w:rFonts w:ascii="Cambria Math" w:hAnsi="Cambria Math"/>
              </w:rPr>
              <m:t>D0</m:t>
            </m:r>
          </m:e>
          <m:sub>
            <m:r>
              <w:rPr>
                <w:rFonts w:ascii="Cambria Math" w:hAnsi="Cambria Math"/>
              </w:rPr>
              <m:t>i=3</m:t>
            </m:r>
          </m:sub>
        </m:sSub>
      </m:oMath>
      <w:r w:rsidRPr="002C7DEC">
        <w:t xml:space="preserve"> to </w:t>
      </w:r>
      <w:bookmarkStart w:id="58" w:name="_Hlk70110301"/>
      <m:oMath>
        <m:sSub>
          <m:sSubPr>
            <m:ctrlPr>
              <w:rPr>
                <w:rFonts w:ascii="Cambria Math" w:hAnsi="Cambria Math"/>
                <w:i/>
              </w:rPr>
            </m:ctrlPr>
          </m:sSubPr>
          <m:e>
            <m:r>
              <w:rPr>
                <w:rFonts w:ascii="Cambria Math" w:hAnsi="Cambria Math"/>
              </w:rPr>
              <m:t>D0</m:t>
            </m:r>
          </m:e>
          <m:sub>
            <m:r>
              <w:rPr>
                <w:rFonts w:ascii="Cambria Math" w:hAnsi="Cambria Math"/>
              </w:rPr>
              <m:t>i=4</m:t>
            </m:r>
          </m:sub>
        </m:sSub>
      </m:oMath>
      <w:bookmarkEnd w:id="58"/>
      <w:r w:rsidRPr="002C7DEC">
        <w:t xml:space="preserve"> and there is no feedback between these two domains. Scenario C differs from scenario D only by the use of the one-way nesting strategy. Indeed, scenario D is a control experiment for</w:t>
      </w:r>
      <w:r w:rsidR="00934DEC">
        <w:rPr>
          <w:rFonts w:eastAsia="SimSun" w:hint="eastAsia"/>
          <w:lang w:eastAsia="zh-CN"/>
        </w:rPr>
        <w:t xml:space="preserve"> </w:t>
      </w:r>
      <w:r w:rsidRPr="002C7DEC">
        <w:t xml:space="preserve">scenario C, which helps to </w:t>
      </w:r>
      <w:r w:rsidRPr="002C7DEC">
        <w:lastRenderedPageBreak/>
        <w:t xml:space="preserve">determine the optimality of applying the one-way nesting strategy. </w:t>
      </w:r>
      <w:r w:rsidR="00D55845">
        <w:t>W</w:t>
      </w:r>
      <w:r w:rsidRPr="002C7DEC">
        <w:t>e designed the scenario E as a benchmark experiment for LES run to help determine the optimality of observation nudging in scenario D. The vertical resolution has not been tested for scenarios C, D</w:t>
      </w:r>
      <w:r w:rsidR="00F677EB">
        <w:t>,</w:t>
      </w:r>
      <w:r w:rsidRPr="002C7DEC">
        <w:t xml:space="preserve"> and E due to their very high computational cost. Briefly, in this approach, we focused on scenario B to achieve our objective of using observation nudging. </w:t>
      </w:r>
      <w:r w:rsidR="00F677EB">
        <w:rPr>
          <w:rFonts w:eastAsia="SimSun"/>
          <w:lang w:eastAsia="zh-CN"/>
        </w:rPr>
        <w:t>S</w:t>
      </w:r>
      <w:r w:rsidRPr="002C7DEC">
        <w:t xml:space="preserve">cenario C utilized the input from scenario B as the boundary condition, and we were expecting </w:t>
      </w:r>
      <w:r w:rsidR="00934DEC">
        <w:rPr>
          <w:rFonts w:eastAsia="SimSun" w:hint="eastAsia"/>
          <w:lang w:eastAsia="zh-CN"/>
        </w:rPr>
        <w:t>the s</w:t>
      </w:r>
      <w:r w:rsidRPr="002C7DEC">
        <w:t xml:space="preserve">cenario C to reproduce the results from B but </w:t>
      </w:r>
      <w:r w:rsidR="00F677EB">
        <w:t>is</w:t>
      </w:r>
      <w:r w:rsidR="00F677EB" w:rsidRPr="002C7DEC">
        <w:t xml:space="preserve"> </w:t>
      </w:r>
      <w:r w:rsidRPr="002C7DEC">
        <w:t xml:space="preserve">much improved. </w:t>
      </w:r>
      <w:bookmarkEnd w:id="55"/>
      <w:r w:rsidRPr="002C7DEC">
        <w:t xml:space="preserve">A study by </w:t>
      </w:r>
      <w:r w:rsidRPr="002C7DEC">
        <w:fldChar w:fldCharType="begin"/>
      </w:r>
      <w:r w:rsidR="00EC3304">
        <w:instrText xml:space="preserve"> ADDIN ZOTERO_ITEM CSL_CITATION {"citationID":"al0e9r99e4","properties":{"formattedCitation":"(Heinze et al., 2017)","plainCitation":"(Heinze et al., 2017)","dontUpdate":true,"noteIndex":0},"citationItems":[{"id":409,"uris":["http://zotero.org/users/7904379/items/VGB4LY5M"],"itemData":{"id":409,"type":"article-journal","abstract":"&lt;p&gt;&lt;strong class=\"journal-contentHeaderColor\"&gt;Abstract.&lt;/strong&gt; Large-eddy simulations (LESs) of a multi-week period during the HD(CP)&lt;sup&gt;2&lt;/sup&gt; (High-Definition Clouds and Precipitation for advancing Climate Prediction) Observational Prototype Experiment (HOPE) conducted in Germany are evaluated with respect to mean boundary layer quantities and turbulence statistics. Two LES models are used in a semi-idealized setup through forcing with mesoscale model output to account for the synoptic-scale conditions. Evaluation is performed based on the HOPE observations. The mean boundary layer characteristics like the boundary layer depth are in a principal agreement with observations. Simulating shallow-cumulus layers in agreement with the measurements poses a challenge for both LES models. Variance profiles agree satisfactorily with lidar measurements. The results depend on how the forcing data stemming from mesoscale model output are constructed. The mean boundary layer characteristics become less sensitive if the averaging domain for the forcing is large enough to filter out mesoscale fluctuations.&lt;/p&gt;","container-title":"Atmospheric Chemistry and Physics","DOI":"10.5194/acp-17-7083-2017","ISSN":"1680-7316","issue":"11","language":"English","note":"publisher: Copernicus GmbH","page":"7083-7109","source":"acp.copernicus.org","title":"Evaluation of large-eddy simulations forced with mesoscale model output for a multi-week period during a measurement campaign","URL":"https://acp.copernicus.org/articles/17/7083/2017/","volume":"17","author":[{"family":"Heinze","given":"Rieke"},{"family":"Moseley","given":"Christopher"},{"family":"Böske","given":"Lennart Nils"},{"family":"Muppa","given":"Shravan Kumar"},{"family":"Maurer","given":"Vera"},{"family":"Raasch","given":"Siegfried"},{"family":"Stevens","given":"Bjorn"}],"accessed":{"date-parts":[["2021",4,23]]},"issued":{"date-parts":[["2017",6,15]]}}}],"schema":"https://github.com/citation-style-language/schema/raw/master/csl-citation.json"} </w:instrText>
      </w:r>
      <w:r w:rsidRPr="002C7DEC">
        <w:fldChar w:fldCharType="separate"/>
      </w:r>
      <w:r w:rsidR="00A44B66" w:rsidRPr="00A44B66">
        <w:t xml:space="preserve">Heinze et al., </w:t>
      </w:r>
      <w:r w:rsidR="004C506E">
        <w:t>(</w:t>
      </w:r>
      <w:r w:rsidR="00A44B66" w:rsidRPr="00A44B66">
        <w:t>2017)</w:t>
      </w:r>
      <w:r w:rsidRPr="002C7DEC">
        <w:fldChar w:fldCharType="end"/>
      </w:r>
      <w:r w:rsidRPr="002C7DEC">
        <w:t xml:space="preserve"> </w:t>
      </w:r>
      <w:r w:rsidR="00D55845">
        <w:t xml:space="preserve">successfully </w:t>
      </w:r>
      <w:r w:rsidRPr="002C7DEC">
        <w:t xml:space="preserve">used the same approach to evaluate the mean ABL quantities and turbulence statistics. </w:t>
      </w:r>
      <w:bookmarkEnd w:id="53"/>
    </w:p>
    <w:p w14:paraId="28459D40" w14:textId="0F46C7F8" w:rsidR="00722877" w:rsidRPr="00A05B6E" w:rsidRDefault="00722877" w:rsidP="008E31C7">
      <w:pPr>
        <w:pStyle w:val="Heading3"/>
        <w:numPr>
          <w:ilvl w:val="2"/>
          <w:numId w:val="27"/>
        </w:numPr>
        <w:ind w:left="540"/>
      </w:pPr>
      <w:r w:rsidRPr="00A05B6E">
        <w:t xml:space="preserve">Evaluation metrics  </w:t>
      </w:r>
    </w:p>
    <w:p w14:paraId="11AE6F27" w14:textId="6242BDD8" w:rsidR="00722877" w:rsidRPr="002C7DEC" w:rsidRDefault="00722877" w:rsidP="00052F10">
      <w:pPr>
        <w:ind w:firstLine="540"/>
      </w:pPr>
      <w:r w:rsidRPr="002C7DEC">
        <w:t xml:space="preserve">The model evaluation is based on </w:t>
      </w:r>
      <w:r w:rsidR="00934DEC">
        <w:rPr>
          <w:rFonts w:eastAsia="SimSun" w:hint="eastAsia"/>
          <w:lang w:eastAsia="zh-CN"/>
        </w:rPr>
        <w:t xml:space="preserve">the </w:t>
      </w:r>
      <w:r w:rsidRPr="002C7DEC">
        <w:t xml:space="preserve">mean bias (MB) and </w:t>
      </w:r>
      <w:r w:rsidR="00934DEC">
        <w:rPr>
          <w:rFonts w:eastAsia="SimSun" w:hint="eastAsia"/>
          <w:lang w:eastAsia="zh-CN"/>
        </w:rPr>
        <w:t xml:space="preserve">the </w:t>
      </w:r>
      <w:r w:rsidRPr="002C7DEC">
        <w:t xml:space="preserve">root mean squared error (RMSE) statistics </w:t>
      </w:r>
      <w:r w:rsidRPr="002C7DEC">
        <w:fldChar w:fldCharType="begin"/>
      </w:r>
      <w:r w:rsidR="00A44B66">
        <w:instrText xml:space="preserve"> ADDIN ZOTERO_ITEM CSL_CITATION {"citationID":"a2lm46i8o5g","properties":{"formattedCitation":"(Stanski et al., 1989; Willmott et al., 1985)","plainCitation":"(Stanski et al., 1989; Willmott et al., 1985)","noteIndex":0},"citationItems":[{"id":109,"uris":["http://zotero.org/users/7904379/items/HECW79NA"],"itemData":{"id":109,"type":"book","collection-title":"WMO/TD","event-place":"Geneva","number-of-pages":"114 p.","publisher":"WMO","publisher-place":"Geneva","title":"WWW Technical report, 08. Survey of common verification methods in meteorology","author":[{"family":"Stanski","given":"Henry R."},{"family":"Wilson","given":"Laurence J."},{"family":"Burrows","given":"William R."},{"family":"Organization (WMO)","given":"World Meteorological"}],"issued":{"date-parts":[["1989"]]}}},{"id":105,"uris":["http://zotero.org/users/7904379/items/QZV886W8"],"itemData":{"id":105,"type":"article-journal","abstract":"Procedures that may be used to evaluate the operational performance of a wide spectrum of geophysical models are introduced. Primarily using a complementary set of difference measures, both model accuracy and precision can be meaningfully estimated, regardless of whether the model predictions are manifested as scalars, directions, or vectors. It is additionally suggested that the reliability of the accuracy and precision measures can be determined from bootstrap estimates of confidence and significance. Recommended procedures are illustrated with a comparative evaluation of two models that estimate wind velocity over the South Atlantic Bight.","container-title":"Journal of Geophysical Research: Oceans","DOI":"https://doi.org/10.1029/JC090iC05p08995","ISSN":"2156-2202","issue":"C5","language":"en","note":"_eprint: https://agupubs.onlinelibrary.wiley.com/doi/pdf/10.1029/JC090iC05p08995","page":"8995-9005","source":"Wiley Online Library","title":"Statistics for the evaluation and comparison of models","URL":"https://agupubs.onlinelibrary.wiley.com/doi/abs/10.1029/JC090iC05p08995","volume":"90","author":[{"family":"Willmott","given":"Cort J."},{"family":"Ackleson","given":"Steven G."},{"family":"Davis","given":"Robert E."},{"family":"Feddema","given":"Johannes J."},{"family":"Klink","given":"Katherine M."},{"family":"Legates","given":"David R."},{"family":"O'Donnell","given":"James"},{"family":"Rowe","given":"Clinton M."}],"accessed":{"date-parts":[["2021",3,25]]},"issued":{"date-parts":[["1985"]]}}}],"schema":"https://github.com/citation-style-language/schema/raw/master/csl-citation.json"} </w:instrText>
      </w:r>
      <w:r w:rsidRPr="002C7DEC">
        <w:fldChar w:fldCharType="separate"/>
      </w:r>
      <w:r w:rsidR="00A44B66" w:rsidRPr="00A44B66">
        <w:t>(Stanski et al., 1989; Willmott et al., 1985)</w:t>
      </w:r>
      <w:r w:rsidRPr="002C7DEC">
        <w:fldChar w:fldCharType="end"/>
      </w:r>
      <w:r w:rsidRPr="002C7DEC">
        <w:t xml:space="preserve"> as given in Equations (</w:t>
      </w:r>
      <w:r w:rsidR="00A64BB5">
        <w:t>12</w:t>
      </w:r>
      <w:r w:rsidRPr="002C7DEC">
        <w:t>) and (1</w:t>
      </w:r>
      <w:r w:rsidR="00A64BB5">
        <w:t>3</w:t>
      </w:r>
      <w:r w:rsidRPr="002C7DEC">
        <w:t>), respectively:</w:t>
      </w:r>
    </w:p>
    <w:tbl>
      <w:tblPr>
        <w:tblStyle w:val="PlainTable41"/>
        <w:tblW w:w="9480" w:type="dxa"/>
        <w:tblLook w:val="04A0" w:firstRow="1" w:lastRow="0" w:firstColumn="1" w:lastColumn="0" w:noHBand="0" w:noVBand="1"/>
      </w:tblPr>
      <w:tblGrid>
        <w:gridCol w:w="9480"/>
      </w:tblGrid>
      <w:tr w:rsidR="00722877" w:rsidRPr="002C7DEC" w14:paraId="2DF5FFE6" w14:textId="77777777" w:rsidTr="00A64BB5">
        <w:trPr>
          <w:cnfStyle w:val="100000000000" w:firstRow="1" w:lastRow="0" w:firstColumn="0" w:lastColumn="0" w:oddVBand="0" w:evenVBand="0" w:oddHBand="0"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9480" w:type="dxa"/>
            <w:vAlign w:val="center"/>
          </w:tcPr>
          <w:p w14:paraId="6BEAE8E8" w14:textId="0ADEB49D" w:rsidR="00722877" w:rsidRPr="002C7DEC" w:rsidRDefault="00722877" w:rsidP="00A64BB5">
            <w:pPr>
              <w:jc w:val="right"/>
            </w:pPr>
            <m:oMath>
              <m:r>
                <m:rPr>
                  <m:sty m:val="b"/>
                </m:rPr>
                <w:rPr>
                  <w:rFonts w:ascii="Cambria Math" w:hAnsi="Cambria Math"/>
                </w:rPr>
                <m:t>MB=</m:t>
              </m:r>
              <m:f>
                <m:fPr>
                  <m:ctrlPr>
                    <w:rPr>
                      <w:rFonts w:ascii="Cambria Math" w:hAnsi="Cambria Math"/>
                    </w:rPr>
                  </m:ctrlPr>
                </m:fPr>
                <m:num>
                  <m:nary>
                    <m:naryPr>
                      <m:chr m:val="∑"/>
                      <m:limLoc m:val="subSup"/>
                      <m:ctrlPr>
                        <w:rPr>
                          <w:rFonts w:ascii="Cambria Math" w:hAnsi="Cambria Math"/>
                        </w:rPr>
                      </m:ctrlPr>
                    </m:naryPr>
                    <m:sub>
                      <m:r>
                        <m:rPr>
                          <m:sty m:val="b"/>
                        </m:rPr>
                        <w:rPr>
                          <w:rFonts w:ascii="Cambria Math" w:hAnsi="Cambria Math"/>
                        </w:rPr>
                        <m:t>j=1</m:t>
                      </m:r>
                    </m:sub>
                    <m:sup>
                      <m:r>
                        <m:rPr>
                          <m:sty m:val="b"/>
                        </m:rPr>
                        <w:rPr>
                          <w:rFonts w:ascii="Cambria Math" w:hAnsi="Cambria Math"/>
                        </w:rPr>
                        <m:t>n</m:t>
                      </m:r>
                    </m:sup>
                    <m:e>
                      <m:r>
                        <m:rPr>
                          <m:sty m:val="b"/>
                        </m:rPr>
                        <w:rPr>
                          <w:rFonts w:ascii="Cambria Math" w:hAnsi="Cambria Math"/>
                        </w:rPr>
                        <m:t>(</m:t>
                      </m:r>
                      <m:sSub>
                        <m:sSubPr>
                          <m:ctrlPr>
                            <w:rPr>
                              <w:rFonts w:ascii="Cambria Math" w:hAnsi="Cambria Math"/>
                            </w:rPr>
                          </m:ctrlPr>
                        </m:sSubPr>
                        <m:e>
                          <m:r>
                            <m:rPr>
                              <m:sty m:val="b"/>
                            </m:rPr>
                            <w:rPr>
                              <w:rFonts w:ascii="Cambria Math" w:hAnsi="Cambria Math"/>
                            </w:rPr>
                            <m:t>f</m:t>
                          </m:r>
                        </m:e>
                        <m:sub>
                          <m:r>
                            <m:rPr>
                              <m:sty m:val="bi"/>
                            </m:rPr>
                            <w:rPr>
                              <w:rFonts w:ascii="Cambria Math" w:hAnsi="Cambria Math"/>
                            </w:rPr>
                            <m:t>j</m:t>
                          </m:r>
                        </m:sub>
                      </m:sSub>
                      <m:r>
                        <m:rPr>
                          <m:sty m:val="b"/>
                        </m:rPr>
                        <w:rPr>
                          <w:rFonts w:ascii="Cambria Math" w:hAnsi="Cambria Math"/>
                        </w:rPr>
                        <m:t>-</m:t>
                      </m:r>
                      <m:sSub>
                        <m:sSubPr>
                          <m:ctrlPr>
                            <w:rPr>
                              <w:rFonts w:ascii="Cambria Math" w:hAnsi="Cambria Math"/>
                            </w:rPr>
                          </m:ctrlPr>
                        </m:sSubPr>
                        <m:e>
                          <m:r>
                            <m:rPr>
                              <m:sty m:val="b"/>
                            </m:rPr>
                            <w:rPr>
                              <w:rFonts w:ascii="Cambria Math" w:hAnsi="Cambria Math"/>
                            </w:rPr>
                            <m:t>O</m:t>
                          </m:r>
                        </m:e>
                        <m:sub>
                          <m:r>
                            <m:rPr>
                              <m:sty m:val="bi"/>
                            </m:rPr>
                            <w:rPr>
                              <w:rFonts w:ascii="Cambria Math" w:hAnsi="Cambria Math"/>
                            </w:rPr>
                            <m:t>j</m:t>
                          </m:r>
                        </m:sub>
                      </m:sSub>
                      <m:r>
                        <m:rPr>
                          <m:sty m:val="b"/>
                        </m:rPr>
                        <w:rPr>
                          <w:rFonts w:ascii="Cambria Math" w:hAnsi="Cambria Math"/>
                        </w:rPr>
                        <m:t>)</m:t>
                      </m:r>
                    </m:e>
                  </m:nary>
                </m:num>
                <m:den>
                  <m:r>
                    <m:rPr>
                      <m:sty m:val="b"/>
                    </m:rPr>
                    <w:rPr>
                      <w:rFonts w:ascii="Cambria Math" w:hAnsi="Cambria Math"/>
                    </w:rPr>
                    <m:t>n</m:t>
                  </m:r>
                </m:den>
              </m:f>
            </m:oMath>
            <w:r w:rsidRPr="002C7DEC">
              <w:t xml:space="preserve">   </w:t>
            </w:r>
            <w:r w:rsidR="00A64BB5">
              <w:t xml:space="preserve">                   </w:t>
            </w:r>
            <w:r w:rsidRPr="002C7DEC">
              <w:t xml:space="preserve">                                    (12)</w:t>
            </w:r>
          </w:p>
        </w:tc>
      </w:tr>
    </w:tbl>
    <w:p w14:paraId="5166D885" w14:textId="30B00363" w:rsidR="00722877" w:rsidRPr="002C7DEC" w:rsidRDefault="00722877" w:rsidP="00D85BF9">
      <w:r w:rsidRPr="002C7DEC">
        <w:t xml:space="preserve">where </w:t>
      </w:r>
      <m:oMath>
        <m:sSub>
          <m:sSubPr>
            <m:ctrlPr>
              <w:rPr>
                <w:rFonts w:ascii="Cambria Math" w:hAnsi="Cambria Math"/>
              </w:rPr>
            </m:ctrlPr>
          </m:sSubPr>
          <m:e>
            <m:r>
              <m:rPr>
                <m:sty m:val="p"/>
              </m:rPr>
              <w:rPr>
                <w:rFonts w:ascii="Cambria Math" w:hAnsi="Cambria Math"/>
              </w:rPr>
              <m:t>f</m:t>
            </m:r>
          </m:e>
          <m:sub>
            <m:r>
              <m:rPr>
                <m:sty m:val="p"/>
              </m:rPr>
              <w:rPr>
                <w:rFonts w:ascii="Cambria Math" w:hAnsi="Cambria Math"/>
              </w:rPr>
              <m:t>j=1,…,n</m:t>
            </m:r>
          </m:sub>
        </m:sSub>
      </m:oMath>
      <w:r w:rsidRPr="002C7DEC">
        <w:t xml:space="preserve"> are the simulated values from the model, </w:t>
      </w:r>
      <m:oMath>
        <m:sSub>
          <m:sSubPr>
            <m:ctrlPr>
              <w:rPr>
                <w:rFonts w:ascii="Cambria Math" w:hAnsi="Cambria Math"/>
              </w:rPr>
            </m:ctrlPr>
          </m:sSubPr>
          <m:e>
            <m:r>
              <m:rPr>
                <m:sty m:val="p"/>
              </m:rPr>
              <w:rPr>
                <w:rFonts w:ascii="Cambria Math" w:hAnsi="Cambria Math"/>
              </w:rPr>
              <m:t>o</m:t>
            </m:r>
          </m:e>
          <m:sub>
            <m:r>
              <m:rPr>
                <m:sty m:val="p"/>
              </m:rPr>
              <w:rPr>
                <w:rFonts w:ascii="Cambria Math" w:hAnsi="Cambria Math"/>
              </w:rPr>
              <m:t>j=1,…,n</m:t>
            </m:r>
          </m:sub>
        </m:sSub>
      </m:oMath>
      <w:r w:rsidRPr="002C7DEC">
        <w:t xml:space="preserve"> are the observation values, and n is the number of data points used in the calculation; and</w:t>
      </w:r>
    </w:p>
    <w:tbl>
      <w:tblPr>
        <w:tblStyle w:val="PlainTable41"/>
        <w:tblW w:w="0" w:type="auto"/>
        <w:tblLook w:val="04A0" w:firstRow="1" w:lastRow="0" w:firstColumn="1" w:lastColumn="0" w:noHBand="0" w:noVBand="1"/>
      </w:tblPr>
      <w:tblGrid>
        <w:gridCol w:w="9360"/>
      </w:tblGrid>
      <w:tr w:rsidR="00722877" w:rsidRPr="002C7DEC" w14:paraId="542221D9" w14:textId="77777777" w:rsidTr="00A64BB5">
        <w:trPr>
          <w:cnfStyle w:val="100000000000" w:firstRow="1" w:lastRow="0" w:firstColumn="0" w:lastColumn="0" w:oddVBand="0" w:evenVBand="0" w:oddHBand="0" w:evenHBand="0" w:firstRowFirstColumn="0" w:firstRowLastColumn="0" w:lastRowFirstColumn="0" w:lastRowLastColumn="0"/>
          <w:trHeight w:val="856"/>
        </w:trPr>
        <w:tc>
          <w:tcPr>
            <w:cnfStyle w:val="001000000000" w:firstRow="0" w:lastRow="0" w:firstColumn="1" w:lastColumn="0" w:oddVBand="0" w:evenVBand="0" w:oddHBand="0" w:evenHBand="0" w:firstRowFirstColumn="0" w:firstRowLastColumn="0" w:lastRowFirstColumn="0" w:lastRowLastColumn="0"/>
            <w:tcW w:w="9562" w:type="dxa"/>
            <w:vAlign w:val="center"/>
          </w:tcPr>
          <w:p w14:paraId="718D4878" w14:textId="0E4FDECC" w:rsidR="00722877" w:rsidRPr="002C7DEC" w:rsidRDefault="00722877" w:rsidP="00A64BB5">
            <w:pPr>
              <w:jc w:val="right"/>
            </w:pPr>
            <m:oMath>
              <m:r>
                <m:rPr>
                  <m:sty m:val="b"/>
                </m:rPr>
                <w:rPr>
                  <w:rFonts w:ascii="Cambria Math" w:hAnsi="Cambria Math"/>
                </w:rPr>
                <m:t>RMSE=</m:t>
              </m:r>
              <m:rad>
                <m:radPr>
                  <m:degHide m:val="1"/>
                  <m:ctrlPr>
                    <w:rPr>
                      <w:rFonts w:ascii="Cambria Math" w:hAnsi="Cambria Math"/>
                      <w:iCs/>
                    </w:rPr>
                  </m:ctrlPr>
                </m:radPr>
                <m:deg/>
                <m:e>
                  <m:f>
                    <m:fPr>
                      <m:ctrlPr>
                        <w:rPr>
                          <w:rFonts w:ascii="Cambria Math" w:hAnsi="Cambria Math"/>
                          <w:iCs/>
                        </w:rPr>
                      </m:ctrlPr>
                    </m:fPr>
                    <m:num>
                      <m:nary>
                        <m:naryPr>
                          <m:chr m:val="∑"/>
                          <m:limLoc m:val="subSup"/>
                          <m:ctrlPr>
                            <w:rPr>
                              <w:rFonts w:ascii="Cambria Math" w:hAnsi="Cambria Math"/>
                              <w:iCs/>
                            </w:rPr>
                          </m:ctrlPr>
                        </m:naryPr>
                        <m:sub>
                          <m:r>
                            <m:rPr>
                              <m:sty m:val="b"/>
                            </m:rPr>
                            <w:rPr>
                              <w:rFonts w:ascii="Cambria Math" w:hAnsi="Cambria Math"/>
                            </w:rPr>
                            <m:t>j=1</m:t>
                          </m:r>
                        </m:sub>
                        <m:sup>
                          <m:r>
                            <m:rPr>
                              <m:sty m:val="b"/>
                            </m:rPr>
                            <w:rPr>
                              <w:rFonts w:ascii="Cambria Math" w:hAnsi="Cambria Math"/>
                            </w:rPr>
                            <m:t>n</m:t>
                          </m:r>
                        </m:sup>
                        <m:e>
                          <m:sSup>
                            <m:sSupPr>
                              <m:ctrlPr>
                                <w:rPr>
                                  <w:rFonts w:ascii="Cambria Math" w:hAnsi="Cambria Math"/>
                                  <w:iCs/>
                                </w:rPr>
                              </m:ctrlPr>
                            </m:sSupPr>
                            <m:e>
                              <m:r>
                                <m:rPr>
                                  <m:sty m:val="b"/>
                                </m:rPr>
                                <w:rPr>
                                  <w:rFonts w:ascii="Cambria Math" w:hAnsi="Cambria Math"/>
                                </w:rPr>
                                <m:t>(</m:t>
                              </m:r>
                              <m:sSub>
                                <m:sSubPr>
                                  <m:ctrlPr>
                                    <w:rPr>
                                      <w:rFonts w:ascii="Cambria Math" w:hAnsi="Cambria Math"/>
                                      <w:iCs/>
                                    </w:rPr>
                                  </m:ctrlPr>
                                </m:sSubPr>
                                <m:e>
                                  <m:r>
                                    <m:rPr>
                                      <m:sty m:val="b"/>
                                    </m:rPr>
                                    <w:rPr>
                                      <w:rFonts w:ascii="Cambria Math" w:hAnsi="Cambria Math"/>
                                    </w:rPr>
                                    <m:t>f</m:t>
                                  </m:r>
                                </m:e>
                                <m:sub>
                                  <m:r>
                                    <m:rPr>
                                      <m:sty m:val="bi"/>
                                    </m:rPr>
                                    <w:rPr>
                                      <w:rFonts w:ascii="Cambria Math" w:hAnsi="Cambria Math"/>
                                    </w:rPr>
                                    <m:t>j</m:t>
                                  </m:r>
                                </m:sub>
                              </m:sSub>
                              <m:r>
                                <m:rPr>
                                  <m:sty m:val="b"/>
                                </m:rPr>
                                <w:rPr>
                                  <w:rFonts w:ascii="Cambria Math" w:hAnsi="Cambria Math"/>
                                </w:rPr>
                                <m:t>-</m:t>
                              </m:r>
                              <m:sSub>
                                <m:sSubPr>
                                  <m:ctrlPr>
                                    <w:rPr>
                                      <w:rFonts w:ascii="Cambria Math" w:hAnsi="Cambria Math"/>
                                      <w:iCs/>
                                    </w:rPr>
                                  </m:ctrlPr>
                                </m:sSubPr>
                                <m:e>
                                  <m:r>
                                    <m:rPr>
                                      <m:sty m:val="b"/>
                                    </m:rPr>
                                    <w:rPr>
                                      <w:rFonts w:ascii="Cambria Math" w:hAnsi="Cambria Math"/>
                                    </w:rPr>
                                    <m:t>O</m:t>
                                  </m:r>
                                </m:e>
                                <m:sub>
                                  <m:r>
                                    <m:rPr>
                                      <m:sty m:val="bi"/>
                                    </m:rPr>
                                    <w:rPr>
                                      <w:rFonts w:ascii="Cambria Math" w:hAnsi="Cambria Math"/>
                                    </w:rPr>
                                    <m:t>j</m:t>
                                  </m:r>
                                </m:sub>
                              </m:sSub>
                              <m:r>
                                <m:rPr>
                                  <m:sty m:val="b"/>
                                </m:rPr>
                                <w:rPr>
                                  <w:rFonts w:ascii="Cambria Math" w:hAnsi="Cambria Math"/>
                                </w:rPr>
                                <m:t>)</m:t>
                              </m:r>
                            </m:e>
                            <m:sup>
                              <m:r>
                                <m:rPr>
                                  <m:sty m:val="b"/>
                                </m:rPr>
                                <w:rPr>
                                  <w:rFonts w:ascii="Cambria Math" w:hAnsi="Cambria Math"/>
                                </w:rPr>
                                <m:t>2</m:t>
                              </m:r>
                            </m:sup>
                          </m:sSup>
                        </m:e>
                      </m:nary>
                    </m:num>
                    <m:den>
                      <m:r>
                        <m:rPr>
                          <m:sty m:val="b"/>
                        </m:rPr>
                        <w:rPr>
                          <w:rFonts w:ascii="Cambria Math" w:hAnsi="Cambria Math"/>
                        </w:rPr>
                        <m:t>n</m:t>
                      </m:r>
                    </m:den>
                  </m:f>
                </m:e>
              </m:rad>
            </m:oMath>
            <w:r w:rsidRPr="002C7DEC">
              <w:t xml:space="preserve">          </w:t>
            </w:r>
            <w:r w:rsidR="00A64BB5">
              <w:t xml:space="preserve">                         </w:t>
            </w:r>
            <w:r w:rsidRPr="002C7DEC">
              <w:t xml:space="preserve">                      (13)</w:t>
            </w:r>
          </w:p>
        </w:tc>
      </w:tr>
    </w:tbl>
    <w:p w14:paraId="3C795E38" w14:textId="1767B1B2" w:rsidR="00722877" w:rsidRPr="002C7DEC" w:rsidRDefault="00722877" w:rsidP="00D85BF9">
      <w:r w:rsidRPr="002C7DEC">
        <w:t xml:space="preserve">Mean bias represents a gross measure of reliability, while RMSE represents a measure of the spread of differences between </w:t>
      </w:r>
      <w:r w:rsidR="00F71D12">
        <w:rPr>
          <w:rFonts w:eastAsia="SimSun" w:hint="eastAsia"/>
          <w:lang w:eastAsia="zh-CN"/>
        </w:rPr>
        <w:t xml:space="preserve">the </w:t>
      </w:r>
      <w:r w:rsidRPr="002C7DEC">
        <w:t xml:space="preserve">forecast and observed values with the same units of measurement. </w:t>
      </w:r>
    </w:p>
    <w:p w14:paraId="172062C3" w14:textId="18ABECCD" w:rsidR="00722877" w:rsidRPr="00052F10" w:rsidRDefault="00722877" w:rsidP="008C7C75">
      <w:pPr>
        <w:pStyle w:val="Heading1"/>
        <w:numPr>
          <w:ilvl w:val="0"/>
          <w:numId w:val="27"/>
        </w:numPr>
      </w:pPr>
      <w:bookmarkStart w:id="59" w:name="_Hlk100096263"/>
      <w:r w:rsidRPr="00052F10">
        <w:t>Comparison</w:t>
      </w:r>
      <w:r w:rsidR="00F71D12" w:rsidRPr="00052F10">
        <w:rPr>
          <w:rFonts w:hint="eastAsia"/>
        </w:rPr>
        <w:t>s</w:t>
      </w:r>
      <w:r w:rsidRPr="00052F10">
        <w:t xml:space="preserve"> </w:t>
      </w:r>
      <w:r w:rsidR="00016D58" w:rsidRPr="00052F10">
        <w:t>B</w:t>
      </w:r>
      <w:r w:rsidRPr="00052F10">
        <w:t>etween Simulation</w:t>
      </w:r>
      <w:r w:rsidR="00F71D12" w:rsidRPr="00052F10">
        <w:rPr>
          <w:rFonts w:hint="eastAsia"/>
        </w:rPr>
        <w:t>s</w:t>
      </w:r>
      <w:r w:rsidRPr="00052F10">
        <w:t xml:space="preserve"> and Observation</w:t>
      </w:r>
      <w:r w:rsidR="00F71D12" w:rsidRPr="00052F10">
        <w:rPr>
          <w:rFonts w:hint="eastAsia"/>
        </w:rPr>
        <w:t>s</w:t>
      </w:r>
    </w:p>
    <w:p w14:paraId="50799334" w14:textId="530BC647" w:rsidR="00722877" w:rsidRPr="00016D58" w:rsidRDefault="00722877" w:rsidP="008E31C7">
      <w:pPr>
        <w:pStyle w:val="Heading2"/>
        <w:numPr>
          <w:ilvl w:val="1"/>
          <w:numId w:val="27"/>
        </w:numPr>
        <w:ind w:left="450"/>
      </w:pPr>
      <w:bookmarkStart w:id="60" w:name="_Hlk59711146"/>
      <w:bookmarkEnd w:id="59"/>
      <w:r w:rsidRPr="00016D58">
        <w:t xml:space="preserve">Model Evaluation Results </w:t>
      </w:r>
      <w:bookmarkEnd w:id="60"/>
    </w:p>
    <w:p w14:paraId="7610071D" w14:textId="06913DE5" w:rsidR="00B87F1F" w:rsidRDefault="00722877" w:rsidP="00052F10">
      <w:pPr>
        <w:ind w:firstLine="540"/>
      </w:pPr>
      <w:r w:rsidRPr="002C7DEC">
        <w:t xml:space="preserve">The evaluation scores are shown in Table </w:t>
      </w:r>
      <w:r w:rsidR="002A4C4D">
        <w:t>5</w:t>
      </w:r>
      <w:r w:rsidRPr="002C7DEC">
        <w:t>, and Figures 2</w:t>
      </w:r>
      <w:proofErr w:type="gramStart"/>
      <w:r w:rsidRPr="002C7DEC">
        <w:t>a,d</w:t>
      </w:r>
      <w:proofErr w:type="gramEnd"/>
      <w:r w:rsidRPr="002C7DEC">
        <w:t xml:space="preserve"> illustrate</w:t>
      </w:r>
      <w:r w:rsidR="00F677EB">
        <w:t>s</w:t>
      </w:r>
      <w:r w:rsidRPr="002C7DEC">
        <w:t xml:space="preserve"> the time series used for model evaluation. We considered the period after 24 hours of spin-up time for evaluation, that is from day 2 to 3. Table </w:t>
      </w:r>
      <w:r w:rsidR="004302F1">
        <w:t>5</w:t>
      </w:r>
      <w:r w:rsidRPr="002C7DEC">
        <w:t xml:space="preserve"> shows that WRF-LES had a general tendency to overestimate the observation field except for the temperature, where the model underestimated the observation in all scenarios.</w:t>
      </w:r>
    </w:p>
    <w:p w14:paraId="63110CDA" w14:textId="64165F59" w:rsidR="00722877" w:rsidRDefault="00B87F1F" w:rsidP="00052F10">
      <w:pPr>
        <w:ind w:firstLine="540"/>
      </w:pPr>
      <w:r w:rsidRPr="002C7DEC">
        <w:t xml:space="preserve">Table </w:t>
      </w:r>
      <w:r>
        <w:t>5</w:t>
      </w:r>
      <w:r w:rsidRPr="002C7DEC">
        <w:t xml:space="preserve"> shows that scenario A has a more accurate result in temperature than </w:t>
      </w:r>
      <w:r>
        <w:rPr>
          <w:rFonts w:eastAsia="SimSun" w:hint="eastAsia"/>
          <w:lang w:eastAsia="zh-CN"/>
        </w:rPr>
        <w:t xml:space="preserve">those in </w:t>
      </w:r>
      <w:r w:rsidRPr="002C7DEC">
        <w:t>other simulations. The lowest score value is 1.8 K for RMSE. The largest values found in scenario A are LH scores of 61.64 w/m</w:t>
      </w:r>
      <w:r w:rsidRPr="002C7DEC">
        <w:rPr>
          <w:vertAlign w:val="superscript"/>
        </w:rPr>
        <w:t>3</w:t>
      </w:r>
      <w:r w:rsidRPr="002C7DEC">
        <w:t xml:space="preserve"> for MB and 72.21 w/m</w:t>
      </w:r>
      <w:r w:rsidRPr="002C7DEC">
        <w:rPr>
          <w:vertAlign w:val="superscript"/>
        </w:rPr>
        <w:t>3</w:t>
      </w:r>
      <w:r w:rsidRPr="002C7DEC">
        <w:t xml:space="preserve"> for RMSE. Large LH indicates large precipitation.</w:t>
      </w:r>
      <w:r>
        <w:t xml:space="preserve"> </w:t>
      </w:r>
      <w:r w:rsidRPr="002C7DEC">
        <w:t xml:space="preserve">As shown in Table </w:t>
      </w:r>
      <w:r>
        <w:t>5</w:t>
      </w:r>
      <w:r w:rsidRPr="002C7DEC">
        <w:t xml:space="preserve">, scenario B overestimated the observation except for the temperature. However, it tended to record the best lowest score values </w:t>
      </w:r>
      <w:r w:rsidR="00F677EB">
        <w:t>for</w:t>
      </w:r>
      <w:r w:rsidR="00F677EB" w:rsidRPr="002C7DEC">
        <w:t xml:space="preserve"> </w:t>
      </w:r>
      <w:r w:rsidRPr="002C7DEC">
        <w:t>wind speed (0.16 m/s for MB and 1.05 m/s for RMSE) and LH (69.57 w/m</w:t>
      </w:r>
      <w:r w:rsidRPr="002C7DEC">
        <w:rPr>
          <w:vertAlign w:val="superscript"/>
        </w:rPr>
        <w:t>2</w:t>
      </w:r>
      <w:r w:rsidRPr="002C7DEC">
        <w:t xml:space="preserve"> for RMSE). The release of LH plays a role in heating the air, which rises. The air cools while the water </w:t>
      </w:r>
      <w:r w:rsidR="00F677EB">
        <w:t>vapor</w:t>
      </w:r>
      <w:r w:rsidRPr="002C7DEC">
        <w:t xml:space="preserve"> condenses, gradually forming clouds. Therefore, scenario B should provide the best distribution of cloud patterns compared to observation</w:t>
      </w:r>
      <w:r>
        <w:t>.</w:t>
      </w:r>
      <w:r w:rsidR="00722877" w:rsidRPr="002C7DEC">
        <w:t xml:space="preserve"> </w:t>
      </w:r>
    </w:p>
    <w:p w14:paraId="06A61BE5" w14:textId="42C794E3" w:rsidR="00B87F1F" w:rsidRDefault="00B87F1F" w:rsidP="00052F10">
      <w:pPr>
        <w:ind w:firstLine="540"/>
      </w:pPr>
      <w:r>
        <w:rPr>
          <w:rFonts w:eastAsia="SimSun" w:hint="eastAsia"/>
          <w:lang w:eastAsia="zh-CN"/>
        </w:rPr>
        <w:lastRenderedPageBreak/>
        <w:t>The s</w:t>
      </w:r>
      <w:r w:rsidRPr="002C7DEC">
        <w:t xml:space="preserve">cenario C, as shown in Table </w:t>
      </w:r>
      <w:r>
        <w:t>5</w:t>
      </w:r>
      <w:r w:rsidRPr="002C7DEC">
        <w:t xml:space="preserve"> overp</w:t>
      </w:r>
      <w:r>
        <w:t>redicted</w:t>
      </w:r>
      <w:r w:rsidRPr="002C7DEC">
        <w:t xml:space="preserve"> the observation, with a tendency to record the largest score values, especially for WSD (4.89 m/s for MB, 5.94 m/s for RMSE) and LH (61.98 w/m</w:t>
      </w:r>
      <w:r w:rsidRPr="002C7DEC">
        <w:rPr>
          <w:vertAlign w:val="superscript"/>
        </w:rPr>
        <w:t>2</w:t>
      </w:r>
      <w:r w:rsidRPr="002C7DEC">
        <w:t xml:space="preserve"> for MB and 111.44 w/m</w:t>
      </w:r>
      <w:r w:rsidRPr="002C7DEC">
        <w:rPr>
          <w:vertAlign w:val="superscript"/>
        </w:rPr>
        <w:t>2</w:t>
      </w:r>
      <w:r w:rsidRPr="002C7DEC">
        <w:t xml:space="preserve"> for RMSE). As mentioned earlier, WRF-LES overestimated observation in LH and predicted excessive precipitation. From the visual inspection, unexpected high wind speed values in scenario C (Figure 2a) contributed to high LH. Thus, </w:t>
      </w:r>
      <w:r>
        <w:t xml:space="preserve">the </w:t>
      </w:r>
      <w:r w:rsidRPr="002C7DEC">
        <w:t>overprediction of wind speed in</w:t>
      </w:r>
      <w:r>
        <w:rPr>
          <w:rFonts w:eastAsia="SimSun" w:hint="eastAsia"/>
          <w:lang w:eastAsia="zh-CN"/>
        </w:rPr>
        <w:t xml:space="preserve"> </w:t>
      </w:r>
      <w:r w:rsidRPr="002C7DEC">
        <w:t>scenario C may be related to lateral boundary noise in the WRF-LES model runs, specifically when using a one-way nest</w:t>
      </w:r>
      <w:r w:rsidR="006277A0">
        <w:t>ing</w:t>
      </w:r>
      <w:r w:rsidRPr="002C7DEC">
        <w:t xml:space="preserve"> strategy in separate </w:t>
      </w:r>
      <w:r>
        <w:t>iteration</w:t>
      </w:r>
      <w:r w:rsidRPr="002C7DEC">
        <w:t xml:space="preserve"> steps.</w:t>
      </w:r>
      <w:r w:rsidRPr="001A74EF">
        <w:t xml:space="preserve"> </w:t>
      </w:r>
      <w:r>
        <w:t>In fact</w:t>
      </w:r>
      <w:r w:rsidRPr="00425C3B">
        <w:t>, the one-way nest</w:t>
      </w:r>
      <w:r w:rsidR="006277A0">
        <w:t>ing</w:t>
      </w:r>
      <w:r w:rsidRPr="00425C3B">
        <w:t xml:space="preserve"> strategy in separate </w:t>
      </w:r>
      <w:r>
        <w:t>iterations</w:t>
      </w:r>
      <w:r w:rsidRPr="00425C3B">
        <w:t xml:space="preserve"> for </w:t>
      </w:r>
      <w:r w:rsidRPr="00425C3B">
        <w:rPr>
          <w:rFonts w:hint="eastAsia"/>
        </w:rPr>
        <w:t xml:space="preserve">the </w:t>
      </w:r>
      <w:r w:rsidRPr="00425C3B">
        <w:t>wind speed simulation over unresolved topography may increase errors in simulation results</w:t>
      </w:r>
      <w:r w:rsidR="004921BF">
        <w:t>.</w:t>
      </w:r>
    </w:p>
    <w:p w14:paraId="471B2E9E" w14:textId="4127A0EF" w:rsidR="004921BF" w:rsidRPr="002C7DEC" w:rsidRDefault="004921BF" w:rsidP="004921BF">
      <w:pPr>
        <w:ind w:firstLine="540"/>
      </w:pPr>
      <w:r w:rsidRPr="002C7DEC">
        <w:t xml:space="preserve">As shown in Table </w:t>
      </w:r>
      <w:r>
        <w:t>5</w:t>
      </w:r>
      <w:r w:rsidRPr="002C7DEC">
        <w:t>, scenario D provided a more accurate result in HFX compared to other scenarios, with the lowest score value of 40 w/m</w:t>
      </w:r>
      <w:r w:rsidRPr="002C7DEC">
        <w:rPr>
          <w:vertAlign w:val="superscript"/>
        </w:rPr>
        <w:t>3</w:t>
      </w:r>
      <w:r w:rsidRPr="002C7DEC">
        <w:t>. Also, scenario D had reliable results in temperature and LH, with the lowest score values of –0.16 K and 44.98 w/m</w:t>
      </w:r>
      <w:r w:rsidRPr="002C7DEC">
        <w:rPr>
          <w:vertAlign w:val="superscript"/>
        </w:rPr>
        <w:t>3</w:t>
      </w:r>
      <w:r w:rsidRPr="002C7DEC">
        <w:t>, respectively. Referring to a study by</w:t>
      </w:r>
      <w:r>
        <w:t xml:space="preserve"> </w:t>
      </w:r>
      <w:r w:rsidRPr="002C7DEC">
        <w:fldChar w:fldCharType="begin"/>
      </w:r>
      <w:r w:rsidR="00EC3304">
        <w:instrText xml:space="preserve"> ADDIN ZOTERO_ITEM CSL_CITATION {"citationID":"a17ec55trj4","properties":{"formattedCitation":"(Zhao et al., 2018)","plainCitation":"(Zhao et al., 2018)","dontUpdate":true,"noteIndex":0},"citationItems":[{"id":298,"uris":["http://zotero.org/users/7904379/items/558PUX3B"],"itemData":{"id":298,"type":"article-journal","abstract":"&lt;section class=\"abstract\"&gt;&lt;h2 class=\"abstractTitle text-title my-1\" id=\"d4001e2\"&gt;Abstract&lt;/h2&gt;&lt;p&gt;This paper presents the background, scientific objectives, experimental design, and preliminary achievements of the Third Tibetan Plateau (TP) Atmospheric Scientific Experiment (TIPEX-III) for 8–10 years. It began in 2013 and has expanded plateau-scale observation networks by adding observation stations in data-scarce areas; executed integrated observation missions for the land surface, planetary boundary layer, cloud–precipitation, and troposphere–stratosphere exchange processes by coordinating ground-based, air-based, and satellite facilities; and achieved noticeable progress in data applications. A new estimation gives a smaller bulk transfer coefficient of surface sensible heat over the TP, which results in a reduction of the possibly overestimated heat intensity found in previous studies. Summer cloud–precipitation microphysical characteristics and cloud radiative effects over the TP are distinguished from those over the downstream plains. Warm rain processes play important roles in the development of cloud and precipitation over the TP. The lower-tropospheric ozone maximum over the northeastern TP is attributed to the regional photochemistry and long-range ozone transports, and the heterogeneous chemical processes of depleting ozone near the tropopause might not be a dominant mechanism for the summer upper-tropospheric–lower-stratospheric ozone valley over the southeastern TP. The TP thermodynamic function not only affects the local atmospheric water maintenance and the downstream precipitation and haze events but also modifies extratropical atmospheric teleconnections like the Asia–Pacific Oscillation, subtropical anticyclones over the North Pacific and Atlantic, and temperature and precipitation over Africa, Asia, and North America. These findings provide new insights into understanding land–atmosphere coupled processes over the TP and their effects, improving model parameterization schemes, and enhancing weather and climate forecast skills.&lt;/p&gt;&lt;/section&gt;","container-title":"Bulletin of the American Meteorological Society","DOI":"10.1175/BAMS-D-16-0050.1","ISSN":"0003-0007, 1520-0477","issue":"4","language":"EN","note":"publisher: American Meteorological Society\nsection: Bulletin of the American Meteorological Society","page":"757-776","source":"journals.ametsoc.org","title":"The Third Atmospheric Scientific Experiment for Understanding the Earth–Atmosphere Coupled System over the Tibetan Plateau and Its Effects","URL":"https://journals.ametsoc.org/view/journals/bams/99/4/bams-d-16-0050.1.xml","volume":"99","author":[{"family":"Zhao","given":"Ping"},{"family":"Xu","given":"Xiangde"},{"family":"Chen","given":"Fei"},{"family":"Guo","given":"Xueliang"},{"family":"Zheng","given":"Xiangdong"},{"family":"Liu","given":"Liping"},{"family":"Hong","given":"Yang"},{"family":"Li","given":"Yueqing"},{"family":"La","given":"Zuo"},{"family":"Peng","given":"Hao"},{"family":"Zhong","given":"Linzhi"},{"family":"Ma","given":"Yaoming"},{"family":"Tang","given":"Shihao"},{"family":"Liu","given":"Yimin"},{"family":"Liu","given":"Huizhi"},{"family":"Li","given":"Yaohui"},{"family":"Zhang","given":"Qiang"},{"family":"Hu","given":"Zeyong"},{"family":"Sun","given":"Jihua"},{"family":"Zhang","given":"Shengjun"},{"family":"Dong","given":"Lixin"},{"family":"Zhang","given":"Hezhen"},{"family":"Zhao","given":"Yang"},{"family":"Yan","given":"Xiaolu"},{"family":"Xiao","given":"An"},{"family":"Wan","given":"Wei"},{"family":"Liu","given":"Yu"},{"family":"Chen","given":"Junming"},{"family":"Liu","given":"Ge"},{"family":"Zhaxi","given":"Yangzong"},{"family":"Zhou","given":"Xiuji"}],"accessed":{"date-parts":[["2021",4,16]]},"issued":{"date-parts":[["2018",4,1]]}}}],"schema":"https://github.com/citation-style-language/schema/raw/master/csl-citation.json"} </w:instrText>
      </w:r>
      <w:r w:rsidRPr="002C7DEC">
        <w:fldChar w:fldCharType="separate"/>
      </w:r>
      <w:r w:rsidR="00A44B66" w:rsidRPr="00A44B66">
        <w:t xml:space="preserve">Zhao et al., </w:t>
      </w:r>
      <w:r w:rsidR="004C506E">
        <w:t>(</w:t>
      </w:r>
      <w:r w:rsidR="00A44B66" w:rsidRPr="00A44B66">
        <w:t>2018)</w:t>
      </w:r>
      <w:r w:rsidRPr="002C7DEC">
        <w:fldChar w:fldCharType="end"/>
      </w:r>
      <w:r w:rsidRPr="002C7DEC">
        <w:t>, WRF-LES runs in scenario D can predict the best ABL because it has better results in HFX.</w:t>
      </w:r>
    </w:p>
    <w:p w14:paraId="471E39B2" w14:textId="0137CA6C" w:rsidR="006349E0" w:rsidRPr="004302F1" w:rsidRDefault="004302F1" w:rsidP="004302F1">
      <w:pPr>
        <w:pStyle w:val="Caption"/>
        <w:rPr>
          <w:i w:val="0"/>
          <w:iCs w:val="0"/>
          <w:color w:val="auto"/>
          <w:sz w:val="20"/>
          <w:szCs w:val="20"/>
        </w:rPr>
      </w:pPr>
      <w:r w:rsidRPr="004302F1">
        <w:rPr>
          <w:i w:val="0"/>
          <w:iCs w:val="0"/>
          <w:color w:val="auto"/>
          <w:sz w:val="20"/>
          <w:szCs w:val="20"/>
        </w:rPr>
        <w:t xml:space="preserve">Table </w:t>
      </w:r>
      <w:r w:rsidRPr="004302F1">
        <w:rPr>
          <w:i w:val="0"/>
          <w:iCs w:val="0"/>
          <w:color w:val="auto"/>
          <w:sz w:val="20"/>
          <w:szCs w:val="20"/>
        </w:rPr>
        <w:fldChar w:fldCharType="begin"/>
      </w:r>
      <w:r w:rsidRPr="004302F1">
        <w:rPr>
          <w:i w:val="0"/>
          <w:iCs w:val="0"/>
          <w:color w:val="auto"/>
          <w:sz w:val="20"/>
          <w:szCs w:val="20"/>
        </w:rPr>
        <w:instrText xml:space="preserve"> SEQ Table \* ARABIC </w:instrText>
      </w:r>
      <w:r w:rsidRPr="004302F1">
        <w:rPr>
          <w:i w:val="0"/>
          <w:iCs w:val="0"/>
          <w:color w:val="auto"/>
          <w:sz w:val="20"/>
          <w:szCs w:val="20"/>
        </w:rPr>
        <w:fldChar w:fldCharType="separate"/>
      </w:r>
      <w:r w:rsidRPr="004302F1">
        <w:rPr>
          <w:i w:val="0"/>
          <w:iCs w:val="0"/>
          <w:noProof/>
          <w:color w:val="auto"/>
          <w:sz w:val="20"/>
          <w:szCs w:val="20"/>
        </w:rPr>
        <w:t>5</w:t>
      </w:r>
      <w:r w:rsidRPr="004302F1">
        <w:rPr>
          <w:i w:val="0"/>
          <w:iCs w:val="0"/>
          <w:color w:val="auto"/>
          <w:sz w:val="20"/>
          <w:szCs w:val="20"/>
        </w:rPr>
        <w:fldChar w:fldCharType="end"/>
      </w:r>
      <w:r w:rsidRPr="004302F1">
        <w:rPr>
          <w:i w:val="0"/>
          <w:iCs w:val="0"/>
          <w:color w:val="auto"/>
          <w:sz w:val="20"/>
          <w:szCs w:val="20"/>
        </w:rPr>
        <w:t xml:space="preserve">: </w:t>
      </w:r>
      <w:r w:rsidR="00F71D12">
        <w:rPr>
          <w:rFonts w:eastAsia="SimSun" w:hint="eastAsia"/>
          <w:i w:val="0"/>
          <w:iCs w:val="0"/>
          <w:color w:val="auto"/>
          <w:sz w:val="20"/>
          <w:szCs w:val="20"/>
          <w:lang w:eastAsia="zh-CN"/>
        </w:rPr>
        <w:t>The m</w:t>
      </w:r>
      <w:r w:rsidR="006349E0" w:rsidRPr="004302F1">
        <w:rPr>
          <w:i w:val="0"/>
          <w:iCs w:val="0"/>
          <w:color w:val="auto"/>
          <w:sz w:val="20"/>
          <w:szCs w:val="20"/>
        </w:rPr>
        <w:t xml:space="preserve">ean bias (MB) and </w:t>
      </w:r>
      <w:r w:rsidR="00F71D12">
        <w:rPr>
          <w:rFonts w:eastAsia="SimSun" w:hint="eastAsia"/>
          <w:i w:val="0"/>
          <w:iCs w:val="0"/>
          <w:color w:val="auto"/>
          <w:sz w:val="20"/>
          <w:szCs w:val="20"/>
          <w:lang w:eastAsia="zh-CN"/>
        </w:rPr>
        <w:t xml:space="preserve">the </w:t>
      </w:r>
      <w:r w:rsidR="006349E0" w:rsidRPr="004302F1">
        <w:rPr>
          <w:i w:val="0"/>
          <w:iCs w:val="0"/>
          <w:color w:val="auto"/>
          <w:sz w:val="20"/>
          <w:szCs w:val="20"/>
        </w:rPr>
        <w:t>root mean square error (RMSE) for two-meter temperature (T</w:t>
      </w:r>
      <w:r w:rsidR="00355658">
        <w:rPr>
          <w:i w:val="0"/>
          <w:iCs w:val="0"/>
          <w:color w:val="auto"/>
          <w:sz w:val="20"/>
          <w:szCs w:val="20"/>
        </w:rPr>
        <w:t>2</w:t>
      </w:r>
      <w:r w:rsidR="006349E0" w:rsidRPr="004302F1">
        <w:rPr>
          <w:i w:val="0"/>
          <w:iCs w:val="0"/>
          <w:color w:val="auto"/>
          <w:sz w:val="20"/>
          <w:szCs w:val="20"/>
        </w:rPr>
        <w:t xml:space="preserve">), 10 m wind speed (WSD), </w:t>
      </w:r>
      <w:r w:rsidR="00F71D12">
        <w:rPr>
          <w:rFonts w:eastAsia="SimSun" w:hint="eastAsia"/>
          <w:i w:val="0"/>
          <w:iCs w:val="0"/>
          <w:color w:val="auto"/>
          <w:sz w:val="20"/>
          <w:szCs w:val="20"/>
          <w:lang w:eastAsia="zh-CN"/>
        </w:rPr>
        <w:t xml:space="preserve">the </w:t>
      </w:r>
      <w:r w:rsidR="006349E0" w:rsidRPr="004302F1">
        <w:rPr>
          <w:i w:val="0"/>
          <w:iCs w:val="0"/>
          <w:color w:val="auto"/>
          <w:sz w:val="20"/>
          <w:szCs w:val="20"/>
        </w:rPr>
        <w:t xml:space="preserve">sensible heat flux (HFX), and </w:t>
      </w:r>
      <w:r w:rsidR="00F71D12">
        <w:rPr>
          <w:rFonts w:eastAsia="SimSun" w:hint="eastAsia"/>
          <w:i w:val="0"/>
          <w:iCs w:val="0"/>
          <w:color w:val="auto"/>
          <w:sz w:val="20"/>
          <w:szCs w:val="20"/>
          <w:lang w:eastAsia="zh-CN"/>
        </w:rPr>
        <w:t xml:space="preserve">the </w:t>
      </w:r>
      <w:r w:rsidR="006349E0" w:rsidRPr="004302F1">
        <w:rPr>
          <w:i w:val="0"/>
          <w:iCs w:val="0"/>
          <w:color w:val="auto"/>
          <w:sz w:val="20"/>
          <w:szCs w:val="20"/>
        </w:rPr>
        <w:t xml:space="preserve">latent heat flux (LH); four scenarios are denoted as cases A, B, C, and D. </w:t>
      </w:r>
      <m:oMath>
        <m:sSub>
          <m:sSubPr>
            <m:ctrlPr>
              <w:rPr>
                <w:rFonts w:ascii="Cambria Math" w:hAnsi="Cambria Math"/>
                <w:i w:val="0"/>
                <w:iCs w:val="0"/>
                <w:color w:val="auto"/>
                <w:sz w:val="20"/>
                <w:szCs w:val="20"/>
              </w:rPr>
            </m:ctrlPr>
          </m:sSubPr>
          <m:e>
            <m:r>
              <w:rPr>
                <w:rFonts w:ascii="Cambria Math" w:hAnsi="Cambria Math"/>
                <w:color w:val="auto"/>
                <w:sz w:val="20"/>
                <w:szCs w:val="20"/>
              </w:rPr>
              <m:t>D0</m:t>
            </m:r>
          </m:e>
          <m:sub>
            <m:r>
              <w:rPr>
                <w:rFonts w:ascii="Cambria Math" w:hAnsi="Cambria Math"/>
                <w:color w:val="auto"/>
                <w:sz w:val="20"/>
                <w:szCs w:val="20"/>
              </w:rPr>
              <m:t>i=3</m:t>
            </m:r>
          </m:sub>
        </m:sSub>
      </m:oMath>
      <w:r w:rsidR="006349E0" w:rsidRPr="004302F1">
        <w:rPr>
          <w:i w:val="0"/>
          <w:iCs w:val="0"/>
          <w:color w:val="auto"/>
          <w:sz w:val="20"/>
          <w:szCs w:val="20"/>
        </w:rPr>
        <w:t xml:space="preserve"> is the third domain and </w:t>
      </w:r>
      <m:oMath>
        <m:sSub>
          <m:sSubPr>
            <m:ctrlPr>
              <w:rPr>
                <w:rFonts w:ascii="Cambria Math" w:hAnsi="Cambria Math"/>
                <w:i w:val="0"/>
                <w:iCs w:val="0"/>
                <w:color w:val="auto"/>
                <w:sz w:val="20"/>
                <w:szCs w:val="20"/>
              </w:rPr>
            </m:ctrlPr>
          </m:sSubPr>
          <m:e>
            <m:r>
              <w:rPr>
                <w:rFonts w:ascii="Cambria Math" w:hAnsi="Cambria Math"/>
                <w:color w:val="auto"/>
                <w:sz w:val="20"/>
                <w:szCs w:val="20"/>
              </w:rPr>
              <m:t>D0</m:t>
            </m:r>
          </m:e>
          <m:sub>
            <m:r>
              <w:rPr>
                <w:rFonts w:ascii="Cambria Math" w:hAnsi="Cambria Math"/>
                <w:color w:val="auto"/>
                <w:sz w:val="20"/>
                <w:szCs w:val="20"/>
              </w:rPr>
              <m:t>i=5</m:t>
            </m:r>
          </m:sub>
        </m:sSub>
      </m:oMath>
      <w:r w:rsidR="006349E0" w:rsidRPr="004302F1">
        <w:rPr>
          <w:i w:val="0"/>
          <w:iCs w:val="0"/>
          <w:color w:val="auto"/>
          <w:sz w:val="20"/>
          <w:szCs w:val="20"/>
        </w:rPr>
        <w:t xml:space="preserve"> is the fifth domain.</w:t>
      </w:r>
    </w:p>
    <w:tbl>
      <w:tblPr>
        <w:tblStyle w:val="TableGridLight1"/>
        <w:tblW w:w="9268" w:type="dxa"/>
        <w:tblLook w:val="04A0" w:firstRow="1" w:lastRow="0" w:firstColumn="1" w:lastColumn="0" w:noHBand="0" w:noVBand="1"/>
      </w:tblPr>
      <w:tblGrid>
        <w:gridCol w:w="818"/>
        <w:gridCol w:w="2251"/>
        <w:gridCol w:w="903"/>
        <w:gridCol w:w="1198"/>
        <w:gridCol w:w="847"/>
        <w:gridCol w:w="915"/>
        <w:gridCol w:w="1125"/>
        <w:gridCol w:w="1211"/>
      </w:tblGrid>
      <w:tr w:rsidR="00DC7CA7" w:rsidRPr="00A30064" w14:paraId="2CEC4D81" w14:textId="77777777" w:rsidTr="00A30064">
        <w:trPr>
          <w:trHeight w:val="379"/>
        </w:trPr>
        <w:tc>
          <w:tcPr>
            <w:tcW w:w="818" w:type="dxa"/>
            <w:vAlign w:val="center"/>
            <w:hideMark/>
          </w:tcPr>
          <w:p w14:paraId="29E97BBD" w14:textId="77777777" w:rsidR="00DC7CA7" w:rsidRPr="00A30064" w:rsidRDefault="00DC7CA7" w:rsidP="00A30064">
            <w:pPr>
              <w:spacing w:after="0"/>
              <w:jc w:val="center"/>
              <w:rPr>
                <w:sz w:val="16"/>
                <w:szCs w:val="16"/>
              </w:rPr>
            </w:pPr>
            <w:bookmarkStart w:id="61" w:name="_Hlk65073382"/>
            <w:r w:rsidRPr="00A30064">
              <w:rPr>
                <w:sz w:val="16"/>
                <w:szCs w:val="16"/>
              </w:rPr>
              <w:t>Score</w:t>
            </w:r>
          </w:p>
        </w:tc>
        <w:tc>
          <w:tcPr>
            <w:tcW w:w="2251" w:type="dxa"/>
            <w:vAlign w:val="center"/>
            <w:hideMark/>
          </w:tcPr>
          <w:p w14:paraId="7D3CD8E0" w14:textId="77777777" w:rsidR="00DC7CA7" w:rsidRPr="00A30064" w:rsidRDefault="00DC7CA7" w:rsidP="00A30064">
            <w:pPr>
              <w:spacing w:after="0"/>
              <w:jc w:val="center"/>
              <w:rPr>
                <w:sz w:val="16"/>
                <w:szCs w:val="16"/>
              </w:rPr>
            </w:pPr>
            <w:r w:rsidRPr="00A30064">
              <w:rPr>
                <w:sz w:val="16"/>
                <w:szCs w:val="16"/>
              </w:rPr>
              <w:t>Boundary-Layer Variables</w:t>
            </w:r>
          </w:p>
        </w:tc>
        <w:tc>
          <w:tcPr>
            <w:tcW w:w="903" w:type="dxa"/>
            <w:vAlign w:val="center"/>
            <w:hideMark/>
          </w:tcPr>
          <w:p w14:paraId="2258F3B3" w14:textId="77777777" w:rsidR="00DC7CA7" w:rsidRPr="00A30064" w:rsidRDefault="00DC7CA7" w:rsidP="00A30064">
            <w:pPr>
              <w:spacing w:after="0"/>
              <w:jc w:val="center"/>
              <w:rPr>
                <w:sz w:val="16"/>
                <w:szCs w:val="16"/>
              </w:rPr>
            </w:pPr>
            <w:r w:rsidRPr="00A30064">
              <w:rPr>
                <w:sz w:val="16"/>
                <w:szCs w:val="16"/>
              </w:rPr>
              <w:t>Case A</w:t>
            </w:r>
          </w:p>
        </w:tc>
        <w:tc>
          <w:tcPr>
            <w:tcW w:w="1198" w:type="dxa"/>
            <w:vAlign w:val="center"/>
            <w:hideMark/>
          </w:tcPr>
          <w:p w14:paraId="4989EA46" w14:textId="77777777" w:rsidR="00DC7CA7" w:rsidRPr="00A30064" w:rsidRDefault="00DC7CA7" w:rsidP="00A30064">
            <w:pPr>
              <w:spacing w:after="0"/>
              <w:jc w:val="center"/>
              <w:rPr>
                <w:sz w:val="16"/>
                <w:szCs w:val="16"/>
              </w:rPr>
            </w:pPr>
            <w:r w:rsidRPr="00A30064">
              <w:rPr>
                <w:sz w:val="16"/>
                <w:szCs w:val="16"/>
              </w:rPr>
              <w:t>Case B</w:t>
            </w:r>
          </w:p>
        </w:tc>
        <w:tc>
          <w:tcPr>
            <w:tcW w:w="847" w:type="dxa"/>
            <w:vAlign w:val="center"/>
          </w:tcPr>
          <w:p w14:paraId="4AED6DE0" w14:textId="77777777" w:rsidR="00DC7CA7" w:rsidRPr="00A30064" w:rsidRDefault="00DC7CA7" w:rsidP="00A30064">
            <w:pPr>
              <w:spacing w:after="0"/>
              <w:jc w:val="center"/>
              <w:rPr>
                <w:sz w:val="16"/>
                <w:szCs w:val="16"/>
              </w:rPr>
            </w:pPr>
            <w:r w:rsidRPr="00A30064">
              <w:rPr>
                <w:sz w:val="16"/>
                <w:szCs w:val="16"/>
              </w:rPr>
              <w:t>Case B1</w:t>
            </w:r>
          </w:p>
        </w:tc>
        <w:tc>
          <w:tcPr>
            <w:tcW w:w="915" w:type="dxa"/>
            <w:vAlign w:val="center"/>
            <w:hideMark/>
          </w:tcPr>
          <w:p w14:paraId="119CFA2D" w14:textId="77777777" w:rsidR="00DC7CA7" w:rsidRPr="00A30064" w:rsidRDefault="00DC7CA7" w:rsidP="00A30064">
            <w:pPr>
              <w:spacing w:after="0"/>
              <w:jc w:val="center"/>
              <w:rPr>
                <w:sz w:val="16"/>
                <w:szCs w:val="16"/>
              </w:rPr>
            </w:pPr>
            <w:r w:rsidRPr="00A30064">
              <w:rPr>
                <w:sz w:val="16"/>
                <w:szCs w:val="16"/>
              </w:rPr>
              <w:t>Case C</w:t>
            </w:r>
          </w:p>
        </w:tc>
        <w:tc>
          <w:tcPr>
            <w:tcW w:w="1125" w:type="dxa"/>
            <w:vAlign w:val="center"/>
            <w:hideMark/>
          </w:tcPr>
          <w:p w14:paraId="4E3654FB" w14:textId="77777777" w:rsidR="00DC7CA7" w:rsidRPr="00A30064" w:rsidRDefault="00DC7CA7" w:rsidP="00A30064">
            <w:pPr>
              <w:spacing w:after="0"/>
              <w:jc w:val="center"/>
              <w:rPr>
                <w:sz w:val="16"/>
                <w:szCs w:val="16"/>
              </w:rPr>
            </w:pPr>
            <w:r w:rsidRPr="00A30064">
              <w:rPr>
                <w:sz w:val="16"/>
                <w:szCs w:val="16"/>
              </w:rPr>
              <w:t>Case D</w:t>
            </w:r>
          </w:p>
        </w:tc>
        <w:tc>
          <w:tcPr>
            <w:tcW w:w="1211" w:type="dxa"/>
            <w:vAlign w:val="center"/>
          </w:tcPr>
          <w:p w14:paraId="156709B6" w14:textId="77777777" w:rsidR="00DC7CA7" w:rsidRPr="00A30064" w:rsidRDefault="00DC7CA7" w:rsidP="00A30064">
            <w:pPr>
              <w:spacing w:after="0"/>
              <w:jc w:val="center"/>
              <w:rPr>
                <w:sz w:val="16"/>
                <w:szCs w:val="16"/>
              </w:rPr>
            </w:pPr>
            <w:r w:rsidRPr="00A30064">
              <w:rPr>
                <w:sz w:val="16"/>
                <w:szCs w:val="16"/>
              </w:rPr>
              <w:t>Case E</w:t>
            </w:r>
          </w:p>
        </w:tc>
      </w:tr>
      <w:tr w:rsidR="00DC7CA7" w:rsidRPr="00A30064" w14:paraId="09B9458B" w14:textId="77777777" w:rsidTr="00A30064">
        <w:trPr>
          <w:trHeight w:val="379"/>
        </w:trPr>
        <w:tc>
          <w:tcPr>
            <w:tcW w:w="818" w:type="dxa"/>
            <w:vMerge w:val="restart"/>
            <w:vAlign w:val="center"/>
            <w:hideMark/>
          </w:tcPr>
          <w:p w14:paraId="00662529" w14:textId="77777777" w:rsidR="00DC7CA7" w:rsidRPr="00A30064" w:rsidRDefault="00DC7CA7" w:rsidP="00A30064">
            <w:pPr>
              <w:spacing w:after="0"/>
              <w:jc w:val="center"/>
              <w:rPr>
                <w:sz w:val="16"/>
                <w:szCs w:val="16"/>
              </w:rPr>
            </w:pPr>
            <w:r w:rsidRPr="00A30064">
              <w:rPr>
                <w:sz w:val="16"/>
                <w:szCs w:val="16"/>
              </w:rPr>
              <w:t>MB</w:t>
            </w:r>
          </w:p>
        </w:tc>
        <w:tc>
          <w:tcPr>
            <w:tcW w:w="2251" w:type="dxa"/>
            <w:vAlign w:val="center"/>
            <w:hideMark/>
          </w:tcPr>
          <w:p w14:paraId="69AC3A75" w14:textId="77777777" w:rsidR="00DC7CA7" w:rsidRPr="00A30064" w:rsidRDefault="00DC7CA7" w:rsidP="00A30064">
            <w:pPr>
              <w:spacing w:after="0"/>
              <w:jc w:val="center"/>
              <w:rPr>
                <w:sz w:val="16"/>
                <w:szCs w:val="16"/>
              </w:rPr>
            </w:pPr>
            <w:r w:rsidRPr="00A30064">
              <w:rPr>
                <w:sz w:val="16"/>
                <w:szCs w:val="16"/>
              </w:rPr>
              <w:t>Temp (K)</w:t>
            </w:r>
          </w:p>
        </w:tc>
        <w:tc>
          <w:tcPr>
            <w:tcW w:w="903" w:type="dxa"/>
            <w:vAlign w:val="center"/>
            <w:hideMark/>
          </w:tcPr>
          <w:p w14:paraId="0F4B8CED" w14:textId="77777777" w:rsidR="00DC7CA7" w:rsidRPr="00A30064" w:rsidRDefault="00DC7CA7" w:rsidP="00A30064">
            <w:pPr>
              <w:spacing w:after="0"/>
              <w:jc w:val="center"/>
              <w:rPr>
                <w:sz w:val="16"/>
                <w:szCs w:val="16"/>
              </w:rPr>
            </w:pPr>
            <w:r w:rsidRPr="00A30064">
              <w:rPr>
                <w:sz w:val="16"/>
                <w:szCs w:val="16"/>
              </w:rPr>
              <w:t>-0.41</w:t>
            </w:r>
          </w:p>
        </w:tc>
        <w:tc>
          <w:tcPr>
            <w:tcW w:w="1198" w:type="dxa"/>
            <w:vAlign w:val="center"/>
            <w:hideMark/>
          </w:tcPr>
          <w:p w14:paraId="606A099B" w14:textId="77777777" w:rsidR="00DC7CA7" w:rsidRPr="00A30064" w:rsidRDefault="00DC7CA7" w:rsidP="00A30064">
            <w:pPr>
              <w:spacing w:after="0"/>
              <w:jc w:val="center"/>
              <w:rPr>
                <w:sz w:val="16"/>
                <w:szCs w:val="16"/>
              </w:rPr>
            </w:pPr>
            <w:r w:rsidRPr="00A30064">
              <w:rPr>
                <w:sz w:val="16"/>
                <w:szCs w:val="16"/>
              </w:rPr>
              <w:t>-0.42</w:t>
            </w:r>
          </w:p>
        </w:tc>
        <w:tc>
          <w:tcPr>
            <w:tcW w:w="847" w:type="dxa"/>
            <w:vAlign w:val="center"/>
          </w:tcPr>
          <w:p w14:paraId="5EFF7146" w14:textId="77777777" w:rsidR="00DC7CA7" w:rsidRPr="00A30064" w:rsidRDefault="00DC7CA7" w:rsidP="00A30064">
            <w:pPr>
              <w:spacing w:after="0"/>
              <w:jc w:val="center"/>
              <w:rPr>
                <w:sz w:val="16"/>
                <w:szCs w:val="16"/>
              </w:rPr>
            </w:pPr>
            <w:r w:rsidRPr="00A30064">
              <w:rPr>
                <w:sz w:val="16"/>
                <w:szCs w:val="16"/>
              </w:rPr>
              <w:t>-0.15</w:t>
            </w:r>
          </w:p>
        </w:tc>
        <w:tc>
          <w:tcPr>
            <w:tcW w:w="915" w:type="dxa"/>
            <w:vAlign w:val="center"/>
            <w:hideMark/>
          </w:tcPr>
          <w:p w14:paraId="08A96ED6" w14:textId="77777777" w:rsidR="00DC7CA7" w:rsidRPr="00A30064" w:rsidRDefault="00DC7CA7" w:rsidP="00A30064">
            <w:pPr>
              <w:spacing w:after="0"/>
              <w:jc w:val="center"/>
              <w:rPr>
                <w:sz w:val="16"/>
                <w:szCs w:val="16"/>
              </w:rPr>
            </w:pPr>
            <w:r w:rsidRPr="00A30064">
              <w:rPr>
                <w:sz w:val="16"/>
                <w:szCs w:val="16"/>
              </w:rPr>
              <w:t>-1.01</w:t>
            </w:r>
          </w:p>
        </w:tc>
        <w:tc>
          <w:tcPr>
            <w:tcW w:w="1125" w:type="dxa"/>
            <w:vAlign w:val="center"/>
            <w:hideMark/>
          </w:tcPr>
          <w:p w14:paraId="670DCA80" w14:textId="77777777" w:rsidR="00DC7CA7" w:rsidRPr="00A30064" w:rsidRDefault="00DC7CA7" w:rsidP="00A30064">
            <w:pPr>
              <w:spacing w:after="0"/>
              <w:jc w:val="center"/>
              <w:rPr>
                <w:sz w:val="16"/>
                <w:szCs w:val="16"/>
              </w:rPr>
            </w:pPr>
            <w:r w:rsidRPr="00A30064">
              <w:rPr>
                <w:sz w:val="16"/>
                <w:szCs w:val="16"/>
              </w:rPr>
              <w:t>-0.16</w:t>
            </w:r>
          </w:p>
        </w:tc>
        <w:tc>
          <w:tcPr>
            <w:tcW w:w="1211" w:type="dxa"/>
            <w:vAlign w:val="center"/>
          </w:tcPr>
          <w:p w14:paraId="171E8AA3" w14:textId="77777777" w:rsidR="00DC7CA7" w:rsidRPr="00A30064" w:rsidRDefault="00DC7CA7" w:rsidP="00A30064">
            <w:pPr>
              <w:spacing w:after="0"/>
              <w:jc w:val="center"/>
              <w:rPr>
                <w:sz w:val="16"/>
                <w:szCs w:val="16"/>
              </w:rPr>
            </w:pPr>
            <w:r w:rsidRPr="00A30064">
              <w:rPr>
                <w:sz w:val="16"/>
                <w:szCs w:val="16"/>
              </w:rPr>
              <w:t>2.02</w:t>
            </w:r>
          </w:p>
        </w:tc>
      </w:tr>
      <w:tr w:rsidR="00DC7CA7" w:rsidRPr="00A30064" w14:paraId="796EC10E" w14:textId="77777777" w:rsidTr="00A30064">
        <w:trPr>
          <w:trHeight w:val="379"/>
        </w:trPr>
        <w:tc>
          <w:tcPr>
            <w:tcW w:w="818" w:type="dxa"/>
            <w:vMerge/>
            <w:vAlign w:val="center"/>
            <w:hideMark/>
          </w:tcPr>
          <w:p w14:paraId="23AD8D0F" w14:textId="77777777" w:rsidR="00DC7CA7" w:rsidRPr="00A30064" w:rsidRDefault="00DC7CA7" w:rsidP="00A30064">
            <w:pPr>
              <w:spacing w:after="0"/>
              <w:jc w:val="center"/>
              <w:rPr>
                <w:sz w:val="16"/>
                <w:szCs w:val="16"/>
              </w:rPr>
            </w:pPr>
          </w:p>
        </w:tc>
        <w:tc>
          <w:tcPr>
            <w:tcW w:w="2251" w:type="dxa"/>
            <w:vAlign w:val="center"/>
            <w:hideMark/>
          </w:tcPr>
          <w:p w14:paraId="54094EB1" w14:textId="77777777" w:rsidR="00DC7CA7" w:rsidRPr="00A30064" w:rsidRDefault="00DC7CA7" w:rsidP="00A30064">
            <w:pPr>
              <w:spacing w:after="0"/>
              <w:jc w:val="center"/>
              <w:rPr>
                <w:sz w:val="16"/>
                <w:szCs w:val="16"/>
              </w:rPr>
            </w:pPr>
            <w:r w:rsidRPr="00A30064">
              <w:rPr>
                <w:sz w:val="16"/>
                <w:szCs w:val="16"/>
              </w:rPr>
              <w:t>WSD (m/s)</w:t>
            </w:r>
          </w:p>
        </w:tc>
        <w:tc>
          <w:tcPr>
            <w:tcW w:w="903" w:type="dxa"/>
            <w:vAlign w:val="center"/>
            <w:hideMark/>
          </w:tcPr>
          <w:p w14:paraId="041CB8C4" w14:textId="77777777" w:rsidR="00DC7CA7" w:rsidRPr="00A30064" w:rsidRDefault="00DC7CA7" w:rsidP="00A30064">
            <w:pPr>
              <w:spacing w:after="0"/>
              <w:jc w:val="center"/>
              <w:rPr>
                <w:sz w:val="16"/>
                <w:szCs w:val="16"/>
              </w:rPr>
            </w:pPr>
            <w:r w:rsidRPr="00A30064">
              <w:rPr>
                <w:sz w:val="16"/>
                <w:szCs w:val="16"/>
              </w:rPr>
              <w:t>0.83</w:t>
            </w:r>
          </w:p>
        </w:tc>
        <w:tc>
          <w:tcPr>
            <w:tcW w:w="1198" w:type="dxa"/>
            <w:vAlign w:val="center"/>
            <w:hideMark/>
          </w:tcPr>
          <w:p w14:paraId="5CE8F039" w14:textId="77777777" w:rsidR="00DC7CA7" w:rsidRPr="00A30064" w:rsidRDefault="00DC7CA7" w:rsidP="00A30064">
            <w:pPr>
              <w:spacing w:after="0"/>
              <w:jc w:val="center"/>
              <w:rPr>
                <w:sz w:val="16"/>
                <w:szCs w:val="16"/>
              </w:rPr>
            </w:pPr>
            <w:r w:rsidRPr="00A30064">
              <w:rPr>
                <w:sz w:val="16"/>
                <w:szCs w:val="16"/>
              </w:rPr>
              <w:t>0.07</w:t>
            </w:r>
          </w:p>
        </w:tc>
        <w:tc>
          <w:tcPr>
            <w:tcW w:w="847" w:type="dxa"/>
            <w:vAlign w:val="center"/>
          </w:tcPr>
          <w:p w14:paraId="6F549D4F" w14:textId="77777777" w:rsidR="00DC7CA7" w:rsidRPr="00A30064" w:rsidRDefault="00DC7CA7" w:rsidP="00A30064">
            <w:pPr>
              <w:spacing w:after="0"/>
              <w:jc w:val="center"/>
              <w:rPr>
                <w:sz w:val="16"/>
                <w:szCs w:val="16"/>
              </w:rPr>
            </w:pPr>
            <w:r w:rsidRPr="00A30064">
              <w:rPr>
                <w:sz w:val="16"/>
                <w:szCs w:val="16"/>
              </w:rPr>
              <w:t>1.32</w:t>
            </w:r>
          </w:p>
        </w:tc>
        <w:tc>
          <w:tcPr>
            <w:tcW w:w="915" w:type="dxa"/>
            <w:vAlign w:val="center"/>
            <w:hideMark/>
          </w:tcPr>
          <w:p w14:paraId="1C23E167" w14:textId="77777777" w:rsidR="00DC7CA7" w:rsidRPr="00A30064" w:rsidRDefault="00DC7CA7" w:rsidP="00A30064">
            <w:pPr>
              <w:spacing w:after="0"/>
              <w:jc w:val="center"/>
              <w:rPr>
                <w:sz w:val="16"/>
                <w:szCs w:val="16"/>
              </w:rPr>
            </w:pPr>
            <w:r w:rsidRPr="00A30064">
              <w:rPr>
                <w:sz w:val="16"/>
                <w:szCs w:val="16"/>
              </w:rPr>
              <w:t>4.75</w:t>
            </w:r>
          </w:p>
        </w:tc>
        <w:tc>
          <w:tcPr>
            <w:tcW w:w="1125" w:type="dxa"/>
            <w:vAlign w:val="center"/>
            <w:hideMark/>
          </w:tcPr>
          <w:p w14:paraId="278AF014" w14:textId="77777777" w:rsidR="00DC7CA7" w:rsidRPr="00A30064" w:rsidRDefault="00DC7CA7" w:rsidP="00A30064">
            <w:pPr>
              <w:spacing w:after="0"/>
              <w:jc w:val="center"/>
              <w:rPr>
                <w:sz w:val="16"/>
                <w:szCs w:val="16"/>
              </w:rPr>
            </w:pPr>
            <w:r w:rsidRPr="00A30064">
              <w:rPr>
                <w:sz w:val="16"/>
                <w:szCs w:val="16"/>
              </w:rPr>
              <w:t>4.56</w:t>
            </w:r>
          </w:p>
        </w:tc>
        <w:tc>
          <w:tcPr>
            <w:tcW w:w="1211" w:type="dxa"/>
            <w:vAlign w:val="center"/>
          </w:tcPr>
          <w:p w14:paraId="182909EE" w14:textId="77777777" w:rsidR="00DC7CA7" w:rsidRPr="00A30064" w:rsidRDefault="00DC7CA7" w:rsidP="00A30064">
            <w:pPr>
              <w:spacing w:after="0"/>
              <w:jc w:val="center"/>
              <w:rPr>
                <w:sz w:val="16"/>
                <w:szCs w:val="16"/>
              </w:rPr>
            </w:pPr>
            <w:r w:rsidRPr="00A30064">
              <w:rPr>
                <w:sz w:val="16"/>
                <w:szCs w:val="16"/>
              </w:rPr>
              <w:t>3.80</w:t>
            </w:r>
          </w:p>
        </w:tc>
      </w:tr>
      <w:tr w:rsidR="00DC7CA7" w:rsidRPr="00A30064" w14:paraId="1D597AFB" w14:textId="77777777" w:rsidTr="00A30064">
        <w:trPr>
          <w:trHeight w:val="379"/>
        </w:trPr>
        <w:tc>
          <w:tcPr>
            <w:tcW w:w="818" w:type="dxa"/>
            <w:vMerge/>
            <w:vAlign w:val="center"/>
            <w:hideMark/>
          </w:tcPr>
          <w:p w14:paraId="28F12EDF" w14:textId="77777777" w:rsidR="00DC7CA7" w:rsidRPr="00A30064" w:rsidRDefault="00DC7CA7" w:rsidP="00A30064">
            <w:pPr>
              <w:spacing w:after="0"/>
              <w:jc w:val="center"/>
              <w:rPr>
                <w:sz w:val="16"/>
                <w:szCs w:val="16"/>
              </w:rPr>
            </w:pPr>
          </w:p>
        </w:tc>
        <w:tc>
          <w:tcPr>
            <w:tcW w:w="2251" w:type="dxa"/>
            <w:vAlign w:val="center"/>
            <w:hideMark/>
          </w:tcPr>
          <w:p w14:paraId="479FF35C" w14:textId="77777777" w:rsidR="00DC7CA7" w:rsidRPr="00A30064" w:rsidRDefault="00DC7CA7" w:rsidP="00A30064">
            <w:pPr>
              <w:spacing w:after="0"/>
              <w:jc w:val="center"/>
              <w:rPr>
                <w:sz w:val="16"/>
                <w:szCs w:val="16"/>
              </w:rPr>
            </w:pPr>
            <w:r w:rsidRPr="00A30064">
              <w:rPr>
                <w:sz w:val="16"/>
                <w:szCs w:val="16"/>
              </w:rPr>
              <w:t>HFX (w/m</w:t>
            </w:r>
            <w:r w:rsidRPr="00A30064">
              <w:rPr>
                <w:sz w:val="16"/>
                <w:szCs w:val="16"/>
                <w:vertAlign w:val="superscript"/>
              </w:rPr>
              <w:t>2</w:t>
            </w:r>
            <w:r w:rsidRPr="00A30064">
              <w:rPr>
                <w:sz w:val="16"/>
                <w:szCs w:val="16"/>
              </w:rPr>
              <w:t>)</w:t>
            </w:r>
          </w:p>
        </w:tc>
        <w:tc>
          <w:tcPr>
            <w:tcW w:w="903" w:type="dxa"/>
            <w:vAlign w:val="center"/>
            <w:hideMark/>
          </w:tcPr>
          <w:p w14:paraId="5E47DBCC" w14:textId="77777777" w:rsidR="00DC7CA7" w:rsidRPr="00A30064" w:rsidRDefault="00DC7CA7" w:rsidP="00A30064">
            <w:pPr>
              <w:spacing w:after="0"/>
              <w:jc w:val="center"/>
              <w:rPr>
                <w:sz w:val="16"/>
                <w:szCs w:val="16"/>
              </w:rPr>
            </w:pPr>
            <w:r w:rsidRPr="00A30064">
              <w:rPr>
                <w:sz w:val="16"/>
                <w:szCs w:val="16"/>
              </w:rPr>
              <w:t>42.24</w:t>
            </w:r>
          </w:p>
        </w:tc>
        <w:tc>
          <w:tcPr>
            <w:tcW w:w="1198" w:type="dxa"/>
            <w:vAlign w:val="center"/>
            <w:hideMark/>
          </w:tcPr>
          <w:p w14:paraId="05C816FA" w14:textId="77777777" w:rsidR="00DC7CA7" w:rsidRPr="00A30064" w:rsidRDefault="00DC7CA7" w:rsidP="00A30064">
            <w:pPr>
              <w:spacing w:after="0"/>
              <w:jc w:val="center"/>
              <w:rPr>
                <w:sz w:val="16"/>
                <w:szCs w:val="16"/>
              </w:rPr>
            </w:pPr>
            <w:r w:rsidRPr="00A30064">
              <w:rPr>
                <w:sz w:val="16"/>
                <w:szCs w:val="16"/>
              </w:rPr>
              <w:t>37.88</w:t>
            </w:r>
          </w:p>
        </w:tc>
        <w:tc>
          <w:tcPr>
            <w:tcW w:w="847" w:type="dxa"/>
            <w:vAlign w:val="center"/>
          </w:tcPr>
          <w:p w14:paraId="68261D94" w14:textId="77777777" w:rsidR="00DC7CA7" w:rsidRPr="00A30064" w:rsidRDefault="00DC7CA7" w:rsidP="00A30064">
            <w:pPr>
              <w:spacing w:after="0"/>
              <w:jc w:val="center"/>
              <w:rPr>
                <w:sz w:val="16"/>
                <w:szCs w:val="16"/>
              </w:rPr>
            </w:pPr>
            <w:r w:rsidRPr="00A30064">
              <w:rPr>
                <w:sz w:val="16"/>
                <w:szCs w:val="16"/>
              </w:rPr>
              <w:t>19.26</w:t>
            </w:r>
          </w:p>
        </w:tc>
        <w:tc>
          <w:tcPr>
            <w:tcW w:w="915" w:type="dxa"/>
            <w:vAlign w:val="center"/>
            <w:hideMark/>
          </w:tcPr>
          <w:p w14:paraId="1949AFC7" w14:textId="77777777" w:rsidR="00DC7CA7" w:rsidRPr="00A30064" w:rsidRDefault="00DC7CA7" w:rsidP="00A30064">
            <w:pPr>
              <w:spacing w:after="0"/>
              <w:jc w:val="center"/>
              <w:rPr>
                <w:sz w:val="16"/>
                <w:szCs w:val="16"/>
              </w:rPr>
            </w:pPr>
            <w:r w:rsidRPr="00A30064">
              <w:rPr>
                <w:sz w:val="16"/>
                <w:szCs w:val="16"/>
              </w:rPr>
              <w:t>-4.57</w:t>
            </w:r>
          </w:p>
        </w:tc>
        <w:tc>
          <w:tcPr>
            <w:tcW w:w="1125" w:type="dxa"/>
            <w:vAlign w:val="center"/>
            <w:hideMark/>
          </w:tcPr>
          <w:p w14:paraId="3AE9262E" w14:textId="77777777" w:rsidR="00DC7CA7" w:rsidRPr="00A30064" w:rsidRDefault="00DC7CA7" w:rsidP="00A30064">
            <w:pPr>
              <w:spacing w:after="0"/>
              <w:jc w:val="center"/>
              <w:rPr>
                <w:sz w:val="16"/>
                <w:szCs w:val="16"/>
              </w:rPr>
            </w:pPr>
            <w:r w:rsidRPr="00A30064">
              <w:rPr>
                <w:sz w:val="16"/>
                <w:szCs w:val="16"/>
              </w:rPr>
              <w:t>-23.87</w:t>
            </w:r>
          </w:p>
        </w:tc>
        <w:tc>
          <w:tcPr>
            <w:tcW w:w="1211" w:type="dxa"/>
            <w:vAlign w:val="center"/>
          </w:tcPr>
          <w:p w14:paraId="1D6A9817" w14:textId="77777777" w:rsidR="00DC7CA7" w:rsidRPr="00A30064" w:rsidRDefault="00DC7CA7" w:rsidP="00A30064">
            <w:pPr>
              <w:spacing w:after="0"/>
              <w:jc w:val="center"/>
              <w:rPr>
                <w:sz w:val="16"/>
                <w:szCs w:val="16"/>
              </w:rPr>
            </w:pPr>
            <w:r w:rsidRPr="00A30064">
              <w:rPr>
                <w:sz w:val="16"/>
                <w:szCs w:val="16"/>
              </w:rPr>
              <w:t>-5.50</w:t>
            </w:r>
          </w:p>
        </w:tc>
      </w:tr>
      <w:tr w:rsidR="00DC7CA7" w:rsidRPr="00A30064" w14:paraId="645C529D" w14:textId="77777777" w:rsidTr="00A30064">
        <w:trPr>
          <w:trHeight w:val="379"/>
        </w:trPr>
        <w:tc>
          <w:tcPr>
            <w:tcW w:w="818" w:type="dxa"/>
            <w:vMerge/>
            <w:vAlign w:val="center"/>
            <w:hideMark/>
          </w:tcPr>
          <w:p w14:paraId="0CCFB3BF" w14:textId="77777777" w:rsidR="00DC7CA7" w:rsidRPr="00A30064" w:rsidRDefault="00DC7CA7" w:rsidP="00A30064">
            <w:pPr>
              <w:spacing w:after="0"/>
              <w:jc w:val="center"/>
              <w:rPr>
                <w:sz w:val="16"/>
                <w:szCs w:val="16"/>
              </w:rPr>
            </w:pPr>
          </w:p>
        </w:tc>
        <w:tc>
          <w:tcPr>
            <w:tcW w:w="2251" w:type="dxa"/>
            <w:vAlign w:val="center"/>
            <w:hideMark/>
          </w:tcPr>
          <w:p w14:paraId="172F6195" w14:textId="77777777" w:rsidR="00DC7CA7" w:rsidRPr="00A30064" w:rsidRDefault="00DC7CA7" w:rsidP="00A30064">
            <w:pPr>
              <w:spacing w:after="0"/>
              <w:jc w:val="center"/>
              <w:rPr>
                <w:sz w:val="16"/>
                <w:szCs w:val="16"/>
              </w:rPr>
            </w:pPr>
            <w:r w:rsidRPr="00A30064">
              <w:rPr>
                <w:sz w:val="16"/>
                <w:szCs w:val="16"/>
              </w:rPr>
              <w:t>LH (w/m</w:t>
            </w:r>
            <w:r w:rsidRPr="00A30064">
              <w:rPr>
                <w:sz w:val="16"/>
                <w:szCs w:val="16"/>
                <w:vertAlign w:val="superscript"/>
              </w:rPr>
              <w:t>2</w:t>
            </w:r>
            <w:r w:rsidRPr="00A30064">
              <w:rPr>
                <w:sz w:val="16"/>
                <w:szCs w:val="16"/>
              </w:rPr>
              <w:t>)</w:t>
            </w:r>
          </w:p>
        </w:tc>
        <w:tc>
          <w:tcPr>
            <w:tcW w:w="903" w:type="dxa"/>
            <w:vAlign w:val="center"/>
            <w:hideMark/>
          </w:tcPr>
          <w:p w14:paraId="0FBF57A4" w14:textId="77777777" w:rsidR="00DC7CA7" w:rsidRPr="00A30064" w:rsidRDefault="00DC7CA7" w:rsidP="00A30064">
            <w:pPr>
              <w:spacing w:after="0"/>
              <w:jc w:val="center"/>
              <w:rPr>
                <w:sz w:val="16"/>
                <w:szCs w:val="16"/>
              </w:rPr>
            </w:pPr>
            <w:r w:rsidRPr="00A30064">
              <w:rPr>
                <w:sz w:val="16"/>
                <w:szCs w:val="16"/>
              </w:rPr>
              <w:t>61.64</w:t>
            </w:r>
          </w:p>
        </w:tc>
        <w:tc>
          <w:tcPr>
            <w:tcW w:w="1198" w:type="dxa"/>
            <w:vAlign w:val="center"/>
            <w:hideMark/>
          </w:tcPr>
          <w:p w14:paraId="3A91DF22" w14:textId="77777777" w:rsidR="00DC7CA7" w:rsidRPr="00A30064" w:rsidRDefault="00DC7CA7" w:rsidP="00A30064">
            <w:pPr>
              <w:spacing w:after="0"/>
              <w:jc w:val="center"/>
              <w:rPr>
                <w:sz w:val="16"/>
                <w:szCs w:val="16"/>
              </w:rPr>
            </w:pPr>
            <w:bookmarkStart w:id="62" w:name="_Hlk69930170"/>
            <w:r w:rsidRPr="00A30064">
              <w:rPr>
                <w:sz w:val="16"/>
                <w:szCs w:val="16"/>
              </w:rPr>
              <w:t>56.26</w:t>
            </w:r>
            <w:bookmarkEnd w:id="62"/>
          </w:p>
        </w:tc>
        <w:tc>
          <w:tcPr>
            <w:tcW w:w="847" w:type="dxa"/>
            <w:vAlign w:val="center"/>
          </w:tcPr>
          <w:p w14:paraId="0929E9CE" w14:textId="77777777" w:rsidR="00DC7CA7" w:rsidRPr="00A30064" w:rsidRDefault="00DC7CA7" w:rsidP="00A30064">
            <w:pPr>
              <w:spacing w:after="0"/>
              <w:jc w:val="center"/>
              <w:rPr>
                <w:sz w:val="16"/>
                <w:szCs w:val="16"/>
              </w:rPr>
            </w:pPr>
            <w:r w:rsidRPr="00A30064">
              <w:rPr>
                <w:sz w:val="16"/>
                <w:szCs w:val="16"/>
              </w:rPr>
              <w:t>97.41</w:t>
            </w:r>
          </w:p>
        </w:tc>
        <w:tc>
          <w:tcPr>
            <w:tcW w:w="915" w:type="dxa"/>
            <w:vAlign w:val="center"/>
            <w:hideMark/>
          </w:tcPr>
          <w:p w14:paraId="27FB3E22" w14:textId="77777777" w:rsidR="00DC7CA7" w:rsidRPr="00A30064" w:rsidRDefault="00DC7CA7" w:rsidP="00A30064">
            <w:pPr>
              <w:spacing w:after="0"/>
              <w:jc w:val="center"/>
              <w:rPr>
                <w:sz w:val="16"/>
                <w:szCs w:val="16"/>
              </w:rPr>
            </w:pPr>
            <w:r w:rsidRPr="00A30064">
              <w:rPr>
                <w:sz w:val="16"/>
                <w:szCs w:val="16"/>
              </w:rPr>
              <w:t>-21.36</w:t>
            </w:r>
          </w:p>
        </w:tc>
        <w:tc>
          <w:tcPr>
            <w:tcW w:w="1125" w:type="dxa"/>
            <w:vAlign w:val="center"/>
            <w:hideMark/>
          </w:tcPr>
          <w:p w14:paraId="6C8B5DF7" w14:textId="77777777" w:rsidR="00DC7CA7" w:rsidRPr="00A30064" w:rsidRDefault="00DC7CA7" w:rsidP="00A30064">
            <w:pPr>
              <w:spacing w:after="0"/>
              <w:jc w:val="center"/>
              <w:rPr>
                <w:sz w:val="16"/>
                <w:szCs w:val="16"/>
              </w:rPr>
            </w:pPr>
            <w:r w:rsidRPr="00A30064">
              <w:rPr>
                <w:sz w:val="16"/>
                <w:szCs w:val="16"/>
              </w:rPr>
              <w:t>44.98</w:t>
            </w:r>
          </w:p>
        </w:tc>
        <w:tc>
          <w:tcPr>
            <w:tcW w:w="1211" w:type="dxa"/>
            <w:vAlign w:val="center"/>
          </w:tcPr>
          <w:p w14:paraId="39A0AEBD" w14:textId="77777777" w:rsidR="00DC7CA7" w:rsidRPr="00A30064" w:rsidRDefault="00DC7CA7" w:rsidP="00A30064">
            <w:pPr>
              <w:spacing w:after="0"/>
              <w:jc w:val="center"/>
              <w:rPr>
                <w:sz w:val="16"/>
                <w:szCs w:val="16"/>
              </w:rPr>
            </w:pPr>
            <w:r w:rsidRPr="00A30064">
              <w:rPr>
                <w:sz w:val="16"/>
                <w:szCs w:val="16"/>
              </w:rPr>
              <w:t>78.59</w:t>
            </w:r>
          </w:p>
        </w:tc>
      </w:tr>
      <w:tr w:rsidR="00DC7CA7" w:rsidRPr="00A30064" w14:paraId="66135ED1" w14:textId="77777777" w:rsidTr="00A30064">
        <w:trPr>
          <w:trHeight w:val="379"/>
        </w:trPr>
        <w:tc>
          <w:tcPr>
            <w:tcW w:w="818" w:type="dxa"/>
            <w:vMerge w:val="restart"/>
            <w:vAlign w:val="center"/>
            <w:hideMark/>
          </w:tcPr>
          <w:p w14:paraId="44DA3597" w14:textId="77777777" w:rsidR="00DC7CA7" w:rsidRPr="00A30064" w:rsidRDefault="00DC7CA7" w:rsidP="00A30064">
            <w:pPr>
              <w:spacing w:after="0"/>
              <w:jc w:val="center"/>
              <w:rPr>
                <w:sz w:val="16"/>
                <w:szCs w:val="16"/>
              </w:rPr>
            </w:pPr>
            <w:r w:rsidRPr="00A30064">
              <w:rPr>
                <w:sz w:val="16"/>
                <w:szCs w:val="16"/>
              </w:rPr>
              <w:t>RMSE</w:t>
            </w:r>
          </w:p>
        </w:tc>
        <w:tc>
          <w:tcPr>
            <w:tcW w:w="2251" w:type="dxa"/>
            <w:vAlign w:val="center"/>
            <w:hideMark/>
          </w:tcPr>
          <w:p w14:paraId="0246B28F" w14:textId="77777777" w:rsidR="00DC7CA7" w:rsidRPr="00A30064" w:rsidRDefault="00DC7CA7" w:rsidP="00A30064">
            <w:pPr>
              <w:spacing w:after="0"/>
              <w:jc w:val="center"/>
              <w:rPr>
                <w:sz w:val="16"/>
                <w:szCs w:val="16"/>
              </w:rPr>
            </w:pPr>
            <w:r w:rsidRPr="00A30064">
              <w:rPr>
                <w:sz w:val="16"/>
                <w:szCs w:val="16"/>
              </w:rPr>
              <w:t>Temp (K)</w:t>
            </w:r>
          </w:p>
        </w:tc>
        <w:tc>
          <w:tcPr>
            <w:tcW w:w="903" w:type="dxa"/>
            <w:vAlign w:val="center"/>
            <w:hideMark/>
          </w:tcPr>
          <w:p w14:paraId="6D3CBD1C" w14:textId="77777777" w:rsidR="00DC7CA7" w:rsidRPr="00A30064" w:rsidRDefault="00DC7CA7" w:rsidP="00A30064">
            <w:pPr>
              <w:spacing w:after="0"/>
              <w:jc w:val="center"/>
              <w:rPr>
                <w:sz w:val="16"/>
                <w:szCs w:val="16"/>
              </w:rPr>
            </w:pPr>
            <w:r w:rsidRPr="00A30064">
              <w:rPr>
                <w:sz w:val="16"/>
                <w:szCs w:val="16"/>
              </w:rPr>
              <w:t>1.8</w:t>
            </w:r>
          </w:p>
        </w:tc>
        <w:tc>
          <w:tcPr>
            <w:tcW w:w="1198" w:type="dxa"/>
            <w:vAlign w:val="center"/>
            <w:hideMark/>
          </w:tcPr>
          <w:p w14:paraId="4E2FDEF9" w14:textId="77777777" w:rsidR="00DC7CA7" w:rsidRPr="00A30064" w:rsidRDefault="00DC7CA7" w:rsidP="00A30064">
            <w:pPr>
              <w:spacing w:after="0"/>
              <w:jc w:val="center"/>
              <w:rPr>
                <w:sz w:val="16"/>
                <w:szCs w:val="16"/>
              </w:rPr>
            </w:pPr>
            <w:r w:rsidRPr="00A30064">
              <w:rPr>
                <w:sz w:val="16"/>
                <w:szCs w:val="16"/>
              </w:rPr>
              <w:t>1.86</w:t>
            </w:r>
          </w:p>
        </w:tc>
        <w:tc>
          <w:tcPr>
            <w:tcW w:w="847" w:type="dxa"/>
            <w:vAlign w:val="center"/>
          </w:tcPr>
          <w:p w14:paraId="1D89D458" w14:textId="77777777" w:rsidR="00DC7CA7" w:rsidRPr="00A30064" w:rsidRDefault="00DC7CA7" w:rsidP="00A30064">
            <w:pPr>
              <w:spacing w:after="0"/>
              <w:jc w:val="center"/>
              <w:rPr>
                <w:sz w:val="16"/>
                <w:szCs w:val="16"/>
              </w:rPr>
            </w:pPr>
            <w:r w:rsidRPr="00A30064">
              <w:rPr>
                <w:sz w:val="16"/>
                <w:szCs w:val="16"/>
              </w:rPr>
              <w:t>2.83</w:t>
            </w:r>
          </w:p>
        </w:tc>
        <w:tc>
          <w:tcPr>
            <w:tcW w:w="915" w:type="dxa"/>
            <w:vAlign w:val="center"/>
            <w:hideMark/>
          </w:tcPr>
          <w:p w14:paraId="4BA3FE4C" w14:textId="77777777" w:rsidR="00DC7CA7" w:rsidRPr="00A30064" w:rsidRDefault="00DC7CA7" w:rsidP="00A30064">
            <w:pPr>
              <w:spacing w:after="0"/>
              <w:jc w:val="center"/>
              <w:rPr>
                <w:sz w:val="16"/>
                <w:szCs w:val="16"/>
              </w:rPr>
            </w:pPr>
            <w:r w:rsidRPr="00A30064">
              <w:rPr>
                <w:sz w:val="16"/>
                <w:szCs w:val="16"/>
              </w:rPr>
              <w:t>3.31</w:t>
            </w:r>
          </w:p>
        </w:tc>
        <w:tc>
          <w:tcPr>
            <w:tcW w:w="1125" w:type="dxa"/>
            <w:vAlign w:val="center"/>
            <w:hideMark/>
          </w:tcPr>
          <w:p w14:paraId="6D5F8AA4" w14:textId="77777777" w:rsidR="00DC7CA7" w:rsidRPr="00A30064" w:rsidRDefault="00DC7CA7" w:rsidP="00A30064">
            <w:pPr>
              <w:spacing w:after="0"/>
              <w:jc w:val="center"/>
              <w:rPr>
                <w:sz w:val="16"/>
                <w:szCs w:val="16"/>
              </w:rPr>
            </w:pPr>
            <w:r w:rsidRPr="00A30064">
              <w:rPr>
                <w:sz w:val="16"/>
                <w:szCs w:val="16"/>
              </w:rPr>
              <w:t>3.11</w:t>
            </w:r>
          </w:p>
        </w:tc>
        <w:tc>
          <w:tcPr>
            <w:tcW w:w="1211" w:type="dxa"/>
            <w:vAlign w:val="center"/>
          </w:tcPr>
          <w:p w14:paraId="0556980A" w14:textId="77777777" w:rsidR="00DC7CA7" w:rsidRPr="00A30064" w:rsidRDefault="00DC7CA7" w:rsidP="00A30064">
            <w:pPr>
              <w:spacing w:after="0"/>
              <w:jc w:val="center"/>
              <w:rPr>
                <w:sz w:val="16"/>
                <w:szCs w:val="16"/>
              </w:rPr>
            </w:pPr>
            <w:r w:rsidRPr="00A30064">
              <w:rPr>
                <w:sz w:val="16"/>
                <w:szCs w:val="16"/>
              </w:rPr>
              <w:t>3.12</w:t>
            </w:r>
          </w:p>
        </w:tc>
      </w:tr>
      <w:tr w:rsidR="00DC7CA7" w:rsidRPr="00A30064" w14:paraId="46381AC0" w14:textId="77777777" w:rsidTr="00A30064">
        <w:trPr>
          <w:trHeight w:val="379"/>
        </w:trPr>
        <w:tc>
          <w:tcPr>
            <w:tcW w:w="818" w:type="dxa"/>
            <w:vMerge/>
            <w:vAlign w:val="center"/>
            <w:hideMark/>
          </w:tcPr>
          <w:p w14:paraId="1029780E" w14:textId="77777777" w:rsidR="00DC7CA7" w:rsidRPr="00A30064" w:rsidRDefault="00DC7CA7" w:rsidP="00A30064">
            <w:pPr>
              <w:spacing w:after="0"/>
              <w:jc w:val="center"/>
              <w:rPr>
                <w:sz w:val="16"/>
                <w:szCs w:val="16"/>
              </w:rPr>
            </w:pPr>
          </w:p>
        </w:tc>
        <w:tc>
          <w:tcPr>
            <w:tcW w:w="2251" w:type="dxa"/>
            <w:vAlign w:val="center"/>
            <w:hideMark/>
          </w:tcPr>
          <w:p w14:paraId="21EF7BCB" w14:textId="77777777" w:rsidR="00DC7CA7" w:rsidRPr="00A30064" w:rsidRDefault="00DC7CA7" w:rsidP="00A30064">
            <w:pPr>
              <w:spacing w:after="0"/>
              <w:jc w:val="center"/>
              <w:rPr>
                <w:sz w:val="16"/>
                <w:szCs w:val="16"/>
              </w:rPr>
            </w:pPr>
            <w:r w:rsidRPr="00A30064">
              <w:rPr>
                <w:sz w:val="16"/>
                <w:szCs w:val="16"/>
              </w:rPr>
              <w:t>WSD (m/s)</w:t>
            </w:r>
          </w:p>
        </w:tc>
        <w:tc>
          <w:tcPr>
            <w:tcW w:w="903" w:type="dxa"/>
            <w:vAlign w:val="center"/>
            <w:hideMark/>
          </w:tcPr>
          <w:p w14:paraId="7B6CD1E4" w14:textId="77777777" w:rsidR="00DC7CA7" w:rsidRPr="00A30064" w:rsidRDefault="00DC7CA7" w:rsidP="00A30064">
            <w:pPr>
              <w:spacing w:after="0"/>
              <w:jc w:val="center"/>
              <w:rPr>
                <w:sz w:val="16"/>
                <w:szCs w:val="16"/>
              </w:rPr>
            </w:pPr>
            <w:r w:rsidRPr="00A30064">
              <w:rPr>
                <w:sz w:val="16"/>
                <w:szCs w:val="16"/>
              </w:rPr>
              <w:t>1.56</w:t>
            </w:r>
          </w:p>
        </w:tc>
        <w:tc>
          <w:tcPr>
            <w:tcW w:w="1198" w:type="dxa"/>
            <w:vAlign w:val="center"/>
            <w:hideMark/>
          </w:tcPr>
          <w:p w14:paraId="18BD0C0B" w14:textId="77777777" w:rsidR="00DC7CA7" w:rsidRPr="00A30064" w:rsidRDefault="00DC7CA7" w:rsidP="00A30064">
            <w:pPr>
              <w:spacing w:after="0"/>
              <w:jc w:val="center"/>
              <w:rPr>
                <w:sz w:val="16"/>
                <w:szCs w:val="16"/>
              </w:rPr>
            </w:pPr>
            <w:r w:rsidRPr="00A30064">
              <w:rPr>
                <w:sz w:val="16"/>
                <w:szCs w:val="16"/>
              </w:rPr>
              <w:t>1.20</w:t>
            </w:r>
          </w:p>
        </w:tc>
        <w:tc>
          <w:tcPr>
            <w:tcW w:w="847" w:type="dxa"/>
            <w:vAlign w:val="center"/>
          </w:tcPr>
          <w:p w14:paraId="2783D159" w14:textId="77777777" w:rsidR="00DC7CA7" w:rsidRPr="00A30064" w:rsidRDefault="00DC7CA7" w:rsidP="00A30064">
            <w:pPr>
              <w:spacing w:after="0"/>
              <w:jc w:val="center"/>
              <w:rPr>
                <w:sz w:val="16"/>
                <w:szCs w:val="16"/>
              </w:rPr>
            </w:pPr>
            <w:r w:rsidRPr="00A30064">
              <w:rPr>
                <w:sz w:val="16"/>
                <w:szCs w:val="16"/>
              </w:rPr>
              <w:t>3.12</w:t>
            </w:r>
          </w:p>
        </w:tc>
        <w:tc>
          <w:tcPr>
            <w:tcW w:w="915" w:type="dxa"/>
            <w:vAlign w:val="center"/>
            <w:hideMark/>
          </w:tcPr>
          <w:p w14:paraId="07030486" w14:textId="77777777" w:rsidR="00DC7CA7" w:rsidRPr="00A30064" w:rsidRDefault="00DC7CA7" w:rsidP="00A30064">
            <w:pPr>
              <w:spacing w:after="0"/>
              <w:jc w:val="center"/>
              <w:rPr>
                <w:sz w:val="16"/>
                <w:szCs w:val="16"/>
              </w:rPr>
            </w:pPr>
            <w:r w:rsidRPr="00A30064">
              <w:rPr>
                <w:sz w:val="16"/>
                <w:szCs w:val="16"/>
              </w:rPr>
              <w:t>6.27</w:t>
            </w:r>
          </w:p>
        </w:tc>
        <w:tc>
          <w:tcPr>
            <w:tcW w:w="1125" w:type="dxa"/>
            <w:vAlign w:val="center"/>
            <w:hideMark/>
          </w:tcPr>
          <w:p w14:paraId="19D13D35" w14:textId="77777777" w:rsidR="00DC7CA7" w:rsidRPr="00A30064" w:rsidRDefault="00DC7CA7" w:rsidP="00A30064">
            <w:pPr>
              <w:spacing w:after="0"/>
              <w:jc w:val="center"/>
              <w:rPr>
                <w:sz w:val="16"/>
                <w:szCs w:val="16"/>
              </w:rPr>
            </w:pPr>
            <w:r w:rsidRPr="00A30064">
              <w:rPr>
                <w:sz w:val="16"/>
                <w:szCs w:val="16"/>
              </w:rPr>
              <w:t>6.14</w:t>
            </w:r>
          </w:p>
        </w:tc>
        <w:tc>
          <w:tcPr>
            <w:tcW w:w="1211" w:type="dxa"/>
            <w:vAlign w:val="center"/>
          </w:tcPr>
          <w:p w14:paraId="0B25DA65" w14:textId="77777777" w:rsidR="00DC7CA7" w:rsidRPr="00A30064" w:rsidRDefault="00DC7CA7" w:rsidP="00A30064">
            <w:pPr>
              <w:spacing w:after="0"/>
              <w:jc w:val="center"/>
              <w:rPr>
                <w:sz w:val="16"/>
                <w:szCs w:val="16"/>
              </w:rPr>
            </w:pPr>
            <w:r w:rsidRPr="00A30064">
              <w:rPr>
                <w:sz w:val="16"/>
                <w:szCs w:val="16"/>
              </w:rPr>
              <w:t>5.20</w:t>
            </w:r>
          </w:p>
        </w:tc>
      </w:tr>
      <w:tr w:rsidR="00DC7CA7" w:rsidRPr="00A30064" w14:paraId="016FAFBB" w14:textId="77777777" w:rsidTr="00A30064">
        <w:trPr>
          <w:trHeight w:val="379"/>
        </w:trPr>
        <w:tc>
          <w:tcPr>
            <w:tcW w:w="818" w:type="dxa"/>
            <w:vMerge/>
            <w:vAlign w:val="center"/>
            <w:hideMark/>
          </w:tcPr>
          <w:p w14:paraId="71670B38" w14:textId="77777777" w:rsidR="00DC7CA7" w:rsidRPr="00A30064" w:rsidRDefault="00DC7CA7" w:rsidP="00A30064">
            <w:pPr>
              <w:spacing w:after="0"/>
              <w:jc w:val="center"/>
              <w:rPr>
                <w:sz w:val="16"/>
                <w:szCs w:val="16"/>
              </w:rPr>
            </w:pPr>
          </w:p>
        </w:tc>
        <w:tc>
          <w:tcPr>
            <w:tcW w:w="2251" w:type="dxa"/>
            <w:vAlign w:val="center"/>
            <w:hideMark/>
          </w:tcPr>
          <w:p w14:paraId="19264A86" w14:textId="77777777" w:rsidR="00DC7CA7" w:rsidRPr="00A30064" w:rsidRDefault="00DC7CA7" w:rsidP="00A30064">
            <w:pPr>
              <w:spacing w:after="0"/>
              <w:jc w:val="center"/>
              <w:rPr>
                <w:sz w:val="16"/>
                <w:szCs w:val="16"/>
              </w:rPr>
            </w:pPr>
            <w:r w:rsidRPr="00A30064">
              <w:rPr>
                <w:sz w:val="16"/>
                <w:szCs w:val="16"/>
              </w:rPr>
              <w:t>HFX (w/m</w:t>
            </w:r>
            <w:r w:rsidRPr="00A30064">
              <w:rPr>
                <w:sz w:val="16"/>
                <w:szCs w:val="16"/>
                <w:vertAlign w:val="superscript"/>
              </w:rPr>
              <w:t>2</w:t>
            </w:r>
            <w:r w:rsidRPr="00A30064">
              <w:rPr>
                <w:sz w:val="16"/>
                <w:szCs w:val="16"/>
              </w:rPr>
              <w:t>)</w:t>
            </w:r>
          </w:p>
        </w:tc>
        <w:tc>
          <w:tcPr>
            <w:tcW w:w="903" w:type="dxa"/>
            <w:vAlign w:val="center"/>
            <w:hideMark/>
          </w:tcPr>
          <w:p w14:paraId="6D05AECC" w14:textId="77777777" w:rsidR="00DC7CA7" w:rsidRPr="00A30064" w:rsidRDefault="00DC7CA7" w:rsidP="00A30064">
            <w:pPr>
              <w:spacing w:after="0"/>
              <w:jc w:val="center"/>
              <w:rPr>
                <w:sz w:val="16"/>
                <w:szCs w:val="16"/>
              </w:rPr>
            </w:pPr>
            <w:r w:rsidRPr="00A30064">
              <w:rPr>
                <w:sz w:val="16"/>
                <w:szCs w:val="16"/>
              </w:rPr>
              <w:t>56.89</w:t>
            </w:r>
          </w:p>
        </w:tc>
        <w:tc>
          <w:tcPr>
            <w:tcW w:w="1198" w:type="dxa"/>
            <w:vAlign w:val="center"/>
            <w:hideMark/>
          </w:tcPr>
          <w:p w14:paraId="0E0FCA30" w14:textId="77777777" w:rsidR="00DC7CA7" w:rsidRPr="00A30064" w:rsidRDefault="00DC7CA7" w:rsidP="00A30064">
            <w:pPr>
              <w:spacing w:after="0"/>
              <w:jc w:val="center"/>
              <w:rPr>
                <w:sz w:val="16"/>
                <w:szCs w:val="16"/>
              </w:rPr>
            </w:pPr>
            <w:r w:rsidRPr="00A30064">
              <w:rPr>
                <w:sz w:val="16"/>
                <w:szCs w:val="16"/>
              </w:rPr>
              <w:t>53.62</w:t>
            </w:r>
          </w:p>
        </w:tc>
        <w:tc>
          <w:tcPr>
            <w:tcW w:w="847" w:type="dxa"/>
            <w:vAlign w:val="center"/>
          </w:tcPr>
          <w:p w14:paraId="0ECC5381" w14:textId="77777777" w:rsidR="00DC7CA7" w:rsidRPr="00A30064" w:rsidRDefault="00DC7CA7" w:rsidP="00A30064">
            <w:pPr>
              <w:spacing w:after="0"/>
              <w:jc w:val="center"/>
              <w:rPr>
                <w:sz w:val="16"/>
                <w:szCs w:val="16"/>
              </w:rPr>
            </w:pPr>
            <w:r w:rsidRPr="00A30064">
              <w:rPr>
                <w:sz w:val="16"/>
                <w:szCs w:val="16"/>
              </w:rPr>
              <w:t>56.54</w:t>
            </w:r>
          </w:p>
        </w:tc>
        <w:tc>
          <w:tcPr>
            <w:tcW w:w="915" w:type="dxa"/>
            <w:vAlign w:val="center"/>
            <w:hideMark/>
          </w:tcPr>
          <w:p w14:paraId="4FAC3AF4" w14:textId="77777777" w:rsidR="00DC7CA7" w:rsidRPr="00A30064" w:rsidRDefault="00DC7CA7" w:rsidP="00A30064">
            <w:pPr>
              <w:spacing w:after="0"/>
              <w:jc w:val="center"/>
              <w:rPr>
                <w:sz w:val="16"/>
                <w:szCs w:val="16"/>
              </w:rPr>
            </w:pPr>
            <w:r w:rsidRPr="00A30064">
              <w:rPr>
                <w:sz w:val="16"/>
                <w:szCs w:val="16"/>
              </w:rPr>
              <w:t>44.07</w:t>
            </w:r>
          </w:p>
        </w:tc>
        <w:tc>
          <w:tcPr>
            <w:tcW w:w="1125" w:type="dxa"/>
            <w:vAlign w:val="center"/>
            <w:hideMark/>
          </w:tcPr>
          <w:p w14:paraId="1D5E7A3C" w14:textId="77777777" w:rsidR="00DC7CA7" w:rsidRPr="00A30064" w:rsidRDefault="00DC7CA7" w:rsidP="00A30064">
            <w:pPr>
              <w:spacing w:after="0"/>
              <w:jc w:val="center"/>
              <w:rPr>
                <w:sz w:val="16"/>
                <w:szCs w:val="16"/>
              </w:rPr>
            </w:pPr>
            <w:r w:rsidRPr="00A30064">
              <w:rPr>
                <w:sz w:val="16"/>
                <w:szCs w:val="16"/>
              </w:rPr>
              <w:t>40.00</w:t>
            </w:r>
          </w:p>
        </w:tc>
        <w:tc>
          <w:tcPr>
            <w:tcW w:w="1211" w:type="dxa"/>
            <w:vAlign w:val="center"/>
          </w:tcPr>
          <w:p w14:paraId="4C84103C" w14:textId="77777777" w:rsidR="00DC7CA7" w:rsidRPr="00A30064" w:rsidRDefault="00DC7CA7" w:rsidP="00A30064">
            <w:pPr>
              <w:spacing w:after="0"/>
              <w:jc w:val="center"/>
              <w:rPr>
                <w:sz w:val="16"/>
                <w:szCs w:val="16"/>
              </w:rPr>
            </w:pPr>
            <w:r w:rsidRPr="00A30064">
              <w:rPr>
                <w:sz w:val="16"/>
                <w:szCs w:val="16"/>
              </w:rPr>
              <w:t>54.78</w:t>
            </w:r>
          </w:p>
        </w:tc>
      </w:tr>
      <w:tr w:rsidR="00DC7CA7" w:rsidRPr="00A30064" w14:paraId="5768DE01" w14:textId="77777777" w:rsidTr="00A30064">
        <w:trPr>
          <w:trHeight w:val="379"/>
        </w:trPr>
        <w:tc>
          <w:tcPr>
            <w:tcW w:w="818" w:type="dxa"/>
            <w:vMerge/>
            <w:vAlign w:val="center"/>
            <w:hideMark/>
          </w:tcPr>
          <w:p w14:paraId="34B55BEC" w14:textId="77777777" w:rsidR="00DC7CA7" w:rsidRPr="00A30064" w:rsidRDefault="00DC7CA7" w:rsidP="00A30064">
            <w:pPr>
              <w:spacing w:after="0"/>
              <w:jc w:val="center"/>
              <w:rPr>
                <w:sz w:val="16"/>
                <w:szCs w:val="16"/>
              </w:rPr>
            </w:pPr>
          </w:p>
        </w:tc>
        <w:tc>
          <w:tcPr>
            <w:tcW w:w="2251" w:type="dxa"/>
            <w:vAlign w:val="center"/>
            <w:hideMark/>
          </w:tcPr>
          <w:p w14:paraId="2C942F0C" w14:textId="77777777" w:rsidR="00DC7CA7" w:rsidRPr="00A30064" w:rsidRDefault="00DC7CA7" w:rsidP="00A30064">
            <w:pPr>
              <w:spacing w:after="0"/>
              <w:jc w:val="center"/>
              <w:rPr>
                <w:sz w:val="16"/>
                <w:szCs w:val="16"/>
              </w:rPr>
            </w:pPr>
            <w:r w:rsidRPr="00A30064">
              <w:rPr>
                <w:sz w:val="16"/>
                <w:szCs w:val="16"/>
              </w:rPr>
              <w:t>LH (w/m</w:t>
            </w:r>
            <w:r w:rsidRPr="00A30064">
              <w:rPr>
                <w:sz w:val="16"/>
                <w:szCs w:val="16"/>
                <w:vertAlign w:val="superscript"/>
              </w:rPr>
              <w:t>2</w:t>
            </w:r>
            <w:r w:rsidRPr="00A30064">
              <w:rPr>
                <w:sz w:val="16"/>
                <w:szCs w:val="16"/>
              </w:rPr>
              <w:t>)</w:t>
            </w:r>
          </w:p>
        </w:tc>
        <w:tc>
          <w:tcPr>
            <w:tcW w:w="903" w:type="dxa"/>
            <w:vAlign w:val="center"/>
            <w:hideMark/>
          </w:tcPr>
          <w:p w14:paraId="4BDDBB2F" w14:textId="77777777" w:rsidR="00DC7CA7" w:rsidRPr="00A30064" w:rsidRDefault="00DC7CA7" w:rsidP="00A30064">
            <w:pPr>
              <w:spacing w:after="0"/>
              <w:jc w:val="center"/>
              <w:rPr>
                <w:sz w:val="16"/>
                <w:szCs w:val="16"/>
              </w:rPr>
            </w:pPr>
            <w:r w:rsidRPr="00A30064">
              <w:rPr>
                <w:sz w:val="16"/>
                <w:szCs w:val="16"/>
              </w:rPr>
              <w:t>72.21</w:t>
            </w:r>
          </w:p>
        </w:tc>
        <w:tc>
          <w:tcPr>
            <w:tcW w:w="1198" w:type="dxa"/>
            <w:vAlign w:val="center"/>
            <w:hideMark/>
          </w:tcPr>
          <w:p w14:paraId="1462D7C6" w14:textId="77777777" w:rsidR="00DC7CA7" w:rsidRPr="00A30064" w:rsidRDefault="00DC7CA7" w:rsidP="00A30064">
            <w:pPr>
              <w:spacing w:after="0"/>
              <w:jc w:val="center"/>
              <w:rPr>
                <w:sz w:val="16"/>
                <w:szCs w:val="16"/>
              </w:rPr>
            </w:pPr>
            <w:r w:rsidRPr="00A30064">
              <w:rPr>
                <w:sz w:val="16"/>
                <w:szCs w:val="16"/>
              </w:rPr>
              <w:t>69.57</w:t>
            </w:r>
          </w:p>
        </w:tc>
        <w:tc>
          <w:tcPr>
            <w:tcW w:w="847" w:type="dxa"/>
            <w:vAlign w:val="center"/>
          </w:tcPr>
          <w:p w14:paraId="2EFC930F" w14:textId="77777777" w:rsidR="00DC7CA7" w:rsidRPr="00A30064" w:rsidRDefault="00DC7CA7" w:rsidP="00A30064">
            <w:pPr>
              <w:spacing w:after="0"/>
              <w:jc w:val="center"/>
              <w:rPr>
                <w:sz w:val="16"/>
                <w:szCs w:val="16"/>
              </w:rPr>
            </w:pPr>
            <w:r w:rsidRPr="00A30064">
              <w:rPr>
                <w:sz w:val="16"/>
                <w:szCs w:val="16"/>
              </w:rPr>
              <w:t>132.71</w:t>
            </w:r>
          </w:p>
        </w:tc>
        <w:tc>
          <w:tcPr>
            <w:tcW w:w="915" w:type="dxa"/>
            <w:vAlign w:val="center"/>
            <w:hideMark/>
          </w:tcPr>
          <w:p w14:paraId="2AA26EE8" w14:textId="77777777" w:rsidR="00DC7CA7" w:rsidRPr="00A30064" w:rsidRDefault="00DC7CA7" w:rsidP="00A30064">
            <w:pPr>
              <w:spacing w:after="0"/>
              <w:jc w:val="center"/>
              <w:rPr>
                <w:sz w:val="16"/>
                <w:szCs w:val="16"/>
              </w:rPr>
            </w:pPr>
            <w:r w:rsidRPr="00A30064">
              <w:rPr>
                <w:sz w:val="16"/>
                <w:szCs w:val="16"/>
              </w:rPr>
              <w:t>103.20</w:t>
            </w:r>
          </w:p>
        </w:tc>
        <w:tc>
          <w:tcPr>
            <w:tcW w:w="1125" w:type="dxa"/>
            <w:vAlign w:val="center"/>
            <w:hideMark/>
          </w:tcPr>
          <w:p w14:paraId="3485868F" w14:textId="77777777" w:rsidR="00DC7CA7" w:rsidRPr="00A30064" w:rsidRDefault="00DC7CA7" w:rsidP="00A30064">
            <w:pPr>
              <w:spacing w:after="0"/>
              <w:jc w:val="center"/>
              <w:rPr>
                <w:sz w:val="16"/>
                <w:szCs w:val="16"/>
              </w:rPr>
            </w:pPr>
            <w:r w:rsidRPr="00A30064">
              <w:rPr>
                <w:sz w:val="16"/>
                <w:szCs w:val="16"/>
              </w:rPr>
              <w:t>89.45</w:t>
            </w:r>
          </w:p>
        </w:tc>
        <w:tc>
          <w:tcPr>
            <w:tcW w:w="1211" w:type="dxa"/>
            <w:vAlign w:val="center"/>
          </w:tcPr>
          <w:p w14:paraId="0187F258" w14:textId="77777777" w:rsidR="00DC7CA7" w:rsidRPr="00A30064" w:rsidRDefault="00DC7CA7" w:rsidP="00A30064">
            <w:pPr>
              <w:spacing w:after="0"/>
              <w:jc w:val="center"/>
              <w:rPr>
                <w:sz w:val="16"/>
                <w:szCs w:val="16"/>
              </w:rPr>
            </w:pPr>
            <w:r w:rsidRPr="00A30064">
              <w:rPr>
                <w:sz w:val="16"/>
                <w:szCs w:val="16"/>
              </w:rPr>
              <w:t>116.00</w:t>
            </w:r>
          </w:p>
        </w:tc>
      </w:tr>
    </w:tbl>
    <w:bookmarkEnd w:id="61"/>
    <w:p w14:paraId="477DEF27" w14:textId="43FCDB6E" w:rsidR="00CB1895" w:rsidRDefault="004612A3" w:rsidP="00D85BF9">
      <w:r>
        <w:object w:dxaOrig="2827" w:dyaOrig="2731" w14:anchorId="7755C1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3.4pt;height:414pt" o:ole="">
            <v:imagedata r:id="rId23" o:title=""/>
          </v:shape>
          <o:OLEObject Type="Embed" ProgID="Origin50.Graph" ShapeID="_x0000_i1025" DrawAspect="Content" ObjectID="_1713797777" r:id="rId24"/>
        </w:object>
      </w:r>
    </w:p>
    <w:p w14:paraId="0A968E22" w14:textId="2BA40FF1" w:rsidR="00CB1895" w:rsidRPr="00B12372" w:rsidRDefault="00CB1895" w:rsidP="00CB1895">
      <w:r w:rsidRPr="00B12372">
        <w:rPr>
          <w:b/>
          <w:bCs/>
        </w:rPr>
        <w:t xml:space="preserve">Figure </w:t>
      </w:r>
      <w:r w:rsidR="006D3F12" w:rsidRPr="00B12372">
        <w:rPr>
          <w:b/>
          <w:bCs/>
        </w:rPr>
        <w:fldChar w:fldCharType="begin"/>
      </w:r>
      <w:r w:rsidR="006D3F12" w:rsidRPr="00B12372">
        <w:rPr>
          <w:b/>
          <w:bCs/>
        </w:rPr>
        <w:instrText xml:space="preserve"> SEQ Figure \* ARABIC </w:instrText>
      </w:r>
      <w:r w:rsidR="006D3F12" w:rsidRPr="00B12372">
        <w:rPr>
          <w:b/>
          <w:bCs/>
        </w:rPr>
        <w:fldChar w:fldCharType="separate"/>
      </w:r>
      <w:r w:rsidR="002F33A7" w:rsidRPr="00B12372">
        <w:rPr>
          <w:b/>
          <w:bCs/>
          <w:noProof/>
        </w:rPr>
        <w:t>2</w:t>
      </w:r>
      <w:r w:rsidR="006D3F12" w:rsidRPr="00B12372">
        <w:rPr>
          <w:b/>
          <w:bCs/>
          <w:noProof/>
        </w:rPr>
        <w:fldChar w:fldCharType="end"/>
      </w:r>
      <w:r w:rsidRPr="00B12372">
        <w:t>: Time series of surface variable</w:t>
      </w:r>
      <w:r w:rsidR="00250087" w:rsidRPr="00B12372">
        <w:t>s</w:t>
      </w:r>
      <w:r w:rsidRPr="00B12372">
        <w:t xml:space="preserve"> from </w:t>
      </w:r>
      <w:bookmarkStart w:id="63" w:name="_Hlk70113257"/>
      <m:oMath>
        <m:sSub>
          <m:sSubPr>
            <m:ctrlPr>
              <w:rPr>
                <w:rFonts w:ascii="Cambria Math" w:hAnsi="Cambria Math"/>
                <w:i/>
              </w:rPr>
            </m:ctrlPr>
          </m:sSubPr>
          <m:e>
            <m:r>
              <w:rPr>
                <w:rFonts w:ascii="Cambria Math" w:hAnsi="Cambria Math"/>
              </w:rPr>
              <m:t>D0</m:t>
            </m:r>
          </m:e>
          <m:sub>
            <m:r>
              <w:rPr>
                <w:rFonts w:ascii="Cambria Math" w:hAnsi="Cambria Math"/>
              </w:rPr>
              <m:t>i=3</m:t>
            </m:r>
          </m:sub>
        </m:sSub>
      </m:oMath>
      <w:bookmarkEnd w:id="63"/>
      <w:r w:rsidRPr="00B12372">
        <w:t xml:space="preserve"> of </w:t>
      </w:r>
      <w:r w:rsidR="00F71D12" w:rsidRPr="00B12372">
        <w:rPr>
          <w:rFonts w:eastAsia="SimSun" w:hint="eastAsia"/>
          <w:lang w:eastAsia="zh-CN"/>
        </w:rPr>
        <w:t xml:space="preserve">the </w:t>
      </w:r>
      <w:r w:rsidRPr="00B12372">
        <w:t xml:space="preserve">scenarios A, B and B1, and from </w:t>
      </w:r>
      <m:oMath>
        <m:sSub>
          <m:sSubPr>
            <m:ctrlPr>
              <w:rPr>
                <w:rFonts w:ascii="Cambria Math" w:hAnsi="Cambria Math"/>
                <w:i/>
              </w:rPr>
            </m:ctrlPr>
          </m:sSubPr>
          <m:e>
            <m:r>
              <w:rPr>
                <w:rFonts w:ascii="Cambria Math" w:hAnsi="Cambria Math"/>
              </w:rPr>
              <m:t>D0</m:t>
            </m:r>
          </m:e>
          <m:sub>
            <m:r>
              <w:rPr>
                <w:rFonts w:ascii="Cambria Math" w:hAnsi="Cambria Math"/>
              </w:rPr>
              <m:t>i=5</m:t>
            </m:r>
          </m:sub>
        </m:sSub>
      </m:oMath>
      <w:r w:rsidRPr="00B12372">
        <w:t xml:space="preserve"> of </w:t>
      </w:r>
      <w:r w:rsidR="00F71D12" w:rsidRPr="00B12372">
        <w:rPr>
          <w:rFonts w:eastAsia="SimSun" w:hint="eastAsia"/>
          <w:lang w:eastAsia="zh-CN"/>
        </w:rPr>
        <w:t xml:space="preserve">the </w:t>
      </w:r>
      <w:r w:rsidRPr="00B12372">
        <w:t>scenarios C, D and E (Table</w:t>
      </w:r>
      <w:r w:rsidR="005F5A38" w:rsidRPr="00B12372">
        <w:t xml:space="preserve"> 4</w:t>
      </w:r>
      <w:r w:rsidRPr="00B12372">
        <w:t>), compared to time series from Naqu1 (92.067, 31.483): (</w:t>
      </w:r>
      <w:r w:rsidRPr="00B12372">
        <w:rPr>
          <w:b/>
        </w:rPr>
        <w:t>a</w:t>
      </w:r>
      <w:r w:rsidRPr="00B12372">
        <w:t>) wind speed (WSD); (</w:t>
      </w:r>
      <w:r w:rsidRPr="00B12372">
        <w:rPr>
          <w:b/>
        </w:rPr>
        <w:t>b</w:t>
      </w:r>
      <w:r w:rsidRPr="00B12372">
        <w:t>) Two-meter temperature (T2); (</w:t>
      </w:r>
      <w:r w:rsidRPr="00B12372">
        <w:rPr>
          <w:b/>
        </w:rPr>
        <w:t>c</w:t>
      </w:r>
      <w:r w:rsidRPr="00B12372">
        <w:t xml:space="preserve">) </w:t>
      </w:r>
      <w:r w:rsidR="00F71D12" w:rsidRPr="00B12372">
        <w:rPr>
          <w:rFonts w:eastAsia="SimSun" w:hint="eastAsia"/>
          <w:lang w:eastAsia="zh-CN"/>
        </w:rPr>
        <w:t xml:space="preserve">the </w:t>
      </w:r>
      <w:r w:rsidRPr="00B12372">
        <w:t>sensible heat flux (HFX) at the surface; (</w:t>
      </w:r>
      <w:r w:rsidRPr="00B12372">
        <w:rPr>
          <w:b/>
        </w:rPr>
        <w:t>d</w:t>
      </w:r>
      <w:r w:rsidRPr="00B12372">
        <w:t xml:space="preserve">) </w:t>
      </w:r>
      <w:r w:rsidR="00F71D12" w:rsidRPr="00B12372">
        <w:rPr>
          <w:rFonts w:eastAsia="SimSun" w:hint="eastAsia"/>
          <w:lang w:eastAsia="zh-CN"/>
        </w:rPr>
        <w:t xml:space="preserve">the </w:t>
      </w:r>
      <w:r w:rsidRPr="00B12372">
        <w:t>latent heat flux (LH) at the surface. Dashed line</w:t>
      </w:r>
      <w:r w:rsidR="002965A3" w:rsidRPr="00B12372">
        <w:t>s</w:t>
      </w:r>
      <w:r w:rsidRPr="00B12372">
        <w:t xml:space="preserve"> indicate </w:t>
      </w:r>
      <w:r w:rsidR="00250087" w:rsidRPr="00B12372">
        <w:t xml:space="preserve">the </w:t>
      </w:r>
      <w:r w:rsidRPr="00B12372">
        <w:t>upper limit of spin-up time.</w:t>
      </w:r>
    </w:p>
    <w:p w14:paraId="4AD910B9" w14:textId="6BC39D0D" w:rsidR="00722877" w:rsidRPr="002C7DEC" w:rsidRDefault="00722877" w:rsidP="00B87F1F">
      <w:pPr>
        <w:ind w:firstLine="540"/>
      </w:pPr>
      <w:r w:rsidRPr="002C7DEC">
        <w:t>Overall, for surface meteorological variables and heat fluxes, considering the set of results in each scenario, scenarios B and D had more accurate and reliable results than scenarios A</w:t>
      </w:r>
      <w:r w:rsidR="004A7469">
        <w:t>, B1</w:t>
      </w:r>
      <w:r w:rsidR="00E427F1">
        <w:t>,</w:t>
      </w:r>
      <w:r w:rsidR="00B1645D">
        <w:t xml:space="preserve"> and</w:t>
      </w:r>
      <w:r w:rsidR="00B1645D" w:rsidRPr="002C7DEC">
        <w:t xml:space="preserve"> C.</w:t>
      </w:r>
      <w:r w:rsidRPr="002C7DEC">
        <w:t xml:space="preserve"> However, compared </w:t>
      </w:r>
      <w:r w:rsidR="00B1645D" w:rsidRPr="002C7DEC">
        <w:t xml:space="preserve">to </w:t>
      </w:r>
      <w:r w:rsidR="00B1645D">
        <w:t xml:space="preserve">the </w:t>
      </w:r>
      <w:r w:rsidR="00B1645D">
        <w:rPr>
          <w:rFonts w:eastAsia="SimSun"/>
          <w:lang w:eastAsia="zh-CN"/>
        </w:rPr>
        <w:t>scenario</w:t>
      </w:r>
      <w:r w:rsidRPr="002C7DEC">
        <w:t xml:space="preserve"> A we found that the observation nudging strategy improved WSD, FHX, and LH results in </w:t>
      </w:r>
      <w:r w:rsidR="0073436D">
        <w:rPr>
          <w:rFonts w:eastAsia="SimSun" w:hint="eastAsia"/>
          <w:lang w:eastAsia="zh-CN"/>
        </w:rPr>
        <w:t xml:space="preserve">the </w:t>
      </w:r>
      <w:r w:rsidRPr="002C7DEC">
        <w:t xml:space="preserve">scenario B and HFX results in </w:t>
      </w:r>
      <w:r w:rsidR="0073436D">
        <w:rPr>
          <w:rFonts w:eastAsia="SimSun" w:hint="eastAsia"/>
          <w:lang w:eastAsia="zh-CN"/>
        </w:rPr>
        <w:t xml:space="preserve">the </w:t>
      </w:r>
      <w:r w:rsidRPr="002C7DEC">
        <w:t xml:space="preserve">scenario C and D. In fact, some results from </w:t>
      </w:r>
      <w:r w:rsidR="0073436D">
        <w:rPr>
          <w:rFonts w:eastAsia="SimSun" w:hint="eastAsia"/>
          <w:lang w:eastAsia="zh-CN"/>
        </w:rPr>
        <w:t xml:space="preserve">the </w:t>
      </w:r>
      <w:r w:rsidRPr="002C7DEC">
        <w:t xml:space="preserve">scenario C such as MB relative to HFX </w:t>
      </w:r>
      <w:r w:rsidR="006C1B3E">
        <w:t>and</w:t>
      </w:r>
      <w:r w:rsidRPr="002C7DEC">
        <w:t xml:space="preserve"> LH were least scores and ha</w:t>
      </w:r>
      <w:r w:rsidR="004A7469">
        <w:t>ve</w:t>
      </w:r>
      <w:r w:rsidRPr="002C7DEC">
        <w:t xml:space="preserve"> a relatively good RMSE. However, we believe that noise occurred while transitioning through the </w:t>
      </w:r>
      <w:r w:rsidR="00250087">
        <w:t>‘</w:t>
      </w:r>
      <w:r w:rsidRPr="002C7DEC">
        <w:t>ndown</w:t>
      </w:r>
      <w:r w:rsidR="00250087">
        <w:t>’</w:t>
      </w:r>
      <w:r w:rsidRPr="002C7DEC">
        <w:t xml:space="preserve"> program during the performance of the one-way nest</w:t>
      </w:r>
      <w:r w:rsidR="006277A0">
        <w:t>ing</w:t>
      </w:r>
      <w:r w:rsidRPr="002C7DEC">
        <w:t xml:space="preserve"> strategy.  This is because </w:t>
      </w:r>
    </w:p>
    <w:p w14:paraId="3D6C2131" w14:textId="0EDEAE05" w:rsidR="00722877" w:rsidRPr="002C7DEC" w:rsidRDefault="0073436D" w:rsidP="008E31C7">
      <w:pPr>
        <w:pStyle w:val="Heading2"/>
        <w:numPr>
          <w:ilvl w:val="1"/>
          <w:numId w:val="27"/>
        </w:numPr>
        <w:ind w:left="450"/>
      </w:pPr>
      <w:r>
        <w:rPr>
          <w:rFonts w:eastAsia="SimSun" w:hint="eastAsia"/>
          <w:lang w:eastAsia="zh-CN"/>
        </w:rPr>
        <w:lastRenderedPageBreak/>
        <w:t xml:space="preserve">The </w:t>
      </w:r>
      <w:r w:rsidR="00722877" w:rsidRPr="002C7DEC">
        <w:t>Simulated and Observed Boundary Layer Height</w:t>
      </w:r>
    </w:p>
    <w:p w14:paraId="784235E8" w14:textId="572B6308" w:rsidR="00722877" w:rsidRDefault="00722877" w:rsidP="00B87F1F">
      <w:pPr>
        <w:ind w:firstLine="540"/>
      </w:pPr>
      <w:r w:rsidRPr="002C7DEC">
        <w:t xml:space="preserve">The ABL height is a fundamental parameter characterizing the depth of atmospheric mixing near the earth's surface. It is critical for understanding the cloud processes related to ABL features and their feedback </w:t>
      </w:r>
      <w:r w:rsidR="00250087">
        <w:t>o</w:t>
      </w:r>
      <w:r w:rsidR="00250087" w:rsidRPr="002C7DEC">
        <w:t xml:space="preserve">n </w:t>
      </w:r>
      <w:r w:rsidRPr="002C7DEC">
        <w:t xml:space="preserve">the weather and climate system. The detection of ABL height from Lidar is as follows: at the top of the ABL, </w:t>
      </w:r>
      <w:proofErr w:type="gramStart"/>
      <w:r w:rsidRPr="002C7DEC">
        <w:t xml:space="preserve">water </w:t>
      </w:r>
      <w:r w:rsidR="00250087">
        <w:t xml:space="preserve"> </w:t>
      </w:r>
      <w:r w:rsidR="00F677EB">
        <w:t>vapor</w:t>
      </w:r>
      <w:proofErr w:type="gramEnd"/>
      <w:r w:rsidRPr="002C7DEC">
        <w:t xml:space="preserve"> dec</w:t>
      </w:r>
      <w:r w:rsidR="00250087">
        <w:t>r</w:t>
      </w:r>
      <w:r w:rsidRPr="002C7DEC">
        <w:t xml:space="preserve">eases abruptly and affects the Lidar signal to change rapidly around the ABL top. </w:t>
      </w:r>
    </w:p>
    <w:p w14:paraId="541E8E2F" w14:textId="07577447" w:rsidR="001B400C" w:rsidRDefault="001B400C" w:rsidP="001B400C">
      <w:pPr>
        <w:jc w:val="center"/>
      </w:pPr>
      <w:r>
        <w:rPr>
          <w:noProof/>
          <w:lang w:eastAsia="zh-CN" w:bidi="ar-SA"/>
        </w:rPr>
        <w:drawing>
          <wp:inline distT="0" distB="0" distL="0" distR="0" wp14:anchorId="31E74826" wp14:editId="2B07E1D6">
            <wp:extent cx="5418162" cy="4017615"/>
            <wp:effectExtent l="0" t="0" r="0" b="2540"/>
            <wp:docPr id="6" name="Picture 2">
              <a:extLst xmlns:a="http://schemas.openxmlformats.org/drawingml/2006/main">
                <a:ext uri="{FF2B5EF4-FFF2-40B4-BE49-F238E27FC236}">
                  <a16:creationId xmlns:a16="http://schemas.microsoft.com/office/drawing/2014/main" id="{0DB43D92-3B78-4A8B-862D-6CD091D129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0DB43D92-3B78-4A8B-862D-6CD091D1299D}"/>
                        </a:ext>
                      </a:extLst>
                    </pic:cNvPr>
                    <pic:cNvPicPr>
                      <a:picLocks noChangeAspect="1"/>
                    </pic:cNvPicPr>
                  </pic:nvPicPr>
                  <pic:blipFill>
                    <a:blip r:embed="rId25"/>
                    <a:stretch>
                      <a:fillRect/>
                    </a:stretch>
                  </pic:blipFill>
                  <pic:spPr>
                    <a:xfrm>
                      <a:off x="0" y="0"/>
                      <a:ext cx="5518767" cy="4092214"/>
                    </a:xfrm>
                    <a:prstGeom prst="rect">
                      <a:avLst/>
                    </a:prstGeom>
                  </pic:spPr>
                </pic:pic>
              </a:graphicData>
            </a:graphic>
          </wp:inline>
        </w:drawing>
      </w:r>
    </w:p>
    <w:p w14:paraId="3BC076E8" w14:textId="028F9C89" w:rsidR="001B400C" w:rsidRPr="00B12372" w:rsidRDefault="001B400C" w:rsidP="001B400C">
      <w:r w:rsidRPr="00B12372">
        <w:rPr>
          <w:b/>
          <w:bCs/>
        </w:rPr>
        <w:t xml:space="preserve">Figure </w:t>
      </w:r>
      <w:r w:rsidR="006D3F12" w:rsidRPr="00B12372">
        <w:rPr>
          <w:b/>
          <w:bCs/>
        </w:rPr>
        <w:fldChar w:fldCharType="begin"/>
      </w:r>
      <w:r w:rsidR="006D3F12" w:rsidRPr="00B12372">
        <w:rPr>
          <w:b/>
          <w:bCs/>
        </w:rPr>
        <w:instrText xml:space="preserve"> SEQ Figure \* ARABIC </w:instrText>
      </w:r>
      <w:r w:rsidR="006D3F12" w:rsidRPr="00B12372">
        <w:rPr>
          <w:b/>
          <w:bCs/>
        </w:rPr>
        <w:fldChar w:fldCharType="separate"/>
      </w:r>
      <w:r w:rsidR="002F33A7" w:rsidRPr="00B12372">
        <w:rPr>
          <w:b/>
          <w:bCs/>
          <w:noProof/>
        </w:rPr>
        <w:t>3</w:t>
      </w:r>
      <w:r w:rsidR="006D3F12" w:rsidRPr="00B12372">
        <w:rPr>
          <w:b/>
          <w:bCs/>
          <w:noProof/>
        </w:rPr>
        <w:fldChar w:fldCharType="end"/>
      </w:r>
      <w:r w:rsidRPr="00B12372">
        <w:t xml:space="preserve">: Time-high cross-section of water </w:t>
      </w:r>
      <w:r w:rsidR="00F677EB" w:rsidRPr="00B12372">
        <w:t>vapor</w:t>
      </w:r>
      <w:r w:rsidRPr="00B12372">
        <w:t xml:space="preserve"> mixing ratio (g/kg) (shaded) over Naqu1 predicted on July 19, 2014, at local standard time and compared to laser ceilometer measurements of </w:t>
      </w:r>
      <w:r w:rsidR="0073436D" w:rsidRPr="00B12372">
        <w:rPr>
          <w:rFonts w:eastAsia="SimSun" w:hint="eastAsia"/>
          <w:lang w:eastAsia="zh-CN"/>
        </w:rPr>
        <w:t xml:space="preserve">the </w:t>
      </w:r>
      <w:r w:rsidRPr="00B12372">
        <w:t xml:space="preserve">boundary layer height (ABL) from </w:t>
      </w:r>
      <w:r w:rsidR="0073436D" w:rsidRPr="00B12372">
        <w:rPr>
          <w:rFonts w:eastAsia="SimSun" w:hint="eastAsia"/>
          <w:lang w:eastAsia="zh-CN"/>
        </w:rPr>
        <w:t xml:space="preserve">the </w:t>
      </w:r>
      <w:r w:rsidRPr="00B12372">
        <w:t xml:space="preserve">Third Tibetan Plateau Atmospheric Science Experiment (TIPEX-III). Cases A, B and </w:t>
      </w:r>
      <m:oMath>
        <m:sSub>
          <m:sSubPr>
            <m:ctrlPr>
              <w:rPr>
                <w:rFonts w:ascii="Cambria Math" w:hAnsi="Cambria Math"/>
                <w:i/>
              </w:rPr>
            </m:ctrlPr>
          </m:sSubPr>
          <m:e>
            <m:r>
              <w:rPr>
                <w:rFonts w:ascii="Cambria Math" w:hAnsi="Cambria Math"/>
              </w:rPr>
              <m:t>B</m:t>
            </m:r>
          </m:e>
          <m:sub>
            <m:r>
              <w:rPr>
                <w:rFonts w:ascii="Cambria Math" w:hAnsi="Cambria Math"/>
              </w:rPr>
              <m:t>1</m:t>
            </m:r>
          </m:sub>
        </m:sSub>
      </m:oMath>
      <w:r w:rsidRPr="00B12372">
        <w:t xml:space="preserve"> from</w:t>
      </w:r>
      <m:oMath>
        <m:r>
          <w:rPr>
            <w:rFonts w:ascii="Cambria Math" w:hAnsi="Cambria Math"/>
          </w:rPr>
          <m:t xml:space="preserve"> </m:t>
        </m:r>
        <m:sSub>
          <m:sSubPr>
            <m:ctrlPr>
              <w:rPr>
                <w:rFonts w:ascii="Cambria Math" w:hAnsi="Cambria Math"/>
                <w:i/>
              </w:rPr>
            </m:ctrlPr>
          </m:sSubPr>
          <m:e>
            <m:r>
              <w:rPr>
                <w:rFonts w:ascii="Cambria Math" w:hAnsi="Cambria Math"/>
              </w:rPr>
              <m:t>D0</m:t>
            </m:r>
          </m:e>
          <m:sub>
            <m:r>
              <w:rPr>
                <w:rFonts w:ascii="Cambria Math" w:hAnsi="Cambria Math"/>
              </w:rPr>
              <m:t>i=3</m:t>
            </m:r>
          </m:sub>
        </m:sSub>
        <m:r>
          <w:rPr>
            <w:rFonts w:ascii="Cambria Math" w:hAnsi="Cambria Math"/>
          </w:rPr>
          <m:t>=D03</m:t>
        </m:r>
      </m:oMath>
      <w:r w:rsidRPr="00B12372">
        <w:t xml:space="preserve">,  C, D and E from </w:t>
      </w:r>
      <m:oMath>
        <m:sSub>
          <m:sSubPr>
            <m:ctrlPr>
              <w:rPr>
                <w:rFonts w:ascii="Cambria Math" w:hAnsi="Cambria Math"/>
                <w:i/>
              </w:rPr>
            </m:ctrlPr>
          </m:sSubPr>
          <m:e>
            <m:r>
              <w:rPr>
                <w:rFonts w:ascii="Cambria Math" w:hAnsi="Cambria Math"/>
              </w:rPr>
              <m:t>D0</m:t>
            </m:r>
          </m:e>
          <m:sub>
            <m:r>
              <w:rPr>
                <w:rFonts w:ascii="Cambria Math" w:hAnsi="Cambria Math"/>
              </w:rPr>
              <m:t>i=5</m:t>
            </m:r>
          </m:sub>
        </m:sSub>
        <m:r>
          <w:rPr>
            <w:rFonts w:ascii="Cambria Math" w:hAnsi="Cambria Math"/>
          </w:rPr>
          <m:t>=D05</m:t>
        </m:r>
      </m:oMath>
      <w:r w:rsidRPr="00B12372">
        <w:t xml:space="preserve"> represent scenarios in Table 4.</w:t>
      </w:r>
    </w:p>
    <w:p w14:paraId="1F1AEEB5" w14:textId="218C4468" w:rsidR="00722877" w:rsidRPr="002C7DEC" w:rsidRDefault="00722877" w:rsidP="00D55845">
      <w:pPr>
        <w:ind w:firstLine="540"/>
      </w:pPr>
      <w:r w:rsidRPr="002C7DEC">
        <w:t xml:space="preserve">In this study, we compared the simulated ABL to that from the CL31 measurements based on the time–height cross-section of the water </w:t>
      </w:r>
      <w:r w:rsidR="00F677EB">
        <w:t>vapor</w:t>
      </w:r>
      <w:r w:rsidRPr="002C7DEC">
        <w:t xml:space="preserve"> mixing ratio. We found three peaks of the ABL</w:t>
      </w:r>
      <w:r w:rsidR="0066725A">
        <w:t xml:space="preserve"> from CL31 measurements</w:t>
      </w:r>
      <w:r w:rsidRPr="002C7DEC">
        <w:t>, at 12:00, 14:00, and 18:00 LST. The peak found at 12:00 LST may be related to intermittent turbulence. The diurnal peak was reached around 14:00 LST. The peak found at 18:00 LST may have arisen from the high HFX released after intense convection developed in the early evening. We can also look for the last two peaks in the time series from temperature and heat fluxes shown in Figure 2 between the 56</w:t>
      </w:r>
      <w:r w:rsidRPr="006962D7">
        <w:rPr>
          <w:vertAlign w:val="superscript"/>
        </w:rPr>
        <w:t>th</w:t>
      </w:r>
      <w:r w:rsidRPr="002C7DEC">
        <w:t xml:space="preserve"> and 72</w:t>
      </w:r>
      <w:r w:rsidRPr="006962D7">
        <w:rPr>
          <w:vertAlign w:val="superscript"/>
        </w:rPr>
        <w:t>nd</w:t>
      </w:r>
      <w:r w:rsidRPr="002C7DEC">
        <w:t xml:space="preserve"> hours of the simulation period. </w:t>
      </w:r>
      <w:r w:rsidR="0066725A" w:rsidRPr="0066725A">
        <w:t xml:space="preserve">The simulated ABL shows undulations and plumes of the water </w:t>
      </w:r>
      <w:r w:rsidR="00F677EB">
        <w:t>vapor</w:t>
      </w:r>
      <w:r w:rsidR="0066725A" w:rsidRPr="0066725A">
        <w:t xml:space="preserve"> mixing ratio with the mixing decreasing with height. We depicted the results of the comparison in Figure 3. </w:t>
      </w:r>
      <w:r w:rsidRPr="002C7DEC">
        <w:t xml:space="preserve">Upon </w:t>
      </w:r>
      <w:r w:rsidRPr="002C7DEC">
        <w:lastRenderedPageBreak/>
        <w:t xml:space="preserve">visual inspection, we can estimate the simulated ABL height as the height at which the water </w:t>
      </w:r>
      <w:r w:rsidR="00F677EB">
        <w:t>vapor</w:t>
      </w:r>
      <w:r w:rsidRPr="002C7DEC">
        <w:t xml:space="preserve"> mixing ratio is 4 g/kg. This is because the CL31 measurement</w:t>
      </w:r>
      <w:r w:rsidR="00A01FE6">
        <w:t>s</w:t>
      </w:r>
      <w:r w:rsidRPr="002C7DEC">
        <w:t xml:space="preserve"> fit better with that height in scenarios C and D</w:t>
      </w:r>
      <w:r w:rsidR="0066725A">
        <w:t xml:space="preserve"> (Figures 3</w:t>
      </w:r>
      <w:proofErr w:type="gramStart"/>
      <w:r w:rsidR="0066725A">
        <w:t>d,e</w:t>
      </w:r>
      <w:proofErr w:type="gramEnd"/>
      <w:r w:rsidR="0066725A">
        <w:t>)</w:t>
      </w:r>
      <w:r w:rsidRPr="002C7DEC">
        <w:t>.</w:t>
      </w:r>
    </w:p>
    <w:p w14:paraId="66D86345" w14:textId="5F4E6702" w:rsidR="00722877" w:rsidRPr="002C7DEC" w:rsidRDefault="00FD40F3" w:rsidP="00A01FE6">
      <w:pPr>
        <w:ind w:firstLine="540"/>
      </w:pPr>
      <w:r>
        <w:t>In t</w:t>
      </w:r>
      <w:r w:rsidR="00722877" w:rsidRPr="002C7DEC">
        <w:t xml:space="preserve">he overall </w:t>
      </w:r>
      <w:r w:rsidR="00A360CA">
        <w:t xml:space="preserve">mesoscale </w:t>
      </w:r>
      <w:r w:rsidR="00722877" w:rsidRPr="002C7DEC">
        <w:t>simulation results</w:t>
      </w:r>
      <w:r w:rsidR="00A360CA">
        <w:t xml:space="preserve">, scenarios A, B, and B1 </w:t>
      </w:r>
      <w:r w:rsidR="00722877" w:rsidRPr="002C7DEC">
        <w:t>(Figure</w:t>
      </w:r>
      <w:r w:rsidR="006674E2">
        <w:t>s</w:t>
      </w:r>
      <w:r w:rsidR="00722877" w:rsidRPr="002C7DEC">
        <w:t xml:space="preserve"> 3</w:t>
      </w:r>
      <w:proofErr w:type="gramStart"/>
      <w:r w:rsidR="00722877" w:rsidRPr="002C7DEC">
        <w:t>a</w:t>
      </w:r>
      <w:r w:rsidR="006674E2">
        <w:t>,b</w:t>
      </w:r>
      <w:proofErr w:type="gramEnd"/>
      <w:r w:rsidR="006674E2">
        <w:t>,c</w:t>
      </w:r>
      <w:r w:rsidR="00722877" w:rsidRPr="002C7DEC">
        <w:t xml:space="preserve">) presented a convective ABL between </w:t>
      </w:r>
      <w:r w:rsidR="00457CEC">
        <w:t>10</w:t>
      </w:r>
      <w:r w:rsidR="00722877" w:rsidRPr="002C7DEC">
        <w:t xml:space="preserve">:00 and </w:t>
      </w:r>
      <w:r w:rsidR="00457CEC">
        <w:t>20</w:t>
      </w:r>
      <w:r w:rsidR="00722877" w:rsidRPr="002C7DEC">
        <w:t>:00 LST</w:t>
      </w:r>
      <w:r w:rsidR="006A6498">
        <w:t>,</w:t>
      </w:r>
      <w:r w:rsidR="00722877" w:rsidRPr="002C7DEC">
        <w:t xml:space="preserve"> slightly </w:t>
      </w:r>
      <w:r w:rsidR="006674E2">
        <w:t>higher than the</w:t>
      </w:r>
      <w:r w:rsidR="00722877" w:rsidRPr="002C7DEC">
        <w:t xml:space="preserve"> </w:t>
      </w:r>
      <w:r w:rsidR="006674E2">
        <w:t>observed</w:t>
      </w:r>
      <w:r w:rsidR="00722877" w:rsidRPr="002C7DEC">
        <w:t xml:space="preserve">. </w:t>
      </w:r>
      <w:r w:rsidR="006674E2">
        <w:t>We note</w:t>
      </w:r>
      <w:r w:rsidR="001B7D95">
        <w:t xml:space="preserve"> </w:t>
      </w:r>
      <w:r w:rsidR="006674E2">
        <w:t>that i</w:t>
      </w:r>
      <w:r w:rsidR="00A360CA" w:rsidRPr="00A360CA">
        <w:t>n dry and warm land surface-atmosphere conditions, the top of the ABL over TP is deep, while a shallow ABL characterizes the moist condition of the coupled system.</w:t>
      </w:r>
      <w:r w:rsidR="006A6498">
        <w:t xml:space="preserve"> </w:t>
      </w:r>
      <w:r w:rsidR="004970F7" w:rsidRPr="004970F7">
        <w:t xml:space="preserve">Under current conditions, </w:t>
      </w:r>
      <w:r w:rsidR="00063E18">
        <w:t xml:space="preserve">it is perceived that </w:t>
      </w:r>
      <w:r w:rsidR="004970F7" w:rsidRPr="004970F7">
        <w:t xml:space="preserve">all mesoscale simulations </w:t>
      </w:r>
      <w:r w:rsidR="00063E18">
        <w:t xml:space="preserve">will </w:t>
      </w:r>
      <w:r w:rsidR="004970F7" w:rsidRPr="004970F7">
        <w:t xml:space="preserve">reproduce </w:t>
      </w:r>
      <w:r w:rsidR="007D5AC2">
        <w:t xml:space="preserve">little </w:t>
      </w:r>
      <w:r w:rsidR="004970F7" w:rsidRPr="004970F7">
        <w:t>clear skies with few cumulus clouds</w:t>
      </w:r>
      <w:r w:rsidR="001B7D95">
        <w:t xml:space="preserve"> (</w:t>
      </w:r>
      <w:r w:rsidR="005608E4">
        <w:t xml:space="preserve">examples: case B and B1 of </w:t>
      </w:r>
      <w:r w:rsidR="001B7D95">
        <w:t>Figures 5</w:t>
      </w:r>
      <w:proofErr w:type="gramStart"/>
      <w:r w:rsidR="005D7596">
        <w:t>c,d</w:t>
      </w:r>
      <w:proofErr w:type="gramEnd"/>
      <w:r w:rsidR="001B7D95">
        <w:t>)</w:t>
      </w:r>
      <w:r w:rsidR="004970F7" w:rsidRPr="004970F7">
        <w:t>.</w:t>
      </w:r>
      <w:r w:rsidR="004970F7">
        <w:t xml:space="preserve"> </w:t>
      </w:r>
      <w:r w:rsidR="006674E2" w:rsidRPr="006674E2">
        <w:t>We</w:t>
      </w:r>
      <w:r w:rsidR="006A6498">
        <w:t xml:space="preserve"> </w:t>
      </w:r>
      <w:r w:rsidR="006674E2" w:rsidRPr="006674E2">
        <w:t xml:space="preserve">note </w:t>
      </w:r>
      <w:r w:rsidR="00814086">
        <w:t xml:space="preserve">also </w:t>
      </w:r>
      <w:r w:rsidR="006674E2" w:rsidRPr="006674E2">
        <w:t xml:space="preserve">that </w:t>
      </w:r>
      <w:r w:rsidR="005D7596">
        <w:t xml:space="preserve">each of </w:t>
      </w:r>
      <w:r w:rsidR="0073436D">
        <w:rPr>
          <w:rFonts w:eastAsia="SimSun" w:hint="eastAsia"/>
          <w:lang w:eastAsia="zh-CN"/>
        </w:rPr>
        <w:t xml:space="preserve">the </w:t>
      </w:r>
      <w:proofErr w:type="gramStart"/>
      <w:r w:rsidR="006674E2" w:rsidRPr="006674E2">
        <w:t>scenario</w:t>
      </w:r>
      <w:r w:rsidR="00250087">
        <w:t>s</w:t>
      </w:r>
      <w:proofErr w:type="gramEnd"/>
      <w:r w:rsidR="007D5AC2">
        <w:t xml:space="preserve"> A, B, B1</w:t>
      </w:r>
      <w:r w:rsidR="006674E2" w:rsidRPr="006674E2">
        <w:t xml:space="preserve"> </w:t>
      </w:r>
      <w:r w:rsidR="005D7596">
        <w:t>capture the observation field of the</w:t>
      </w:r>
      <w:r w:rsidR="006674E2" w:rsidRPr="006674E2">
        <w:t xml:space="preserve"> </w:t>
      </w:r>
      <w:r w:rsidR="007D5AC2" w:rsidRPr="006674E2">
        <w:t>diurnal peak</w:t>
      </w:r>
      <w:r w:rsidR="006674E2" w:rsidRPr="006674E2">
        <w:t xml:space="preserve"> of the ABL</w:t>
      </w:r>
      <w:r w:rsidR="005D7596">
        <w:t>.</w:t>
      </w:r>
      <w:r w:rsidR="006674E2" w:rsidRPr="006674E2">
        <w:t xml:space="preserve"> </w:t>
      </w:r>
      <w:r w:rsidR="00063E18">
        <w:t xml:space="preserve">However, the model </w:t>
      </w:r>
      <w:r w:rsidR="00814086">
        <w:t>failed</w:t>
      </w:r>
      <w:r w:rsidR="00063E18">
        <w:t xml:space="preserve"> to reproduce clearly the ABL peak around 18:00 LST. </w:t>
      </w:r>
      <w:r w:rsidR="006674E2" w:rsidRPr="006674E2">
        <w:t xml:space="preserve">This is probably related to the PBL scheme, which cannot treat the surface heterogeneity well. </w:t>
      </w:r>
      <w:r w:rsidR="00722877" w:rsidRPr="002C7DEC">
        <w:t>In scenario</w:t>
      </w:r>
      <w:r w:rsidR="00854E89">
        <w:t>s</w:t>
      </w:r>
      <w:r w:rsidR="00722877" w:rsidRPr="002C7DEC">
        <w:t xml:space="preserve"> C </w:t>
      </w:r>
      <w:r w:rsidR="00854E89">
        <w:t xml:space="preserve">and D </w:t>
      </w:r>
      <w:r w:rsidR="00722877" w:rsidRPr="002C7DEC">
        <w:t>(Figures 3</w:t>
      </w:r>
      <w:proofErr w:type="gramStart"/>
      <w:r w:rsidR="00854E89">
        <w:t>d</w:t>
      </w:r>
      <w:r w:rsidR="00722877" w:rsidRPr="002C7DEC">
        <w:t>,</w:t>
      </w:r>
      <w:r w:rsidR="00854E89">
        <w:t>e</w:t>
      </w:r>
      <w:proofErr w:type="gramEnd"/>
      <w:r w:rsidR="00722877" w:rsidRPr="002C7DEC">
        <w:t xml:space="preserve">), the ABL peaks collapsed slightly compared to the CL31 measurements, but the simulated ABL has a similar trend </w:t>
      </w:r>
      <w:r w:rsidR="00250087">
        <w:t>to</w:t>
      </w:r>
      <w:r w:rsidR="00250087" w:rsidRPr="002C7DEC">
        <w:t xml:space="preserve"> </w:t>
      </w:r>
      <w:r w:rsidR="00722877" w:rsidRPr="002C7DEC">
        <w:t>CL31. The input from the mesoscale simulation forced LES from scenario C, which affected the simulated ABL structure.</w:t>
      </w:r>
      <w:r w:rsidR="0041722A">
        <w:t xml:space="preserve"> W</w:t>
      </w:r>
      <w:r w:rsidR="00722877" w:rsidRPr="002C7DEC">
        <w:t xml:space="preserve">e can </w:t>
      </w:r>
      <w:r w:rsidR="0041722A">
        <w:t xml:space="preserve">therefore </w:t>
      </w:r>
      <w:r w:rsidR="00722877" w:rsidRPr="002C7DEC">
        <w:t>consider that applying the one-way nest</w:t>
      </w:r>
      <w:r w:rsidR="006277A0">
        <w:t>ing</w:t>
      </w:r>
      <w:r w:rsidR="00722877" w:rsidRPr="002C7DEC">
        <w:t xml:space="preserve"> strategy could increase </w:t>
      </w:r>
      <w:r w:rsidR="00250087">
        <w:t xml:space="preserve">the </w:t>
      </w:r>
      <w:r w:rsidR="00722877" w:rsidRPr="002C7DEC">
        <w:t xml:space="preserve">noise in the ABL structure due to complex topography that is not resolved in </w:t>
      </w:r>
      <w:r w:rsidR="0084470B">
        <w:rPr>
          <w:rFonts w:eastAsia="SimSun" w:hint="eastAsia"/>
          <w:lang w:eastAsia="zh-CN"/>
        </w:rPr>
        <w:t xml:space="preserve">the </w:t>
      </w:r>
      <w:r w:rsidR="00722877" w:rsidRPr="002C7DEC">
        <w:t xml:space="preserve">scenario C. </w:t>
      </w:r>
      <w:r w:rsidR="0041722A">
        <w:t>Particularly, in</w:t>
      </w:r>
      <w:r w:rsidR="00722877" w:rsidRPr="002C7DEC">
        <w:t xml:space="preserve"> </w:t>
      </w:r>
      <w:r w:rsidR="0084470B">
        <w:rPr>
          <w:rFonts w:eastAsia="SimSun" w:hint="eastAsia"/>
          <w:lang w:eastAsia="zh-CN"/>
        </w:rPr>
        <w:t xml:space="preserve">the </w:t>
      </w:r>
      <w:r w:rsidR="00722877" w:rsidRPr="002C7DEC">
        <w:t xml:space="preserve">scenario D (Figure 3d), the boundary between the free and moist atmospheric layers followed the trend of the CL31 measurement. </w:t>
      </w:r>
      <w:r w:rsidR="00250087">
        <w:rPr>
          <w:rFonts w:eastAsia="SimSun"/>
          <w:lang w:eastAsia="zh-CN"/>
        </w:rPr>
        <w:t>S</w:t>
      </w:r>
      <w:r w:rsidR="0041722A">
        <w:t xml:space="preserve">cenario E presented a </w:t>
      </w:r>
      <w:r w:rsidR="00692766">
        <w:t>relatively shallow ABL</w:t>
      </w:r>
      <w:r w:rsidR="00CC0829">
        <w:t xml:space="preserve">.  </w:t>
      </w:r>
      <w:r w:rsidR="00CC0829" w:rsidRPr="00CC0829">
        <w:t>According to our hypothesis, it is likely that</w:t>
      </w:r>
      <w:r w:rsidR="0084470B">
        <w:rPr>
          <w:rFonts w:eastAsia="SimSun" w:hint="eastAsia"/>
          <w:lang w:eastAsia="zh-CN"/>
        </w:rPr>
        <w:t xml:space="preserve"> </w:t>
      </w:r>
      <w:r w:rsidR="00CC0829" w:rsidRPr="00CC0829">
        <w:t>scenario E will produce a cloudier sky.</w:t>
      </w:r>
      <w:r w:rsidR="00236F14">
        <w:t xml:space="preserve"> </w:t>
      </w:r>
      <w:r w:rsidR="00722877" w:rsidRPr="002C7DEC">
        <w:t>The ABL from each scenario, depending on its features, developed C</w:t>
      </w:r>
      <w:r w:rsidR="0084470B">
        <w:rPr>
          <w:rFonts w:eastAsia="SimSun" w:hint="eastAsia"/>
          <w:lang w:eastAsia="zh-CN"/>
        </w:rPr>
        <w:t>C</w:t>
      </w:r>
      <w:r w:rsidR="00722877" w:rsidRPr="002C7DEC">
        <w:t xml:space="preserve"> convection more or less </w:t>
      </w:r>
      <w:r>
        <w:t>consistent</w:t>
      </w:r>
      <w:r w:rsidR="00722877" w:rsidRPr="002C7DEC">
        <w:t xml:space="preserve"> </w:t>
      </w:r>
      <w:r w:rsidR="00250087">
        <w:t>with</w:t>
      </w:r>
      <w:r w:rsidR="00250087" w:rsidRPr="002C7DEC">
        <w:t xml:space="preserve"> </w:t>
      </w:r>
      <w:r>
        <w:t xml:space="preserve">the </w:t>
      </w:r>
      <w:r w:rsidR="00722877" w:rsidRPr="002C7DEC">
        <w:t>observ</w:t>
      </w:r>
      <w:r>
        <w:t>ed</w:t>
      </w:r>
      <w:r w:rsidR="00722877" w:rsidRPr="002C7DEC">
        <w:t xml:space="preserve">. To set this idea down, we </w:t>
      </w:r>
      <w:r w:rsidR="007A765C" w:rsidRPr="002C7DEC">
        <w:t xml:space="preserve">discuss </w:t>
      </w:r>
      <w:r w:rsidR="007A765C">
        <w:rPr>
          <w:rFonts w:eastAsia="SimSun"/>
          <w:lang w:eastAsia="zh-CN"/>
        </w:rPr>
        <w:t xml:space="preserve">the </w:t>
      </w:r>
      <w:r w:rsidR="00722877" w:rsidRPr="002C7DEC">
        <w:t xml:space="preserve">convection that occurred </w:t>
      </w:r>
      <w:r w:rsidR="00412687">
        <w:t>between</w:t>
      </w:r>
      <w:r w:rsidR="00722877" w:rsidRPr="002C7DEC">
        <w:t xml:space="preserve"> 16:00 </w:t>
      </w:r>
      <w:r w:rsidR="00412687">
        <w:t xml:space="preserve">and 20:00 </w:t>
      </w:r>
      <w:r w:rsidR="00722877" w:rsidRPr="002C7DEC">
        <w:t>LST</w:t>
      </w:r>
      <w:r w:rsidR="0084470B">
        <w:rPr>
          <w:rFonts w:eastAsia="SimSun" w:hint="eastAsia"/>
          <w:lang w:eastAsia="zh-CN"/>
        </w:rPr>
        <w:t xml:space="preserve"> </w:t>
      </w:r>
      <w:r w:rsidR="0084470B">
        <w:t xml:space="preserve">in </w:t>
      </w:r>
      <w:r w:rsidR="0084470B">
        <w:rPr>
          <w:rFonts w:eastAsia="SimSun" w:hint="eastAsia"/>
          <w:lang w:eastAsia="zh-CN"/>
        </w:rPr>
        <w:t xml:space="preserve">the </w:t>
      </w:r>
      <w:r w:rsidR="00CA549E">
        <w:rPr>
          <w:rFonts w:eastAsia="SimSun"/>
          <w:lang w:eastAsia="zh-CN"/>
        </w:rPr>
        <w:t xml:space="preserve">next </w:t>
      </w:r>
      <w:r w:rsidR="0084470B">
        <w:rPr>
          <w:rFonts w:eastAsia="SimSun" w:hint="eastAsia"/>
          <w:lang w:eastAsia="zh-CN"/>
        </w:rPr>
        <w:t>s</w:t>
      </w:r>
      <w:r w:rsidR="0084470B" w:rsidRPr="002C7DEC">
        <w:t>ubsection</w:t>
      </w:r>
      <w:r w:rsidR="006B289D">
        <w:t>s</w:t>
      </w:r>
      <w:r w:rsidR="00722877" w:rsidRPr="002C7DEC">
        <w:t>.</w:t>
      </w:r>
    </w:p>
    <w:p w14:paraId="4B739772" w14:textId="3929528A" w:rsidR="00772143" w:rsidRPr="002C7DEC" w:rsidRDefault="00772143" w:rsidP="008E31C7">
      <w:pPr>
        <w:pStyle w:val="Heading2"/>
        <w:numPr>
          <w:ilvl w:val="1"/>
          <w:numId w:val="27"/>
        </w:numPr>
        <w:ind w:left="450"/>
      </w:pPr>
      <w:r w:rsidRPr="002C7DEC">
        <w:t>Pattern Reflectivity and FY-2D Satellite Image</w:t>
      </w:r>
    </w:p>
    <w:p w14:paraId="262834B5" w14:textId="78A3FF26" w:rsidR="00772143" w:rsidRDefault="00772143" w:rsidP="006B289D">
      <w:pPr>
        <w:ind w:firstLine="540"/>
      </w:pPr>
      <w:r w:rsidRPr="002C7DEC">
        <w:t>We compared the simulated reflectivity (Figure</w:t>
      </w:r>
      <w:r w:rsidR="006B289D">
        <w:t>s</w:t>
      </w:r>
      <w:r w:rsidRPr="002C7DEC">
        <w:t xml:space="preserve"> 4</w:t>
      </w:r>
      <w:proofErr w:type="gramStart"/>
      <w:r w:rsidRPr="002C7DEC">
        <w:t>b,e</w:t>
      </w:r>
      <w:proofErr w:type="gramEnd"/>
      <w:r w:rsidRPr="002C7DEC">
        <w:t xml:space="preserve">) to the radar reflectivity from TIPEX-III performed over Naqu2 (Figure 4a). The maximum intensity of reflectivity in scenarios A </w:t>
      </w:r>
      <w:r w:rsidR="00A46804">
        <w:t xml:space="preserve">and B1 </w:t>
      </w:r>
      <w:r w:rsidRPr="002C7DEC">
        <w:t xml:space="preserve">was similar to the intensity (10 dBZ) of </w:t>
      </w:r>
      <w:r w:rsidR="00B3605B">
        <w:rPr>
          <w:rFonts w:eastAsia="SimSun" w:hint="eastAsia"/>
          <w:lang w:eastAsia="zh-CN"/>
        </w:rPr>
        <w:t xml:space="preserve">the </w:t>
      </w:r>
      <w:r w:rsidRPr="002C7DEC">
        <w:t xml:space="preserve">observed reflectivity, whereas in scenarios </w:t>
      </w:r>
      <w:r w:rsidR="00A46804">
        <w:t xml:space="preserve">B, </w:t>
      </w:r>
      <w:r w:rsidRPr="002C7DEC">
        <w:t>C</w:t>
      </w:r>
      <w:r w:rsidR="00A428CA">
        <w:t>,</w:t>
      </w:r>
      <w:r w:rsidRPr="002C7DEC">
        <w:t xml:space="preserve"> D</w:t>
      </w:r>
      <w:r w:rsidR="00A428CA">
        <w:t xml:space="preserve"> and E</w:t>
      </w:r>
      <w:r w:rsidRPr="002C7DEC">
        <w:t>, the model over</w:t>
      </w:r>
      <w:r w:rsidR="00A428CA">
        <w:t>predicted</w:t>
      </w:r>
      <w:r w:rsidRPr="002C7DEC">
        <w:t xml:space="preserve"> the intensity of </w:t>
      </w:r>
      <w:r w:rsidR="00B3605B">
        <w:rPr>
          <w:rFonts w:eastAsia="SimSun" w:hint="eastAsia"/>
          <w:lang w:eastAsia="zh-CN"/>
        </w:rPr>
        <w:t xml:space="preserve">the </w:t>
      </w:r>
      <w:r w:rsidRPr="002C7DEC">
        <w:t xml:space="preserve">observed reflectivity by 30 dBZ. We verified from the observation that very weak or almost no precipitation occurred over Naqu2 between 15:04 and 18:46 LST. </w:t>
      </w:r>
      <w:r w:rsidR="00412687">
        <w:t>By</w:t>
      </w:r>
      <w:r w:rsidRPr="002C7DEC">
        <w:t xml:space="preserve"> contrast, the model presented maximum reflectivity before 18:00 LST in all scenarios</w:t>
      </w:r>
      <w:r w:rsidR="00A428CA">
        <w:t xml:space="preserve"> except scenario C</w:t>
      </w:r>
      <w:r w:rsidRPr="002C7DEC">
        <w:t xml:space="preserve">. Comparing the numerical pattern reflectivity in each scenario to the </w:t>
      </w:r>
      <w:r w:rsidR="00412687" w:rsidRPr="002C7DEC">
        <w:t>observ</w:t>
      </w:r>
      <w:r w:rsidR="00565E45">
        <w:t>ed,</w:t>
      </w:r>
      <w:r w:rsidRPr="002C7DEC">
        <w:t xml:space="preserve"> the model anticipated the observed reflectivity over Naqu2 by at least three hours, which can be seen in the time series of surface variables shown earlier </w:t>
      </w:r>
      <w:r w:rsidR="00A428CA">
        <w:t xml:space="preserve">in </w:t>
      </w:r>
      <w:r w:rsidRPr="002C7DEC">
        <w:t xml:space="preserve">Figure 3. </w:t>
      </w:r>
      <w:r w:rsidR="00597E04">
        <w:t xml:space="preserve">The reflectivity in scenario C reflects the observed better than </w:t>
      </w:r>
      <w:r w:rsidR="00250087">
        <w:t xml:space="preserve">in </w:t>
      </w:r>
      <w:r w:rsidR="00597E04">
        <w:t xml:space="preserve">other scenarios. </w:t>
      </w:r>
      <w:r w:rsidRPr="002C7DEC">
        <w:t xml:space="preserve">The </w:t>
      </w:r>
      <w:r w:rsidR="00BF690C">
        <w:t>reflectivity</w:t>
      </w:r>
      <w:r w:rsidRPr="002C7DEC">
        <w:t xml:space="preserve"> in scenario</w:t>
      </w:r>
      <w:r w:rsidR="005412F7">
        <w:t>s</w:t>
      </w:r>
      <w:r w:rsidRPr="002C7DEC">
        <w:t xml:space="preserve"> D </w:t>
      </w:r>
      <w:r w:rsidR="005412F7">
        <w:t xml:space="preserve">and E </w:t>
      </w:r>
      <w:r w:rsidRPr="002C7DEC">
        <w:t>(Figure</w:t>
      </w:r>
      <w:r w:rsidR="005412F7">
        <w:t>s</w:t>
      </w:r>
      <w:r w:rsidRPr="002C7DEC">
        <w:t xml:space="preserve"> 4</w:t>
      </w:r>
      <w:proofErr w:type="gramStart"/>
      <w:r w:rsidR="005412F7">
        <w:t>f,</w:t>
      </w:r>
      <w:r w:rsidRPr="002C7DEC">
        <w:t>g</w:t>
      </w:r>
      <w:proofErr w:type="gramEnd"/>
      <w:r w:rsidRPr="002C7DEC">
        <w:t>) reached a height above that observed in scenario C (Figure 4d)</w:t>
      </w:r>
      <w:r w:rsidR="005412F7">
        <w:t xml:space="preserve"> with similar intensity</w:t>
      </w:r>
      <w:r w:rsidRPr="002C7DEC">
        <w:t xml:space="preserve">. </w:t>
      </w:r>
      <w:r w:rsidR="005412F7" w:rsidRPr="005412F7">
        <w:t xml:space="preserve">But the </w:t>
      </w:r>
      <w:r w:rsidR="009E2E1D">
        <w:t xml:space="preserve">maximum </w:t>
      </w:r>
      <w:r w:rsidR="005412F7" w:rsidRPr="005412F7">
        <w:t xml:space="preserve">precipitation </w:t>
      </w:r>
      <w:r w:rsidR="006D7E10">
        <w:t>(</w:t>
      </w:r>
      <w:r w:rsidR="009E2E1D">
        <w:t xml:space="preserve">the orange shaded </w:t>
      </w:r>
      <w:r w:rsidR="006D7E10">
        <w:t xml:space="preserve">reflectivity) </w:t>
      </w:r>
      <w:r w:rsidR="005412F7" w:rsidRPr="005412F7">
        <w:t xml:space="preserve">observed </w:t>
      </w:r>
      <w:r w:rsidR="009E2E1D">
        <w:t xml:space="preserve">from TIPE-III </w:t>
      </w:r>
      <w:r w:rsidR="00755011">
        <w:t xml:space="preserve">(Figure 4a) </w:t>
      </w:r>
      <w:r w:rsidR="005412F7" w:rsidRPr="005412F7">
        <w:t>around 19:00 LST at the Naqu site was rather predicted just after 16:00 LST.</w:t>
      </w:r>
      <w:r w:rsidR="00BF690C">
        <w:t xml:space="preserve"> </w:t>
      </w:r>
      <w:r w:rsidR="00633EF9">
        <w:t>T</w:t>
      </w:r>
      <w:r w:rsidR="00BF25E1" w:rsidRPr="00BF25E1">
        <w:t>he little improvement</w:t>
      </w:r>
      <w:r w:rsidR="00C7772A">
        <w:t xml:space="preserve"> relative to the prediction time of </w:t>
      </w:r>
      <w:r w:rsidR="009E2E1D">
        <w:t>the precipitation intensity in scenario C</w:t>
      </w:r>
      <w:r w:rsidR="00BF25E1" w:rsidRPr="00BF25E1">
        <w:t xml:space="preserve"> may be </w:t>
      </w:r>
      <w:r w:rsidR="00755011">
        <w:t>related</w:t>
      </w:r>
      <w:r w:rsidR="00BF25E1" w:rsidRPr="00BF25E1">
        <w:t xml:space="preserve"> to the combination of the one-way nest</w:t>
      </w:r>
      <w:r w:rsidR="006277A0">
        <w:t>ing</w:t>
      </w:r>
      <w:r w:rsidR="00BF25E1" w:rsidRPr="00BF25E1">
        <w:t xml:space="preserve"> and observation nudging strategies.</w:t>
      </w:r>
      <w:r w:rsidR="00BF25E1">
        <w:t xml:space="preserve"> </w:t>
      </w:r>
      <w:r w:rsidR="00BF690C">
        <w:t xml:space="preserve">Note </w:t>
      </w:r>
      <w:r w:rsidR="00BF690C" w:rsidRPr="002C7DEC">
        <w:t>that</w:t>
      </w:r>
      <w:r w:rsidRPr="002C7DEC">
        <w:t xml:space="preserve"> scenario</w:t>
      </w:r>
      <w:r w:rsidR="00BF690C">
        <w:t>s</w:t>
      </w:r>
      <w:r w:rsidRPr="002C7DEC">
        <w:t xml:space="preserve"> D </w:t>
      </w:r>
      <w:r w:rsidR="00BF690C">
        <w:t xml:space="preserve">and E </w:t>
      </w:r>
      <w:r w:rsidRPr="002C7DEC">
        <w:t>ha</w:t>
      </w:r>
      <w:r w:rsidR="00BF690C">
        <w:t>ve</w:t>
      </w:r>
      <w:r w:rsidRPr="002C7DEC">
        <w:t xml:space="preserve"> no</w:t>
      </w:r>
      <w:r w:rsidR="00BF690C">
        <w:t>t</w:t>
      </w:r>
      <w:r w:rsidRPr="002C7DEC">
        <w:t xml:space="preserve"> </w:t>
      </w:r>
      <w:r w:rsidR="00241DF3">
        <w:t>applied a one-way nest</w:t>
      </w:r>
      <w:r w:rsidR="006277A0">
        <w:t>ing</w:t>
      </w:r>
      <w:r w:rsidR="00241DF3">
        <w:t xml:space="preserve"> strategy</w:t>
      </w:r>
      <w:r w:rsidR="006D7E10">
        <w:t>.</w:t>
      </w:r>
      <w:r w:rsidRPr="002C7DEC">
        <w:t xml:space="preserve"> </w:t>
      </w:r>
      <w:r w:rsidR="009079C4">
        <w:t>On the other hand, t</w:t>
      </w:r>
      <w:r w:rsidRPr="002C7DEC">
        <w:t>he earlier evaluation result showed that scenarios C</w:t>
      </w:r>
      <w:r w:rsidR="006D7E10">
        <w:t>,</w:t>
      </w:r>
      <w:r w:rsidRPr="002C7DEC">
        <w:t xml:space="preserve"> D</w:t>
      </w:r>
      <w:r w:rsidR="006D7E10">
        <w:t xml:space="preserve"> and E</w:t>
      </w:r>
      <w:r w:rsidRPr="002C7DEC">
        <w:t xml:space="preserve"> </w:t>
      </w:r>
      <w:r w:rsidR="00241DF3" w:rsidRPr="002C7DEC">
        <w:t>overp</w:t>
      </w:r>
      <w:r w:rsidR="00241DF3">
        <w:t>redicted</w:t>
      </w:r>
      <w:r w:rsidRPr="002C7DEC">
        <w:t xml:space="preserve"> the surface wind speed and hence </w:t>
      </w:r>
      <w:r w:rsidR="00B3605B">
        <w:rPr>
          <w:rFonts w:eastAsia="SimSun" w:hint="eastAsia"/>
          <w:lang w:eastAsia="zh-CN"/>
        </w:rPr>
        <w:t xml:space="preserve">the </w:t>
      </w:r>
      <w:r w:rsidRPr="002C7DEC">
        <w:t>latent heat flux</w:t>
      </w:r>
      <w:r w:rsidR="007B230F">
        <w:t xml:space="preserve"> and</w:t>
      </w:r>
      <w:r w:rsidR="00472622">
        <w:t xml:space="preserve"> </w:t>
      </w:r>
      <w:r w:rsidR="007B230F">
        <w:t>intense precipitation</w:t>
      </w:r>
      <w:r w:rsidRPr="002C7DEC">
        <w:t xml:space="preserve">. Wind speed depends on </w:t>
      </w:r>
      <w:r w:rsidR="00B3605B">
        <w:rPr>
          <w:rFonts w:eastAsia="SimSun" w:hint="eastAsia"/>
          <w:lang w:eastAsia="zh-CN"/>
        </w:rPr>
        <w:t xml:space="preserve">the </w:t>
      </w:r>
      <w:r w:rsidRPr="002C7DEC">
        <w:t xml:space="preserve">large-scale pressure gradient force and </w:t>
      </w:r>
      <w:r w:rsidR="00B3605B">
        <w:rPr>
          <w:rFonts w:eastAsia="SimSun" w:hint="eastAsia"/>
          <w:lang w:eastAsia="zh-CN"/>
        </w:rPr>
        <w:t xml:space="preserve">the </w:t>
      </w:r>
      <w:r w:rsidRPr="002C7DEC">
        <w:t xml:space="preserve">local geography. </w:t>
      </w:r>
      <w:r w:rsidR="00472622">
        <w:t>In addition, a</w:t>
      </w:r>
      <w:r w:rsidRPr="002C7DEC">
        <w:t xml:space="preserve">s </w:t>
      </w:r>
      <w:r w:rsidR="00472622">
        <w:t xml:space="preserve">the </w:t>
      </w:r>
      <w:r w:rsidRPr="002C7DEC">
        <w:t>wind speed is modulated by</w:t>
      </w:r>
      <w:r w:rsidR="00B3605B">
        <w:rPr>
          <w:rFonts w:eastAsia="SimSun" w:hint="eastAsia"/>
          <w:lang w:eastAsia="zh-CN"/>
        </w:rPr>
        <w:t xml:space="preserve"> the</w:t>
      </w:r>
      <w:r w:rsidRPr="002C7DEC">
        <w:t xml:space="preserve"> large-scale forcing, it is obvious that scenario</w:t>
      </w:r>
      <w:r w:rsidR="0058130C">
        <w:t>s</w:t>
      </w:r>
      <w:r w:rsidRPr="002C7DEC">
        <w:t xml:space="preserve"> D </w:t>
      </w:r>
      <w:r w:rsidR="0058130C">
        <w:t xml:space="preserve">and E </w:t>
      </w:r>
      <w:r w:rsidRPr="002C7DEC">
        <w:t xml:space="preserve">presented different results from </w:t>
      </w:r>
      <w:r w:rsidR="00755011">
        <w:rPr>
          <w:rFonts w:eastAsia="SimSun"/>
          <w:lang w:eastAsia="zh-CN"/>
        </w:rPr>
        <w:t>scenario C</w:t>
      </w:r>
      <w:r w:rsidRPr="002C7DEC">
        <w:t xml:space="preserve"> </w:t>
      </w:r>
      <w:r w:rsidRPr="002C7DEC">
        <w:lastRenderedPageBreak/>
        <w:t xml:space="preserve">because </w:t>
      </w:r>
      <w:r w:rsidR="00472622">
        <w:t>they</w:t>
      </w:r>
      <w:r w:rsidRPr="002C7DEC">
        <w:t xml:space="preserve"> performed</w:t>
      </w:r>
      <w:r w:rsidR="00B3605B">
        <w:rPr>
          <w:rFonts w:eastAsia="SimSun" w:hint="eastAsia"/>
          <w:lang w:eastAsia="zh-CN"/>
        </w:rPr>
        <w:t xml:space="preserve"> </w:t>
      </w:r>
      <w:r w:rsidRPr="002C7DEC">
        <w:t xml:space="preserve">LES without </w:t>
      </w:r>
      <w:r w:rsidR="00250087">
        <w:t xml:space="preserve">a </w:t>
      </w:r>
      <w:r w:rsidR="0058130C">
        <w:t>one-way nest</w:t>
      </w:r>
      <w:r w:rsidR="006277A0">
        <w:t>ing</w:t>
      </w:r>
      <w:r w:rsidR="0058130C">
        <w:t xml:space="preserve"> strategy</w:t>
      </w:r>
      <w:r w:rsidR="001B400C">
        <w:t>.</w:t>
      </w:r>
      <w:r w:rsidR="00BF25E1">
        <w:t xml:space="preserve"> </w:t>
      </w:r>
      <w:r w:rsidR="00633EF9">
        <w:t xml:space="preserve">Furthermore, </w:t>
      </w:r>
      <w:r w:rsidR="00755011">
        <w:t xml:space="preserve">the difference between scenario D and E is because </w:t>
      </w:r>
      <w:r w:rsidR="00633EF9">
        <w:t>scenario E has not used observation nudging strategy.</w:t>
      </w:r>
      <w:r w:rsidR="00FF4EE0">
        <w:t xml:space="preserve"> </w:t>
      </w:r>
    </w:p>
    <w:p w14:paraId="43CD2C1F" w14:textId="4D09952E" w:rsidR="001B400C" w:rsidRDefault="001B400C" w:rsidP="001B400C">
      <w:pPr>
        <w:jc w:val="center"/>
      </w:pPr>
      <w:r>
        <w:rPr>
          <w:noProof/>
          <w:lang w:eastAsia="zh-CN" w:bidi="ar-SA"/>
        </w:rPr>
        <w:drawing>
          <wp:inline distT="0" distB="0" distL="0" distR="0" wp14:anchorId="75A60B90" wp14:editId="7E168D11">
            <wp:extent cx="5159117" cy="4866198"/>
            <wp:effectExtent l="0" t="0" r="3810" b="0"/>
            <wp:docPr id="5" name="Picture 31">
              <a:extLst xmlns:a="http://schemas.openxmlformats.org/drawingml/2006/main">
                <a:ext uri="{FF2B5EF4-FFF2-40B4-BE49-F238E27FC236}">
                  <a16:creationId xmlns:a16="http://schemas.microsoft.com/office/drawing/2014/main" id="{D8945313-44B6-45AE-904D-3E170ECE71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1">
                      <a:extLst>
                        <a:ext uri="{FF2B5EF4-FFF2-40B4-BE49-F238E27FC236}">
                          <a16:creationId xmlns:a16="http://schemas.microsoft.com/office/drawing/2014/main" id="{D8945313-44B6-45AE-904D-3E170ECE71B3}"/>
                        </a:ext>
                      </a:extLst>
                    </pic:cNvPr>
                    <pic:cNvPicPr>
                      <a:picLocks noChangeAspect="1"/>
                    </pic:cNvPicPr>
                  </pic:nvPicPr>
                  <pic:blipFill>
                    <a:blip r:embed="rId26"/>
                    <a:stretch>
                      <a:fillRect/>
                    </a:stretch>
                  </pic:blipFill>
                  <pic:spPr>
                    <a:xfrm>
                      <a:off x="0" y="0"/>
                      <a:ext cx="5185226" cy="4890825"/>
                    </a:xfrm>
                    <a:prstGeom prst="rect">
                      <a:avLst/>
                    </a:prstGeom>
                  </pic:spPr>
                </pic:pic>
              </a:graphicData>
            </a:graphic>
          </wp:inline>
        </w:drawing>
      </w:r>
    </w:p>
    <w:p w14:paraId="7681060C" w14:textId="1E22E86C" w:rsidR="003A3408" w:rsidRPr="00B12372" w:rsidRDefault="003A3408" w:rsidP="003A3408">
      <w:r w:rsidRPr="00B12372">
        <w:rPr>
          <w:b/>
          <w:bCs/>
        </w:rPr>
        <w:t xml:space="preserve">Figure </w:t>
      </w:r>
      <w:r w:rsidR="006D3F12" w:rsidRPr="00B12372">
        <w:rPr>
          <w:b/>
          <w:bCs/>
        </w:rPr>
        <w:fldChar w:fldCharType="begin"/>
      </w:r>
      <w:r w:rsidR="006D3F12" w:rsidRPr="00B12372">
        <w:rPr>
          <w:b/>
          <w:bCs/>
        </w:rPr>
        <w:instrText xml:space="preserve"> SEQ Figure \* ARABIC </w:instrText>
      </w:r>
      <w:r w:rsidR="006D3F12" w:rsidRPr="00B12372">
        <w:rPr>
          <w:b/>
          <w:bCs/>
        </w:rPr>
        <w:fldChar w:fldCharType="separate"/>
      </w:r>
      <w:r w:rsidR="002F33A7" w:rsidRPr="00B12372">
        <w:rPr>
          <w:b/>
          <w:bCs/>
          <w:noProof/>
        </w:rPr>
        <w:t>4</w:t>
      </w:r>
      <w:r w:rsidR="006D3F12" w:rsidRPr="00B12372">
        <w:rPr>
          <w:b/>
          <w:bCs/>
          <w:noProof/>
        </w:rPr>
        <w:fldChar w:fldCharType="end"/>
      </w:r>
      <w:r w:rsidRPr="00B12372">
        <w:t xml:space="preserve">: Vertical cross-section of pattern reflectivity on day 3 of simulation period: (a) </w:t>
      </w:r>
      <w:r w:rsidR="00B3605B" w:rsidRPr="00B12372">
        <w:rPr>
          <w:rFonts w:eastAsia="SimSun" w:hint="eastAsia"/>
          <w:lang w:eastAsia="zh-CN"/>
        </w:rPr>
        <w:t xml:space="preserve">the </w:t>
      </w:r>
      <w:r w:rsidRPr="00B12372">
        <w:t xml:space="preserve">observed radar reflectivity from TIPEX-III between 18:45 and 20:00 LST on July 19, 2014; (b–e) simulated reflectivity. </w:t>
      </w:r>
      <w:bookmarkStart w:id="64" w:name="_Hlk70184785"/>
      <w:r w:rsidRPr="00B12372">
        <w:t>Cases A, B and B1 from</w:t>
      </w:r>
      <m:oMath>
        <m:r>
          <w:rPr>
            <w:rFonts w:ascii="Cambria Math" w:hAnsi="Cambria Math"/>
          </w:rPr>
          <m:t xml:space="preserve"> </m:t>
        </m:r>
        <m:sSub>
          <m:sSubPr>
            <m:ctrlPr>
              <w:rPr>
                <w:rFonts w:ascii="Cambria Math" w:hAnsi="Cambria Math"/>
                <w:i/>
              </w:rPr>
            </m:ctrlPr>
          </m:sSubPr>
          <m:e>
            <m:r>
              <w:rPr>
                <w:rFonts w:ascii="Cambria Math" w:hAnsi="Cambria Math"/>
              </w:rPr>
              <m:t>D0</m:t>
            </m:r>
          </m:e>
          <m:sub>
            <m:r>
              <w:rPr>
                <w:rFonts w:ascii="Cambria Math" w:hAnsi="Cambria Math"/>
              </w:rPr>
              <m:t>i=3</m:t>
            </m:r>
          </m:sub>
        </m:sSub>
        <m:r>
          <w:rPr>
            <w:rFonts w:ascii="Cambria Math" w:hAnsi="Cambria Math"/>
          </w:rPr>
          <m:t>=D03</m:t>
        </m:r>
      </m:oMath>
      <w:r w:rsidRPr="00B12372">
        <w:t xml:space="preserve">, C, D and E from </w:t>
      </w:r>
      <m:oMath>
        <m:sSub>
          <m:sSubPr>
            <m:ctrlPr>
              <w:rPr>
                <w:rFonts w:ascii="Cambria Math" w:hAnsi="Cambria Math"/>
                <w:i/>
              </w:rPr>
            </m:ctrlPr>
          </m:sSubPr>
          <m:e>
            <m:r>
              <w:rPr>
                <w:rFonts w:ascii="Cambria Math" w:hAnsi="Cambria Math"/>
              </w:rPr>
              <m:t>D0</m:t>
            </m:r>
          </m:e>
          <m:sub>
            <m:r>
              <w:rPr>
                <w:rFonts w:ascii="Cambria Math" w:hAnsi="Cambria Math"/>
              </w:rPr>
              <m:t>i=5</m:t>
            </m:r>
          </m:sub>
        </m:sSub>
        <m:r>
          <w:rPr>
            <w:rFonts w:ascii="Cambria Math" w:hAnsi="Cambria Math"/>
          </w:rPr>
          <m:t>=D</m:t>
        </m:r>
        <w:bookmarkEnd w:id="64"/>
        <m:r>
          <w:rPr>
            <w:rFonts w:ascii="Cambria Math" w:hAnsi="Cambria Math"/>
          </w:rPr>
          <m:t>05</m:t>
        </m:r>
      </m:oMath>
      <w:r w:rsidRPr="00B12372">
        <w:t xml:space="preserve"> represent scenarios in Table</w:t>
      </w:r>
      <w:r w:rsidR="00752874" w:rsidRPr="00B12372">
        <w:t xml:space="preserve"> 4</w:t>
      </w:r>
      <w:r w:rsidRPr="00B12372">
        <w:t>.</w:t>
      </w:r>
    </w:p>
    <w:p w14:paraId="0FD981C8" w14:textId="69A55C66" w:rsidR="00574EDF" w:rsidRPr="002C7DEC" w:rsidRDefault="00B3605B" w:rsidP="008E31C7">
      <w:pPr>
        <w:pStyle w:val="Heading2"/>
        <w:numPr>
          <w:ilvl w:val="1"/>
          <w:numId w:val="27"/>
        </w:numPr>
        <w:ind w:left="450"/>
      </w:pPr>
      <w:r>
        <w:rPr>
          <w:rFonts w:eastAsia="SimSun" w:hint="eastAsia"/>
          <w:lang w:eastAsia="zh-CN"/>
        </w:rPr>
        <w:t xml:space="preserve">The </w:t>
      </w:r>
      <w:r w:rsidR="00574EDF" w:rsidRPr="002C7DEC">
        <w:t>Meso</w:t>
      </w:r>
      <w:r w:rsidR="00135910">
        <w:t>-</w:t>
      </w:r>
      <w:r w:rsidR="00574EDF" w:rsidRPr="002C7DEC">
        <w:t xml:space="preserve"> and Micro-scales Liquid Water Content and </w:t>
      </w:r>
      <w:r>
        <w:rPr>
          <w:rFonts w:eastAsia="SimSun" w:hint="eastAsia"/>
          <w:lang w:eastAsia="zh-CN"/>
        </w:rPr>
        <w:t xml:space="preserve">The </w:t>
      </w:r>
      <w:r w:rsidR="00574EDF" w:rsidRPr="002C7DEC">
        <w:t>Vertical Wind Shear</w:t>
      </w:r>
    </w:p>
    <w:p w14:paraId="2CF3BF0F" w14:textId="0DEB5C65" w:rsidR="008C2037" w:rsidRDefault="00574EDF" w:rsidP="008B5A44">
      <w:pPr>
        <w:ind w:firstLine="540"/>
      </w:pPr>
      <w:r w:rsidRPr="002C7DEC">
        <w:t>We investigated the types of C</w:t>
      </w:r>
      <w:r w:rsidR="00F83D87">
        <w:rPr>
          <w:rFonts w:eastAsia="SimSun" w:hint="eastAsia"/>
          <w:lang w:eastAsia="zh-CN"/>
        </w:rPr>
        <w:t>C</w:t>
      </w:r>
      <w:r w:rsidRPr="002C7DEC">
        <w:t xml:space="preserve">s and the effect of </w:t>
      </w:r>
      <w:r w:rsidR="00F83D87">
        <w:rPr>
          <w:rFonts w:eastAsia="SimSun" w:hint="eastAsia"/>
          <w:lang w:eastAsia="zh-CN"/>
        </w:rPr>
        <w:t xml:space="preserve">the </w:t>
      </w:r>
      <w:r w:rsidRPr="002C7DEC">
        <w:t xml:space="preserve">vertical wind shear on their development in each scenario, based on the amount of </w:t>
      </w:r>
      <w:r w:rsidR="00F83D87">
        <w:rPr>
          <w:rFonts w:eastAsia="SimSun" w:hint="eastAsia"/>
          <w:lang w:eastAsia="zh-CN"/>
        </w:rPr>
        <w:t xml:space="preserve">the </w:t>
      </w:r>
      <w:r w:rsidRPr="002C7DEC">
        <w:t xml:space="preserve">liquid water content (LWC). </w:t>
      </w:r>
      <w:r w:rsidR="00250087">
        <w:rPr>
          <w:rFonts w:eastAsia="SimSun"/>
          <w:lang w:eastAsia="zh-CN"/>
        </w:rPr>
        <w:t>V</w:t>
      </w:r>
      <w:r w:rsidRPr="002C7DEC">
        <w:t>ertical wind shear is a factor that determines the origin of clouds forming over a given region, while the amount of LWC in the atmosphere determines what types of clouds form. We illustrate</w:t>
      </w:r>
      <w:r w:rsidR="00F83D87">
        <w:rPr>
          <w:rFonts w:eastAsia="SimSun" w:hint="eastAsia"/>
          <w:lang w:eastAsia="zh-CN"/>
        </w:rPr>
        <w:t>d</w:t>
      </w:r>
      <w:r w:rsidRPr="002C7DEC">
        <w:t xml:space="preserve"> the LWC in Figure </w:t>
      </w:r>
      <w:r w:rsidR="00051452">
        <w:t>5</w:t>
      </w:r>
      <w:r w:rsidRPr="002C7DEC">
        <w:t xml:space="preserve"> at 200, 300 and 400 hPa levels, respectively, each overlapped with the vertical wind shear. Note that Fengyun's satellite images </w:t>
      </w:r>
      <w:r w:rsidR="008B5A44">
        <w:t>(</w:t>
      </w:r>
      <w:r w:rsidR="00640BBA">
        <w:t>Figures 5</w:t>
      </w:r>
      <w:proofErr w:type="gramStart"/>
      <w:r w:rsidR="00640BBA">
        <w:t>a,b</w:t>
      </w:r>
      <w:proofErr w:type="gramEnd"/>
      <w:r w:rsidR="008B5A44">
        <w:t xml:space="preserve">) </w:t>
      </w:r>
      <w:r w:rsidRPr="002C7DEC">
        <w:t>are plane</w:t>
      </w:r>
      <w:r w:rsidR="00250087">
        <w:t xml:space="preserve"> </w:t>
      </w:r>
      <w:r w:rsidRPr="002C7DEC">
        <w:t xml:space="preserve">projections including </w:t>
      </w:r>
      <w:r w:rsidR="008B5A44">
        <w:t>clouds from t</w:t>
      </w:r>
      <w:r w:rsidRPr="002C7DEC">
        <w:t>he low</w:t>
      </w:r>
      <w:r w:rsidR="00250087">
        <w:t xml:space="preserve"> </w:t>
      </w:r>
      <w:r w:rsidRPr="002C7DEC">
        <w:t xml:space="preserve">level to the tropopause. </w:t>
      </w:r>
      <w:r w:rsidR="008B5A44">
        <w:t>T</w:t>
      </w:r>
      <w:r w:rsidR="0022650E" w:rsidRPr="0022650E">
        <w:t xml:space="preserve">he </w:t>
      </w:r>
      <w:r w:rsidR="008B5A44">
        <w:t xml:space="preserve">white parts of </w:t>
      </w:r>
      <w:r w:rsidR="0022650E" w:rsidRPr="0022650E">
        <w:t>Fengyun’s satellite images represent</w:t>
      </w:r>
      <w:r w:rsidR="0022650E">
        <w:t xml:space="preserve"> the</w:t>
      </w:r>
      <w:r w:rsidR="0022650E" w:rsidRPr="0022650E">
        <w:t xml:space="preserve"> CCs. The dark part</w:t>
      </w:r>
      <w:r w:rsidR="00960DEC">
        <w:t>s</w:t>
      </w:r>
      <w:r w:rsidR="0022650E" w:rsidRPr="0022650E">
        <w:t xml:space="preserve"> of the images </w:t>
      </w:r>
      <w:r w:rsidR="008B5A44">
        <w:t>re</w:t>
      </w:r>
      <w:r w:rsidR="00F97220" w:rsidRPr="0022650E">
        <w:t>present</w:t>
      </w:r>
      <w:r w:rsidR="0022650E" w:rsidRPr="0022650E">
        <w:t xml:space="preserve"> no clouds</w:t>
      </w:r>
      <w:r w:rsidRPr="002C7DEC">
        <w:t xml:space="preserve">. We depict LWC and wind shear at 16:48 </w:t>
      </w:r>
      <w:r w:rsidRPr="002C7DEC">
        <w:lastRenderedPageBreak/>
        <w:t>LST. This analysis emphasizes C</w:t>
      </w:r>
      <w:r w:rsidR="00F83D87">
        <w:rPr>
          <w:rFonts w:eastAsia="SimSun" w:hint="eastAsia"/>
          <w:lang w:eastAsia="zh-CN"/>
        </w:rPr>
        <w:t>C</w:t>
      </w:r>
      <w:r w:rsidRPr="002C7DEC">
        <w:t xml:space="preserve"> and cumulonimbus clouds</w:t>
      </w:r>
      <w:r w:rsidR="004359B7">
        <w:t xml:space="preserve"> development</w:t>
      </w:r>
      <w:r w:rsidRPr="002C7DEC">
        <w:t xml:space="preserve">. A study by </w:t>
      </w:r>
      <w:r w:rsidRPr="002C7DEC">
        <w:fldChar w:fldCharType="begin"/>
      </w:r>
      <w:r w:rsidR="00EC3304">
        <w:instrText xml:space="preserve"> ADDIN ZOTERO_ITEM CSL_CITATION {"citationID":"a236qjk5u5d","properties":{"formattedCitation":"(Hess et al., 1998)","plainCitation":"(Hess et al., 1998)","dontUpdate":true,"noteIndex":0},"citationItems":[{"id":111,"uris":["http://zotero.org/users/7904379/items/3C4E7NB7"],"itemData":{"id":111,"type":"article-journal","abstract":"&lt;section class=\"abstract\"&gt;&lt;p&gt;The software package OPAC (Optical Properties of Aerosols and Clouds) is described. It easily provides optical properties in the solar and terrestrial spectral range of atmospheric particulate matter. Microphysical and optical properties of six water clouds, three ice clouds, and 10 aerosol components, which are considered as typical cases, are stored as ASCII files. The optical properties are the extinction, scattering, and absorption coefficients, the single scattering albedo, the asymmetry parameter, and the phase function. They are calculated on the basis of the microphysical data (size distribution and spectral refractive index) under the assumption of spherical particles in case of aerosols and cloud droplets and assuming hexagonal columns in case of cirrus clouds. Data are given for up to 61 wavelengths between 0.25 and 40 &lt;em&gt;μ&lt;/em&gt;m and up to eight values of the relative humidity. The software package also allows calculation of derived optical properties like mass extinction coefficients and Ångström coefficients.&lt;/p&gt;&lt;p&gt;Real aerosol in the atmosphere always is a mixture of different components. Thus, in OPAC it is made possible to get optical properties of any mixtures of the basic components and to calculate optical depths on the base of exponential aerosol height profiles. Typical mixtures of aerosol components as well as typical height profiles are proposed as default values, but mixtures and profiles for the description of individual cases may also be achieved simply.&lt;/p&gt;&lt;/section&gt;","container-title":"Bulletin of the American Meteorological Society","DOI":"10.1175/1520-0477(1998)079&lt;0831:OPOAAC&gt;2.0.CO;2","ISSN":"0003-0007, 1520-0477","issue":"5","language":"en","note":"publisher: American Meteorological Society\nsection: Bulletin of the American Meteorological Society","page":"831-844","source":"journals.ametsoc.org","title":"Optical Properties of Aerosols and Clouds: The Software Package OPAC","title-short":"Optical Properties of Aerosols and Clouds","URL":"https://journals.ametsoc.org/view/journals/bams/79/5/1520-0477_1998_079_0831_opoaac_2_0_co_2.xml","volume":"79","author":[{"family":"Hess","given":"M."},{"family":"Koepke","given":"P."},{"family":"Schult","given":"I."}],"accessed":{"date-parts":[["2021",3,26]]},"issued":{"date-parts":[["1998",5,1]]}}}],"schema":"https://github.com/citation-style-language/schema/raw/master/csl-citation.json"} </w:instrText>
      </w:r>
      <w:r w:rsidRPr="002C7DEC">
        <w:fldChar w:fldCharType="separate"/>
      </w:r>
      <w:r w:rsidR="00A44B66" w:rsidRPr="00A44B66">
        <w:t xml:space="preserve">Hess et al., </w:t>
      </w:r>
      <w:r w:rsidR="004C506E">
        <w:t>(</w:t>
      </w:r>
      <w:r w:rsidR="00A44B66" w:rsidRPr="00A44B66">
        <w:t>1998)</w:t>
      </w:r>
      <w:r w:rsidRPr="002C7DEC">
        <w:fldChar w:fldCharType="end"/>
      </w:r>
      <w:r w:rsidRPr="002C7DEC">
        <w:t xml:space="preserve"> classified the types of clouds associated with the amount of LWC over land and recommended 0.25 g/m</w:t>
      </w:r>
      <w:r w:rsidRPr="002C7DEC">
        <w:rPr>
          <w:vertAlign w:val="superscript"/>
        </w:rPr>
        <w:t>3</w:t>
      </w:r>
      <w:r w:rsidRPr="002C7DEC">
        <w:t xml:space="preserve"> </w:t>
      </w:r>
      <m:oMath>
        <m:r>
          <w:rPr>
            <w:rFonts w:ascii="Cambria Math" w:hAnsi="Cambria Math"/>
          </w:rPr>
          <m:t>≤</m:t>
        </m:r>
      </m:oMath>
      <w:r w:rsidRPr="002C7DEC">
        <w:t xml:space="preserve"> LWC </w:t>
      </w:r>
      <m:oMath>
        <m:r>
          <w:rPr>
            <w:rFonts w:ascii="Cambria Math" w:hAnsi="Cambria Math"/>
          </w:rPr>
          <m:t xml:space="preserve">≤ </m:t>
        </m:r>
      </m:oMath>
      <w:r w:rsidRPr="002C7DEC">
        <w:t>0.3 g/m</w:t>
      </w:r>
      <w:r w:rsidRPr="002C7DEC">
        <w:rPr>
          <w:vertAlign w:val="superscript"/>
        </w:rPr>
        <w:t>3</w:t>
      </w:r>
      <w:r w:rsidRPr="002C7DEC">
        <w:t xml:space="preserve"> for C</w:t>
      </w:r>
      <w:r w:rsidR="00F83D87">
        <w:rPr>
          <w:rFonts w:eastAsia="SimSun" w:hint="eastAsia"/>
          <w:lang w:eastAsia="zh-CN"/>
        </w:rPr>
        <w:t>C</w:t>
      </w:r>
      <w:r w:rsidRPr="002C7DEC">
        <w:t xml:space="preserve"> and stratocumulus clouds, and 1 g/m</w:t>
      </w:r>
      <w:r w:rsidRPr="002C7DEC">
        <w:rPr>
          <w:vertAlign w:val="superscript"/>
        </w:rPr>
        <w:t>3</w:t>
      </w:r>
      <w:r w:rsidRPr="002C7DEC">
        <w:t xml:space="preserve"> </w:t>
      </w:r>
      <m:oMath>
        <m:r>
          <w:rPr>
            <w:rFonts w:ascii="Cambria Math" w:hAnsi="Cambria Math"/>
          </w:rPr>
          <m:t>≤</m:t>
        </m:r>
      </m:oMath>
      <w:r w:rsidRPr="002C7DEC">
        <w:t xml:space="preserve"> LWC </w:t>
      </w:r>
      <m:oMath>
        <m:r>
          <w:rPr>
            <w:rFonts w:ascii="Cambria Math" w:hAnsi="Cambria Math"/>
          </w:rPr>
          <m:t>≤</m:t>
        </m:r>
      </m:oMath>
      <w:r w:rsidRPr="002C7DEC">
        <w:t xml:space="preserve"> 3 </w:t>
      </w:r>
      <w:bookmarkStart w:id="65" w:name="_Hlk62742923"/>
      <w:r w:rsidRPr="002C7DEC">
        <w:t>g/m</w:t>
      </w:r>
      <w:r w:rsidRPr="002C7DEC">
        <w:rPr>
          <w:vertAlign w:val="superscript"/>
        </w:rPr>
        <w:t>3</w:t>
      </w:r>
      <w:bookmarkEnd w:id="65"/>
      <w:r w:rsidRPr="002C7DEC">
        <w:t xml:space="preserve"> for cumulonimbus.</w:t>
      </w:r>
      <w:r w:rsidR="00CD5CBC">
        <w:t xml:space="preserve"> </w:t>
      </w:r>
      <w:r w:rsidR="00403BFE" w:rsidRPr="00403BFE">
        <w:t>Scenarios A and E were useless in this analysis due to their uncertainty with the observed</w:t>
      </w:r>
      <w:r w:rsidR="00C022A6">
        <w:t xml:space="preserve"> clouds</w:t>
      </w:r>
      <w:r w:rsidR="00403BFE" w:rsidRPr="00403BFE">
        <w:t>. Moreover, these scenarios were not the target scenarios so far</w:t>
      </w:r>
      <w:r w:rsidR="00CD5CBC" w:rsidRPr="00CD5CBC">
        <w:t>.</w:t>
      </w:r>
    </w:p>
    <w:p w14:paraId="15426289" w14:textId="57FBBB48" w:rsidR="00415F1B" w:rsidRDefault="004A3016" w:rsidP="00415F1B">
      <w:pPr>
        <w:ind w:firstLine="540"/>
      </w:pPr>
      <w:r>
        <w:t xml:space="preserve">In </w:t>
      </w:r>
      <w:r w:rsidR="00415F1B">
        <w:t>scenario</w:t>
      </w:r>
      <w:r w:rsidR="00250087">
        <w:t>,</w:t>
      </w:r>
      <w:r w:rsidR="00415F1B">
        <w:t xml:space="preserve"> B, </w:t>
      </w:r>
      <w:r w:rsidR="00415F1B" w:rsidRPr="002C7DEC">
        <w:t xml:space="preserve">Figures </w:t>
      </w:r>
      <w:r w:rsidR="00415F1B">
        <w:t>5</w:t>
      </w:r>
      <w:proofErr w:type="gramStart"/>
      <w:r w:rsidR="00415F1B" w:rsidRPr="002C7DEC">
        <w:t>c,d</w:t>
      </w:r>
      <w:proofErr w:type="gramEnd"/>
      <w:r w:rsidR="00415F1B" w:rsidRPr="002C7DEC">
        <w:t xml:space="preserve"> shows a spatial distribution of LWC similar to that of the cloud distribution in </w:t>
      </w:r>
      <w:r w:rsidR="00415F1B">
        <w:t xml:space="preserve">Fengyun’s </w:t>
      </w:r>
      <w:r w:rsidR="00415F1B" w:rsidRPr="002C7DEC">
        <w:t xml:space="preserve">satellite image (Figure </w:t>
      </w:r>
      <w:r w:rsidR="00415F1B">
        <w:t>5</w:t>
      </w:r>
      <w:r w:rsidR="00415F1B" w:rsidRPr="002C7DEC">
        <w:t xml:space="preserve">a). However, compared to the satellite image, </w:t>
      </w:r>
      <w:r w:rsidR="00AE3900">
        <w:t>s</w:t>
      </w:r>
      <w:r w:rsidR="00415F1B" w:rsidRPr="003852EF">
        <w:t>cenario B shows scattered small CCs and some Cumulonimbus with LWC ≥ 1</w:t>
      </w:r>
      <w:r w:rsidR="00415F1B">
        <w:t xml:space="preserve"> </w:t>
      </w:r>
      <w:r w:rsidR="00415F1B" w:rsidRPr="003852EF">
        <w:t>g/m</w:t>
      </w:r>
      <w:r w:rsidR="00415F1B" w:rsidRPr="00627AE4">
        <w:rPr>
          <w:vertAlign w:val="superscript"/>
        </w:rPr>
        <w:t>3</w:t>
      </w:r>
      <w:r w:rsidR="00415F1B" w:rsidRPr="003852EF">
        <w:t xml:space="preserve"> from the mid-level (Figure 5d) to the upper level (Figure 5e) at the northwest and southeast flanks, respectively. </w:t>
      </w:r>
      <w:r w:rsidR="00250087">
        <w:t>S</w:t>
      </w:r>
      <w:r w:rsidR="00415F1B" w:rsidRPr="003852EF">
        <w:t>cenario B also presents a strong vertical wind shear.</w:t>
      </w:r>
      <w:r w:rsidR="00415F1B">
        <w:t xml:space="preserve"> As we can see in Figure 5</w:t>
      </w:r>
      <w:r>
        <w:t>c</w:t>
      </w:r>
      <w:r w:rsidR="00415F1B">
        <w:t>, t</w:t>
      </w:r>
      <w:r w:rsidR="00415F1B" w:rsidRPr="002C7DEC">
        <w:t xml:space="preserve">here </w:t>
      </w:r>
      <w:r w:rsidR="00415F1B">
        <w:rPr>
          <w:rFonts w:eastAsia="SimSun" w:hint="eastAsia"/>
          <w:lang w:eastAsia="zh-CN"/>
        </w:rPr>
        <w:t>is</w:t>
      </w:r>
      <w:r w:rsidR="00415F1B" w:rsidRPr="002C7DEC">
        <w:t xml:space="preserve"> a southwesterly low-level jet (LLJ) at 400hPa. The LLJ is a monsoonal wind that provides moist air favorable for cloud formation</w:t>
      </w:r>
      <w:r w:rsidR="00415F1B">
        <w:t xml:space="preserve">. The southeasterly wind dominates the middle-level (300 hPa). The upper-level (200 hPa) is dominated by the easterly wind with strong horizontal wind shear. </w:t>
      </w:r>
      <w:r w:rsidR="006B614B" w:rsidRPr="006B614B">
        <w:t>We can also see at 200 hPa level that the southeast wind is abruptly deflected west by the northeast wind</w:t>
      </w:r>
      <w:r w:rsidR="00415F1B">
        <w:t>.</w:t>
      </w:r>
    </w:p>
    <w:p w14:paraId="6E4683D6" w14:textId="62C9F365" w:rsidR="00415F1B" w:rsidRDefault="00250087" w:rsidP="00415F1B">
      <w:pPr>
        <w:ind w:firstLine="540"/>
      </w:pPr>
      <w:r>
        <w:t>S</w:t>
      </w:r>
      <w:r w:rsidR="00415F1B" w:rsidRPr="002C7DEC">
        <w:t>cenario B1 presents an intense mesoscale convective system at the 400</w:t>
      </w:r>
      <w:r w:rsidR="00415F1B">
        <w:t xml:space="preserve"> </w:t>
      </w:r>
      <w:r w:rsidR="00415F1B" w:rsidRPr="002C7DEC">
        <w:t xml:space="preserve">hPa level (Figure </w:t>
      </w:r>
      <w:r w:rsidR="00415F1B">
        <w:t>5</w:t>
      </w:r>
      <w:r w:rsidR="00415F1B" w:rsidRPr="002C7DEC">
        <w:t xml:space="preserve">c), but subsidence dominates </w:t>
      </w:r>
      <w:r w:rsidR="006B614B">
        <w:t>at 300 hPa levels</w:t>
      </w:r>
      <w:r w:rsidR="00415F1B" w:rsidRPr="002C7DEC">
        <w:t xml:space="preserve">. In the mesoscale convective system, Figure </w:t>
      </w:r>
      <w:r w:rsidR="00415F1B">
        <w:t>5</w:t>
      </w:r>
      <w:r w:rsidR="00415F1B" w:rsidRPr="002C7DEC">
        <w:t xml:space="preserve">c of </w:t>
      </w:r>
      <w:r w:rsidR="00415F1B">
        <w:t>scenario</w:t>
      </w:r>
      <w:r w:rsidR="00415F1B" w:rsidRPr="002C7DEC">
        <w:t xml:space="preserve"> B1 shows favorable conditions (LWC &gt; 1 g/m</w:t>
      </w:r>
      <w:r w:rsidR="00415F1B" w:rsidRPr="002C7DEC">
        <w:rPr>
          <w:vertAlign w:val="superscript"/>
        </w:rPr>
        <w:t>3</w:t>
      </w:r>
      <w:r w:rsidR="00415F1B" w:rsidRPr="002C7DEC">
        <w:t xml:space="preserve">) for cumulonimbus clouds. However, the subsidence limits the cumulonimbus to expand vertically due to </w:t>
      </w:r>
      <w:r w:rsidR="00415F1B">
        <w:rPr>
          <w:rFonts w:eastAsia="SimSun" w:hint="eastAsia"/>
          <w:lang w:eastAsia="zh-CN"/>
        </w:rPr>
        <w:t>a</w:t>
      </w:r>
      <w:r w:rsidR="00415F1B" w:rsidRPr="002C7DEC">
        <w:t xml:space="preserve"> strong </w:t>
      </w:r>
      <w:r w:rsidR="00415F1B">
        <w:rPr>
          <w:rFonts w:eastAsia="SimSun" w:hint="eastAsia"/>
          <w:lang w:eastAsia="zh-CN"/>
        </w:rPr>
        <w:t>northwesterly upper-level jet (</w:t>
      </w:r>
      <w:r w:rsidR="00415F1B" w:rsidRPr="002C7DEC">
        <w:t>ULJ</w:t>
      </w:r>
      <w:r w:rsidR="00415F1B">
        <w:rPr>
          <w:rFonts w:eastAsia="SimSun" w:hint="eastAsia"/>
          <w:lang w:eastAsia="zh-CN"/>
        </w:rPr>
        <w:t>)</w:t>
      </w:r>
      <w:r w:rsidR="00415F1B" w:rsidRPr="002C7DEC">
        <w:t xml:space="preserve">. </w:t>
      </w:r>
      <w:r w:rsidR="00415F1B" w:rsidRPr="008A1CDA">
        <w:t xml:space="preserve">In this sense, </w:t>
      </w:r>
      <w:r w:rsidR="00415F1B">
        <w:rPr>
          <w:rFonts w:eastAsia="SimSun" w:hint="eastAsia"/>
          <w:lang w:eastAsia="zh-CN"/>
        </w:rPr>
        <w:t xml:space="preserve">the </w:t>
      </w:r>
      <w:r>
        <w:t>large-</w:t>
      </w:r>
      <w:r w:rsidR="00415F1B">
        <w:t>scale forcing played an important role in</w:t>
      </w:r>
      <w:r w:rsidR="00415F1B" w:rsidRPr="008A1CDA">
        <w:t xml:space="preserve"> cumulus </w:t>
      </w:r>
      <w:r w:rsidR="00415F1B">
        <w:t xml:space="preserve">development on July 19, 2014. </w:t>
      </w:r>
      <w:r w:rsidR="00415F1B" w:rsidRPr="00743FB0">
        <w:t xml:space="preserve">Indeed, in scenario B1, we have emphasized external forcing by increasing the number of model levels in the ABL, but the results are not consistent with </w:t>
      </w:r>
      <w:r w:rsidR="00415F1B">
        <w:rPr>
          <w:rFonts w:eastAsia="SimSun" w:hint="eastAsia"/>
          <w:lang w:eastAsia="zh-CN"/>
        </w:rPr>
        <w:t xml:space="preserve">the </w:t>
      </w:r>
      <w:r w:rsidR="00415F1B" w:rsidRPr="00743FB0">
        <w:t>observation.</w:t>
      </w:r>
    </w:p>
    <w:p w14:paraId="4BC4BC97" w14:textId="6B0096B6" w:rsidR="00415F1B" w:rsidRDefault="00415F1B" w:rsidP="00415F1B">
      <w:pPr>
        <w:tabs>
          <w:tab w:val="left" w:pos="8910"/>
        </w:tabs>
        <w:ind w:firstLine="540"/>
      </w:pPr>
      <w:r>
        <w:rPr>
          <w:rFonts w:eastAsia="SimSun"/>
          <w:lang w:eastAsia="zh-CN"/>
        </w:rPr>
        <w:t>T</w:t>
      </w:r>
      <w:r>
        <w:rPr>
          <w:rFonts w:eastAsia="SimSun" w:hint="eastAsia"/>
          <w:lang w:eastAsia="zh-CN"/>
        </w:rPr>
        <w:t>he s</w:t>
      </w:r>
      <w:r w:rsidRPr="002C7DEC">
        <w:t xml:space="preserve">cenario C </w:t>
      </w:r>
      <w:r>
        <w:t>presents the results of LES with one-way nest</w:t>
      </w:r>
      <w:r w:rsidR="006277A0">
        <w:t>ing</w:t>
      </w:r>
      <w:r>
        <w:t xml:space="preserve"> from </w:t>
      </w:r>
      <w:bookmarkStart w:id="66" w:name="_Hlk102297971"/>
      <m:oMath>
        <m:sSub>
          <m:sSubPr>
            <m:ctrlPr>
              <w:rPr>
                <w:rFonts w:ascii="Cambria Math" w:hAnsi="Cambria Math"/>
                <w:i/>
              </w:rPr>
            </m:ctrlPr>
          </m:sSubPr>
          <m:e>
            <m:r>
              <w:rPr>
                <w:rFonts w:ascii="Cambria Math" w:hAnsi="Cambria Math"/>
              </w:rPr>
              <m:t>D0</m:t>
            </m:r>
          </m:e>
          <m:sub>
            <m:r>
              <w:rPr>
                <w:rFonts w:ascii="Cambria Math" w:hAnsi="Cambria Math"/>
              </w:rPr>
              <m:t>i=4</m:t>
            </m:r>
          </m:sub>
        </m:sSub>
      </m:oMath>
      <w:bookmarkEnd w:id="66"/>
      <w:r>
        <w:t>. This scenario</w:t>
      </w:r>
      <w:r w:rsidRPr="002C7DEC">
        <w:t xml:space="preserve"> has developed </w:t>
      </w:r>
      <w:r>
        <w:t>c</w:t>
      </w:r>
      <w:r w:rsidRPr="002C7DEC">
        <w:t xml:space="preserve">umulonimbus with LWC </w:t>
      </w:r>
      <m:oMath>
        <m:r>
          <w:rPr>
            <w:rFonts w:ascii="Cambria Math" w:hAnsi="Cambria Math"/>
          </w:rPr>
          <m:t xml:space="preserve">≥ </m:t>
        </m:r>
      </m:oMath>
      <w:r w:rsidRPr="002C7DEC">
        <w:t>1 g/m</w:t>
      </w:r>
      <w:r w:rsidRPr="002C7DEC">
        <w:rPr>
          <w:vertAlign w:val="superscript"/>
        </w:rPr>
        <w:t>3</w:t>
      </w:r>
      <w:r>
        <w:t xml:space="preserve"> and has </w:t>
      </w:r>
      <w:r w:rsidR="00250087">
        <w:t xml:space="preserve">a </w:t>
      </w:r>
      <w:r>
        <w:t xml:space="preserve">spatial distribution of </w:t>
      </w:r>
      <w:r w:rsidR="00B332E6">
        <w:t xml:space="preserve">the </w:t>
      </w:r>
      <w:r>
        <w:t xml:space="preserve">LWC (Figure 5e) similar to the observed clouds (Figure 5a). </w:t>
      </w:r>
      <w:r w:rsidRPr="007A6CFE">
        <w:t xml:space="preserve">Noted that this scenario presented the ABL water </w:t>
      </w:r>
      <w:r w:rsidR="00F677EB">
        <w:t>vapor</w:t>
      </w:r>
      <w:r w:rsidRPr="007A6CFE">
        <w:t xml:space="preserve"> relatively consistent with the observation.</w:t>
      </w:r>
      <w:r>
        <w:t xml:space="preserve"> </w:t>
      </w:r>
      <w:r w:rsidR="00250087">
        <w:t>S</w:t>
      </w:r>
      <w:r w:rsidRPr="00FF789A">
        <w:t xml:space="preserve">cenario C predicted </w:t>
      </w:r>
      <w:r>
        <w:t>low and upper-level</w:t>
      </w:r>
      <w:r w:rsidRPr="00FF789A">
        <w:t xml:space="preserve"> wind</w:t>
      </w:r>
      <w:r>
        <w:t xml:space="preserve"> differently </w:t>
      </w:r>
      <w:r w:rsidR="00250087">
        <w:t xml:space="preserve">from </w:t>
      </w:r>
      <w:r>
        <w:t>scenario B</w:t>
      </w:r>
      <w:r w:rsidRPr="00FF789A">
        <w:t>.</w:t>
      </w:r>
      <w:r>
        <w:t xml:space="preserve"> </w:t>
      </w:r>
      <w:r w:rsidR="00250087">
        <w:t>T</w:t>
      </w:r>
      <w:r w:rsidRPr="002C7DEC">
        <w:t xml:space="preserve">here is </w:t>
      </w:r>
      <w:r>
        <w:t xml:space="preserve">southeasterly wind </w:t>
      </w:r>
      <w:r w:rsidRPr="002C7DEC">
        <w:t>at 400</w:t>
      </w:r>
      <w:r>
        <w:t xml:space="preserve"> </w:t>
      </w:r>
      <w:r w:rsidRPr="002C7DEC">
        <w:t xml:space="preserve">hPa </w:t>
      </w:r>
      <w:r>
        <w:t xml:space="preserve">level </w:t>
      </w:r>
      <w:r w:rsidRPr="002C7DEC">
        <w:t xml:space="preserve">(Figure </w:t>
      </w:r>
      <w:r>
        <w:t>5</w:t>
      </w:r>
      <w:r w:rsidRPr="002C7DEC">
        <w:t>c)</w:t>
      </w:r>
      <w:r>
        <w:t>,</w:t>
      </w:r>
      <w:r w:rsidRPr="002C7DEC">
        <w:t xml:space="preserve"> easterly </w:t>
      </w:r>
      <w:r>
        <w:t>wind</w:t>
      </w:r>
      <w:r w:rsidRPr="002C7DEC">
        <w:t xml:space="preserve"> </w:t>
      </w:r>
      <w:r>
        <w:t xml:space="preserve">at 300 hPa level </w:t>
      </w:r>
      <w:r w:rsidRPr="002C7DEC">
        <w:t xml:space="preserve">(Figure </w:t>
      </w:r>
      <w:r>
        <w:t>5d</w:t>
      </w:r>
      <w:r w:rsidRPr="002C7DEC">
        <w:t>)</w:t>
      </w:r>
      <w:r w:rsidR="00250087">
        <w:t>,</w:t>
      </w:r>
      <w:r>
        <w:t xml:space="preserve"> and northeasterly wind that predominate</w:t>
      </w:r>
      <w:r w:rsidR="00250087">
        <w:t>s</w:t>
      </w:r>
      <w:r>
        <w:t xml:space="preserve"> </w:t>
      </w:r>
      <w:r w:rsidR="00250087">
        <w:t xml:space="preserve">at </w:t>
      </w:r>
      <w:r>
        <w:t>the 200 hPa level</w:t>
      </w:r>
      <w:r w:rsidRPr="002C7DEC">
        <w:t xml:space="preserve">. </w:t>
      </w:r>
      <w:r>
        <w:t xml:space="preserve">This study assumes that the wind field in scenario C from 200 to 400 hPa levels is </w:t>
      </w:r>
      <w:r w:rsidR="00250087">
        <w:t xml:space="preserve">more </w:t>
      </w:r>
      <w:r>
        <w:t xml:space="preserve">consistent with </w:t>
      </w:r>
      <w:r w:rsidR="00250087">
        <w:t xml:space="preserve">the </w:t>
      </w:r>
      <w:r>
        <w:t xml:space="preserve">observed than </w:t>
      </w:r>
      <w:r w:rsidR="00250087">
        <w:t xml:space="preserve">in </w:t>
      </w:r>
      <w:r>
        <w:t>scenario B because scenario C presented better clouds pattern than scenario B. Thus, the biased surface wind from scenario C</w:t>
      </w:r>
      <w:r w:rsidR="0059454C">
        <w:t xml:space="preserve"> discussed in section 3.1)</w:t>
      </w:r>
      <w:r>
        <w:t xml:space="preserve"> did not influence the sp</w:t>
      </w:r>
      <w:r w:rsidR="00BF6CBC">
        <w:t>at</w:t>
      </w:r>
      <w:r>
        <w:t>ial distribution of the LWC</w:t>
      </w:r>
      <w:r w:rsidRPr="005036A6">
        <w:t>.</w:t>
      </w:r>
      <w:r w:rsidRPr="002A193E">
        <w:t xml:space="preserve"> Thi</w:t>
      </w:r>
      <w:r>
        <w:t>s is true</w:t>
      </w:r>
      <w:r w:rsidRPr="002A193E">
        <w:t xml:space="preserve"> </w:t>
      </w:r>
      <w:r>
        <w:t>when referring to</w:t>
      </w:r>
      <w:r w:rsidRPr="002A193E">
        <w:t xml:space="preserve"> the results from scenario B1</w:t>
      </w:r>
      <w:r w:rsidR="00F5378C">
        <w:t xml:space="preserve">, meaning that the internal forcing dominated the CC development on July 19, 2014 at </w:t>
      </w:r>
      <w:r w:rsidR="00250087">
        <w:t xml:space="preserve">the </w:t>
      </w:r>
      <w:r w:rsidR="00F5378C">
        <w:t>Naqu site</w:t>
      </w:r>
      <w:r>
        <w:t>.</w:t>
      </w:r>
    </w:p>
    <w:p w14:paraId="5FA7A51A" w14:textId="77777777" w:rsidR="00415F1B" w:rsidRDefault="00415F1B" w:rsidP="00415F1B">
      <w:pPr>
        <w:ind w:firstLine="540"/>
      </w:pPr>
    </w:p>
    <w:p w14:paraId="625F456F" w14:textId="77777777" w:rsidR="00415F1B" w:rsidRPr="002C7DEC" w:rsidRDefault="00415F1B" w:rsidP="00415F1B">
      <w:pPr>
        <w:ind w:firstLine="540"/>
      </w:pPr>
    </w:p>
    <w:p w14:paraId="51068113" w14:textId="77777777" w:rsidR="00415F1B" w:rsidRDefault="00415F1B" w:rsidP="00D85BF9"/>
    <w:p w14:paraId="265499C5" w14:textId="1060B991" w:rsidR="00574EDF" w:rsidRDefault="00A47B29" w:rsidP="008C2037">
      <w:pPr>
        <w:jc w:val="center"/>
      </w:pPr>
      <w:r>
        <w:rPr>
          <w:noProof/>
          <w:lang w:eastAsia="zh-CN" w:bidi="ar-SA"/>
        </w:rPr>
        <w:lastRenderedPageBreak/>
        <w:drawing>
          <wp:inline distT="0" distB="0" distL="0" distR="0" wp14:anchorId="69BBB894" wp14:editId="77EFD0C2">
            <wp:extent cx="5718810" cy="7362825"/>
            <wp:effectExtent l="0" t="0" r="0" b="9525"/>
            <wp:docPr id="4" name="Picture 3">
              <a:extLst xmlns:a="http://schemas.openxmlformats.org/drawingml/2006/main">
                <a:ext uri="{FF2B5EF4-FFF2-40B4-BE49-F238E27FC236}">
                  <a16:creationId xmlns:a16="http://schemas.microsoft.com/office/drawing/2014/main" id="{ACBA63E8-E71A-E392-D742-EF2FA21CD8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CBA63E8-E71A-E392-D742-EF2FA21CD8FD}"/>
                        </a:ext>
                      </a:extLst>
                    </pic:cNvPr>
                    <pic:cNvPicPr>
                      <a:picLocks noChangeAspect="1"/>
                    </pic:cNvPicPr>
                  </pic:nvPicPr>
                  <pic:blipFill>
                    <a:blip r:embed="rId27"/>
                    <a:stretch>
                      <a:fillRect/>
                    </a:stretch>
                  </pic:blipFill>
                  <pic:spPr>
                    <a:xfrm>
                      <a:off x="0" y="0"/>
                      <a:ext cx="5731360" cy="7378983"/>
                    </a:xfrm>
                    <a:prstGeom prst="rect">
                      <a:avLst/>
                    </a:prstGeom>
                  </pic:spPr>
                </pic:pic>
              </a:graphicData>
            </a:graphic>
          </wp:inline>
        </w:drawing>
      </w:r>
    </w:p>
    <w:p w14:paraId="1B72BB60" w14:textId="6D79D4E7" w:rsidR="006D257D" w:rsidRPr="00B12372" w:rsidRDefault="002F33A7" w:rsidP="002F33A7">
      <w:pPr>
        <w:pStyle w:val="Caption"/>
        <w:rPr>
          <w:i w:val="0"/>
          <w:iCs w:val="0"/>
          <w:color w:val="auto"/>
          <w:sz w:val="24"/>
          <w:szCs w:val="24"/>
        </w:rPr>
      </w:pPr>
      <w:r w:rsidRPr="00B12372">
        <w:rPr>
          <w:b/>
          <w:bCs/>
          <w:i w:val="0"/>
          <w:iCs w:val="0"/>
          <w:color w:val="auto"/>
          <w:sz w:val="24"/>
          <w:szCs w:val="24"/>
        </w:rPr>
        <w:t xml:space="preserve">Figure </w:t>
      </w:r>
      <w:r w:rsidRPr="00B12372">
        <w:rPr>
          <w:b/>
          <w:bCs/>
          <w:i w:val="0"/>
          <w:iCs w:val="0"/>
          <w:color w:val="auto"/>
          <w:sz w:val="24"/>
          <w:szCs w:val="24"/>
        </w:rPr>
        <w:fldChar w:fldCharType="begin"/>
      </w:r>
      <w:r w:rsidRPr="00B12372">
        <w:rPr>
          <w:b/>
          <w:bCs/>
          <w:i w:val="0"/>
          <w:iCs w:val="0"/>
          <w:color w:val="auto"/>
          <w:sz w:val="24"/>
          <w:szCs w:val="24"/>
        </w:rPr>
        <w:instrText xml:space="preserve"> SEQ Figure \* ARABIC </w:instrText>
      </w:r>
      <w:r w:rsidRPr="00B12372">
        <w:rPr>
          <w:b/>
          <w:bCs/>
          <w:i w:val="0"/>
          <w:iCs w:val="0"/>
          <w:color w:val="auto"/>
          <w:sz w:val="24"/>
          <w:szCs w:val="24"/>
        </w:rPr>
        <w:fldChar w:fldCharType="separate"/>
      </w:r>
      <w:r w:rsidRPr="00B12372">
        <w:rPr>
          <w:b/>
          <w:bCs/>
          <w:i w:val="0"/>
          <w:iCs w:val="0"/>
          <w:noProof/>
          <w:color w:val="auto"/>
          <w:sz w:val="24"/>
          <w:szCs w:val="24"/>
        </w:rPr>
        <w:t>5</w:t>
      </w:r>
      <w:r w:rsidRPr="00B12372">
        <w:rPr>
          <w:b/>
          <w:bCs/>
          <w:i w:val="0"/>
          <w:iCs w:val="0"/>
          <w:color w:val="auto"/>
          <w:sz w:val="24"/>
          <w:szCs w:val="24"/>
        </w:rPr>
        <w:fldChar w:fldCharType="end"/>
      </w:r>
      <w:r w:rsidRPr="00B12372">
        <w:rPr>
          <w:i w:val="0"/>
          <w:iCs w:val="0"/>
          <w:color w:val="auto"/>
          <w:sz w:val="24"/>
          <w:szCs w:val="24"/>
        </w:rPr>
        <w:t xml:space="preserve">: </w:t>
      </w:r>
      <w:r w:rsidR="006D257D" w:rsidRPr="00B12372">
        <w:rPr>
          <w:i w:val="0"/>
          <w:iCs w:val="0"/>
          <w:color w:val="auto"/>
          <w:sz w:val="24"/>
          <w:szCs w:val="24"/>
        </w:rPr>
        <w:t>Liquid water content (LWC) and vertical wind shear at 16:48 local standard time (LST); vector field stands for wind direction and shaded represents LWC (g/m</w:t>
      </w:r>
      <w:r w:rsidR="006D257D" w:rsidRPr="00B12372">
        <w:rPr>
          <w:i w:val="0"/>
          <w:iCs w:val="0"/>
          <w:color w:val="auto"/>
          <w:sz w:val="24"/>
          <w:szCs w:val="24"/>
          <w:vertAlign w:val="superscript"/>
        </w:rPr>
        <w:t>3</w:t>
      </w:r>
      <w:r w:rsidR="006D257D" w:rsidRPr="00B12372">
        <w:rPr>
          <w:i w:val="0"/>
          <w:iCs w:val="0"/>
          <w:color w:val="auto"/>
          <w:sz w:val="24"/>
          <w:szCs w:val="24"/>
        </w:rPr>
        <w:t xml:space="preserve">). </w:t>
      </w:r>
      <w:bookmarkStart w:id="67" w:name="_Hlk61446297"/>
      <w:r w:rsidR="006D257D" w:rsidRPr="00B12372">
        <w:rPr>
          <w:i w:val="0"/>
          <w:iCs w:val="0"/>
          <w:color w:val="auto"/>
          <w:sz w:val="24"/>
          <w:szCs w:val="24"/>
        </w:rPr>
        <w:t xml:space="preserve">Classification clouds types associated with the amount of LWC can be found in </w:t>
      </w:r>
      <w:r w:rsidR="006D257D" w:rsidRPr="00B12372">
        <w:rPr>
          <w:i w:val="0"/>
          <w:iCs w:val="0"/>
          <w:color w:val="auto"/>
          <w:sz w:val="24"/>
          <w:szCs w:val="24"/>
        </w:rPr>
        <w:fldChar w:fldCharType="begin"/>
      </w:r>
      <w:r w:rsidR="00A44B66" w:rsidRPr="00B12372">
        <w:rPr>
          <w:i w:val="0"/>
          <w:iCs w:val="0"/>
          <w:color w:val="auto"/>
          <w:sz w:val="24"/>
          <w:szCs w:val="24"/>
        </w:rPr>
        <w:instrText xml:space="preserve"> ADDIN ZOTERO_ITEM CSL_CITATION {"citationID":"a2o2on18pi8","properties":{"formattedCitation":"(Hess et al., 1998)","plainCitation":"(Hess et al., 1998)","noteIndex":0},"citationItems":[{"id":111,"uris":["http://zotero.org/users/7904379/items/3C4E7NB7"],"itemData":{"id":111,"type":"article-journal","abstract":"&lt;section class=\"abstract\"&gt;&lt;p&gt;The software package OPAC (Optical Properties of Aerosols and Clouds) is described. It easily provides optical properties in the solar and terrestrial spectral range of atmospheric particulate matter. Microphysical and optical properties of six water clouds, three ice clouds, and 10 aerosol components, which are considered as typical cases, are stored as ASCII files. The optical properties are the extinction, scattering, and absorption coefficients, the single scattering albedo, the asymmetry parameter, and the phase function. They are calculated on the basis of the microphysical data (size distribution and spectral refractive index) under the assumption of spherical particles in case of aerosols and cloud droplets and assuming hexagonal columns in case of cirrus clouds. Data are given for up to 61 wavelengths between 0.25 and 40 &lt;em&gt;μ&lt;/em&gt;m and up to eight values of the relative humidity. The software package also allows calculation of derived optical properties like mass extinction coefficients and Ångström coefficients.&lt;/p&gt;&lt;p&gt;Real aerosol in the atmosphere always is a mixture of different components. Thus, in OPAC it is made possible to get optical properties of any mixtures of the basic components and to calculate optical depths on the base of exponential aerosol height profiles. Typical mixtures of aerosol components as well as typical height profiles are proposed as default values, but mixtures and profiles for the description of individual cases may also be achieved simply.&lt;/p&gt;&lt;/section&gt;","container-title":"Bulletin of the American Meteorological Society","DOI":"10.1175/1520-0477(1998)079&lt;0831:OPOAAC&gt;2.0.CO;2","ISSN":"0003-0007, 1520-0477","issue":"5","language":"en","note":"publisher: American Meteorological Society\nsection: Bulletin of the American Meteorological Society","page":"831-844","source":"journals.ametsoc.org","title":"Optical Properties of Aerosols and Clouds: The Software Package OPAC","title-short":"Optical Properties of Aerosols and Clouds","URL":"https://journals.ametsoc.org/view/journals/bams/79/5/1520-0477_1998_079_0831_opoaac_2_0_co_2.xml","volume":"79","author":[{"family":"Hess","given":"M."},{"family":"Koepke","given":"P."},{"family":"Schult","given":"I."}],"accessed":{"date-parts":[["2021",3,26]]},"issued":{"date-parts":[["1998",5,1]]}}}],"schema":"https://github.com/citation-style-language/schema/raw/master/csl-citation.json"} </w:instrText>
      </w:r>
      <w:r w:rsidR="006D257D" w:rsidRPr="00B12372">
        <w:rPr>
          <w:i w:val="0"/>
          <w:iCs w:val="0"/>
          <w:color w:val="auto"/>
          <w:sz w:val="24"/>
          <w:szCs w:val="24"/>
        </w:rPr>
        <w:fldChar w:fldCharType="separate"/>
      </w:r>
      <w:r w:rsidR="00A44B66" w:rsidRPr="00B12372">
        <w:rPr>
          <w:i w:val="0"/>
          <w:iCs w:val="0"/>
          <w:color w:val="auto"/>
          <w:sz w:val="24"/>
          <w:szCs w:val="24"/>
        </w:rPr>
        <w:t>(Hess et al., 1998)</w:t>
      </w:r>
      <w:r w:rsidR="006D257D" w:rsidRPr="00B12372">
        <w:rPr>
          <w:i w:val="0"/>
          <w:iCs w:val="0"/>
          <w:color w:val="auto"/>
          <w:sz w:val="24"/>
          <w:szCs w:val="24"/>
        </w:rPr>
        <w:fldChar w:fldCharType="end"/>
      </w:r>
      <w:bookmarkEnd w:id="67"/>
      <w:r w:rsidR="006D257D" w:rsidRPr="00B12372">
        <w:rPr>
          <w:i w:val="0"/>
          <w:iCs w:val="0"/>
          <w:color w:val="auto"/>
          <w:sz w:val="24"/>
          <w:szCs w:val="24"/>
        </w:rPr>
        <w:t>. Cases B and B1 from</w:t>
      </w:r>
      <m:oMath>
        <m:r>
          <w:rPr>
            <w:rFonts w:ascii="Cambria Math" w:hAnsi="Cambria Math"/>
            <w:color w:val="auto"/>
            <w:sz w:val="24"/>
            <w:szCs w:val="24"/>
          </w:rPr>
          <m:t xml:space="preserve"> </m:t>
        </m:r>
        <m:sSub>
          <m:sSubPr>
            <m:ctrlPr>
              <w:rPr>
                <w:rFonts w:ascii="Cambria Math" w:hAnsi="Cambria Math"/>
                <w:i w:val="0"/>
                <w:iCs w:val="0"/>
                <w:color w:val="auto"/>
                <w:sz w:val="24"/>
                <w:szCs w:val="24"/>
              </w:rPr>
            </m:ctrlPr>
          </m:sSubPr>
          <m:e>
            <m:r>
              <w:rPr>
                <w:rFonts w:ascii="Cambria Math" w:hAnsi="Cambria Math"/>
                <w:color w:val="auto"/>
                <w:sz w:val="24"/>
                <w:szCs w:val="24"/>
              </w:rPr>
              <m:t>D0</m:t>
            </m:r>
          </m:e>
          <m:sub>
            <m:r>
              <w:rPr>
                <w:rFonts w:ascii="Cambria Math" w:hAnsi="Cambria Math"/>
                <w:color w:val="auto"/>
                <w:sz w:val="24"/>
                <w:szCs w:val="24"/>
              </w:rPr>
              <m:t>i=3</m:t>
            </m:r>
          </m:sub>
        </m:sSub>
        <m:r>
          <w:rPr>
            <w:rFonts w:ascii="Cambria Math" w:hAnsi="Cambria Math"/>
            <w:color w:val="auto"/>
            <w:sz w:val="24"/>
            <w:szCs w:val="24"/>
          </w:rPr>
          <m:t>=D03</m:t>
        </m:r>
      </m:oMath>
      <w:r w:rsidR="006D257D" w:rsidRPr="00B12372">
        <w:rPr>
          <w:i w:val="0"/>
          <w:iCs w:val="0"/>
          <w:color w:val="auto"/>
          <w:sz w:val="24"/>
          <w:szCs w:val="24"/>
        </w:rPr>
        <w:t xml:space="preserve">, and C and D from </w:t>
      </w:r>
      <m:oMath>
        <m:sSub>
          <m:sSubPr>
            <m:ctrlPr>
              <w:rPr>
                <w:rFonts w:ascii="Cambria Math" w:hAnsi="Cambria Math"/>
                <w:i w:val="0"/>
                <w:iCs w:val="0"/>
                <w:color w:val="auto"/>
                <w:sz w:val="24"/>
                <w:szCs w:val="24"/>
              </w:rPr>
            </m:ctrlPr>
          </m:sSubPr>
          <m:e>
            <m:r>
              <w:rPr>
                <w:rFonts w:ascii="Cambria Math" w:hAnsi="Cambria Math"/>
                <w:color w:val="auto"/>
                <w:sz w:val="24"/>
                <w:szCs w:val="24"/>
              </w:rPr>
              <m:t>D0</m:t>
            </m:r>
          </m:e>
          <m:sub>
            <m:r>
              <w:rPr>
                <w:rFonts w:ascii="Cambria Math" w:hAnsi="Cambria Math"/>
                <w:color w:val="auto"/>
                <w:sz w:val="24"/>
                <w:szCs w:val="24"/>
              </w:rPr>
              <m:t>i=4</m:t>
            </m:r>
          </m:sub>
        </m:sSub>
        <m:r>
          <w:rPr>
            <w:rFonts w:ascii="Cambria Math" w:hAnsi="Cambria Math"/>
            <w:color w:val="auto"/>
            <w:sz w:val="24"/>
            <w:szCs w:val="24"/>
          </w:rPr>
          <m:t>=D04</m:t>
        </m:r>
      </m:oMath>
      <w:r w:rsidR="006D257D" w:rsidRPr="00B12372">
        <w:rPr>
          <w:i w:val="0"/>
          <w:iCs w:val="0"/>
          <w:color w:val="auto"/>
          <w:sz w:val="24"/>
          <w:szCs w:val="24"/>
        </w:rPr>
        <w:t xml:space="preserve"> represent</w:t>
      </w:r>
      <w:r w:rsidR="00F83D87" w:rsidRPr="00B12372">
        <w:rPr>
          <w:rFonts w:eastAsia="SimSun" w:hint="eastAsia"/>
          <w:i w:val="0"/>
          <w:iCs w:val="0"/>
          <w:color w:val="auto"/>
          <w:sz w:val="24"/>
          <w:szCs w:val="24"/>
          <w:lang w:eastAsia="zh-CN"/>
        </w:rPr>
        <w:t xml:space="preserve"> the</w:t>
      </w:r>
      <w:r w:rsidR="006D257D" w:rsidRPr="00B12372">
        <w:rPr>
          <w:i w:val="0"/>
          <w:iCs w:val="0"/>
          <w:color w:val="auto"/>
          <w:sz w:val="24"/>
          <w:szCs w:val="24"/>
        </w:rPr>
        <w:t xml:space="preserve"> scenarios in Table 4. </w:t>
      </w:r>
    </w:p>
    <w:p w14:paraId="7C5EBA9F" w14:textId="6812761F" w:rsidR="00C679DB" w:rsidRDefault="00DB395E" w:rsidP="00415F1B">
      <w:pPr>
        <w:tabs>
          <w:tab w:val="left" w:pos="8910"/>
        </w:tabs>
        <w:ind w:firstLine="540"/>
      </w:pPr>
      <w:r>
        <w:rPr>
          <w:rFonts w:eastAsia="SimSun"/>
          <w:lang w:eastAsia="zh-CN"/>
        </w:rPr>
        <w:lastRenderedPageBreak/>
        <w:t>T</w:t>
      </w:r>
      <w:r w:rsidR="00E52A41">
        <w:rPr>
          <w:rFonts w:eastAsia="SimSun" w:hint="eastAsia"/>
          <w:lang w:eastAsia="zh-CN"/>
        </w:rPr>
        <w:t xml:space="preserve">he </w:t>
      </w:r>
      <w:r w:rsidR="00574EDF" w:rsidRPr="002C7DEC">
        <w:t>scenario D (Figure</w:t>
      </w:r>
      <w:r w:rsidR="001E6EDA">
        <w:t>s</w:t>
      </w:r>
      <w:r w:rsidR="00574EDF" w:rsidRPr="002C7DEC">
        <w:t xml:space="preserve"> </w:t>
      </w:r>
      <w:r w:rsidR="002E1384">
        <w:t>5</w:t>
      </w:r>
      <w:proofErr w:type="gramStart"/>
      <w:r w:rsidR="00574EDF" w:rsidRPr="002C7DEC">
        <w:t>d,e</w:t>
      </w:r>
      <w:proofErr w:type="gramEnd"/>
      <w:r w:rsidR="00574EDF" w:rsidRPr="002C7DEC">
        <w:t xml:space="preserve">), </w:t>
      </w:r>
      <w:r w:rsidR="004535FF">
        <w:t xml:space="preserve">LES without </w:t>
      </w:r>
      <w:r w:rsidR="00250087">
        <w:t xml:space="preserve">a </w:t>
      </w:r>
      <w:r w:rsidR="004535FF">
        <w:t>one-way nest</w:t>
      </w:r>
      <w:r w:rsidR="006277A0">
        <w:t>ing</w:t>
      </w:r>
      <w:r w:rsidR="004535FF">
        <w:t xml:space="preserve"> </w:t>
      </w:r>
      <w:r w:rsidR="00425C3B">
        <w:t xml:space="preserve">strategy </w:t>
      </w:r>
      <w:r w:rsidR="004535FF">
        <w:t xml:space="preserve">presents </w:t>
      </w:r>
      <w:r w:rsidR="00F5378C">
        <w:t>c</w:t>
      </w:r>
      <w:r w:rsidR="00574EDF" w:rsidRPr="002C7DEC">
        <w:t xml:space="preserve">umulonimbus clouds </w:t>
      </w:r>
      <w:r w:rsidR="00C022A6">
        <w:t xml:space="preserve">from </w:t>
      </w:r>
      <m:oMath>
        <m:sSub>
          <m:sSubPr>
            <m:ctrlPr>
              <w:rPr>
                <w:rFonts w:ascii="Cambria Math" w:hAnsi="Cambria Math"/>
                <w:i/>
              </w:rPr>
            </m:ctrlPr>
          </m:sSubPr>
          <m:e>
            <m:r>
              <w:rPr>
                <w:rFonts w:ascii="Cambria Math" w:hAnsi="Cambria Math"/>
              </w:rPr>
              <m:t>D0</m:t>
            </m:r>
          </m:e>
          <m:sub>
            <m:r>
              <w:rPr>
                <w:rFonts w:ascii="Cambria Math" w:hAnsi="Cambria Math"/>
              </w:rPr>
              <m:t>i=4</m:t>
            </m:r>
          </m:sub>
        </m:sSub>
      </m:oMath>
      <w:r w:rsidR="00C022A6">
        <w:t xml:space="preserve"> </w:t>
      </w:r>
      <w:r w:rsidR="00574EDF" w:rsidRPr="002C7DEC">
        <w:t xml:space="preserve">with LWC </w:t>
      </w:r>
      <m:oMath>
        <m:r>
          <w:rPr>
            <w:rFonts w:ascii="Cambria Math" w:hAnsi="Cambria Math"/>
          </w:rPr>
          <m:t>≥</m:t>
        </m:r>
      </m:oMath>
      <w:r w:rsidR="00574EDF" w:rsidRPr="002C7DEC">
        <w:t xml:space="preserve"> 1</w:t>
      </w:r>
      <w:r w:rsidR="00425C3B">
        <w:t xml:space="preserve"> </w:t>
      </w:r>
      <w:r w:rsidR="00574EDF" w:rsidRPr="002C7DEC">
        <w:t>g/m</w:t>
      </w:r>
      <w:r w:rsidR="00574EDF" w:rsidRPr="002C7DEC">
        <w:rPr>
          <w:vertAlign w:val="superscript"/>
        </w:rPr>
        <w:t>3</w:t>
      </w:r>
      <w:r w:rsidR="00574EDF" w:rsidRPr="002C7DEC">
        <w:t xml:space="preserve">. The atmosphere was quite turbulent due to </w:t>
      </w:r>
      <w:r w:rsidR="004535FF" w:rsidRPr="002C7DEC">
        <w:t xml:space="preserve">pronounced </w:t>
      </w:r>
      <w:r w:rsidR="00E570E6">
        <w:t xml:space="preserve">wind </w:t>
      </w:r>
      <w:r w:rsidR="004535FF">
        <w:t>shear</w:t>
      </w:r>
      <w:r w:rsidR="00574EDF" w:rsidRPr="002C7DEC">
        <w:t xml:space="preserve">. </w:t>
      </w:r>
      <w:r w:rsidR="00FE090F" w:rsidRPr="00FE090F">
        <w:t>For example, the west wind at the 400 hPa level (Figure 5d) changed to a north wind at the 300 hPa level. By contrast, the wind at the 200 hPa level (Figure 5e) has no specific direction.</w:t>
      </w:r>
      <w:r w:rsidR="00FE090F">
        <w:t xml:space="preserve"> </w:t>
      </w:r>
      <w:r w:rsidR="00574EDF" w:rsidRPr="002C7DEC">
        <w:t xml:space="preserve">We note that scenario D </w:t>
      </w:r>
      <w:r w:rsidR="00F5378C">
        <w:t>has</w:t>
      </w:r>
      <w:r w:rsidR="00574EDF" w:rsidRPr="002C7DEC">
        <w:t xml:space="preserve"> the best distribution of the water </w:t>
      </w:r>
      <w:r w:rsidR="00F677EB">
        <w:t>vapor</w:t>
      </w:r>
      <w:r w:rsidR="00574EDF" w:rsidRPr="002C7DEC">
        <w:t xml:space="preserve"> mixing ratio in the ABL. </w:t>
      </w:r>
      <w:r w:rsidR="0083326C" w:rsidRPr="0083326C">
        <w:t xml:space="preserve">When compared to scenarios B, B1, and C, scenario D was able to </w:t>
      </w:r>
      <w:r w:rsidR="00F5378C">
        <w:t>handle</w:t>
      </w:r>
      <w:r w:rsidR="0083326C" w:rsidRPr="0083326C">
        <w:t xml:space="preserve"> a complex orography. </w:t>
      </w:r>
      <w:r w:rsidR="00062D52" w:rsidRPr="00062D52">
        <w:t>However, this scenario failed to reproduce the observed clouds.</w:t>
      </w:r>
    </w:p>
    <w:p w14:paraId="69D87446" w14:textId="7DEFAE53" w:rsidR="002F3B11" w:rsidRPr="002C7DEC" w:rsidRDefault="00F10DF4" w:rsidP="00135910">
      <w:pPr>
        <w:pStyle w:val="Heading-Main"/>
        <w:numPr>
          <w:ilvl w:val="0"/>
          <w:numId w:val="27"/>
        </w:numPr>
      </w:pPr>
      <w:r>
        <w:t xml:space="preserve">Summary and </w:t>
      </w:r>
      <w:r w:rsidR="002F3B11" w:rsidRPr="002C7DEC">
        <w:t>Conclusions</w:t>
      </w:r>
    </w:p>
    <w:p w14:paraId="3C0E0217" w14:textId="7E1C29A9" w:rsidR="00752B21" w:rsidRDefault="00A30CFC" w:rsidP="0020692A">
      <w:pPr>
        <w:pStyle w:val="Note"/>
        <w:ind w:firstLine="540"/>
        <w:rPr>
          <w:color w:val="auto"/>
        </w:rPr>
      </w:pPr>
      <w:r>
        <w:rPr>
          <w:color w:val="auto"/>
        </w:rPr>
        <w:t>We</w:t>
      </w:r>
      <w:r w:rsidR="001A1982" w:rsidRPr="00135910">
        <w:rPr>
          <w:color w:val="auto"/>
        </w:rPr>
        <w:t xml:space="preserve"> explored the ability of </w:t>
      </w:r>
      <w:r w:rsidR="00342007">
        <w:rPr>
          <w:color w:val="auto"/>
        </w:rPr>
        <w:t xml:space="preserve">the combined weather research and forecasting </w:t>
      </w:r>
      <w:r w:rsidR="00F5759C">
        <w:rPr>
          <w:color w:val="auto"/>
        </w:rPr>
        <w:t>l</w:t>
      </w:r>
      <w:r w:rsidR="00342007">
        <w:rPr>
          <w:color w:val="auto"/>
        </w:rPr>
        <w:t>arge-</w:t>
      </w:r>
      <w:r w:rsidR="00F5759C">
        <w:rPr>
          <w:color w:val="auto"/>
        </w:rPr>
        <w:t>e</w:t>
      </w:r>
      <w:r w:rsidR="00342007">
        <w:rPr>
          <w:color w:val="auto"/>
        </w:rPr>
        <w:t>ddy simulation (</w:t>
      </w:r>
      <w:r w:rsidR="001A1982" w:rsidRPr="00135910">
        <w:rPr>
          <w:color w:val="auto"/>
        </w:rPr>
        <w:t>WRF-LES</w:t>
      </w:r>
      <w:r w:rsidR="00342007">
        <w:rPr>
          <w:color w:val="auto"/>
        </w:rPr>
        <w:t>)</w:t>
      </w:r>
      <w:r w:rsidR="001A1982" w:rsidRPr="00135910">
        <w:rPr>
          <w:color w:val="auto"/>
        </w:rPr>
        <w:t xml:space="preserve"> in the simulation of </w:t>
      </w:r>
      <w:r w:rsidR="00FD5D8F">
        <w:rPr>
          <w:rFonts w:eastAsia="SimSun" w:hint="eastAsia"/>
          <w:color w:val="auto"/>
          <w:lang w:eastAsia="zh-CN"/>
        </w:rPr>
        <w:t xml:space="preserve">the </w:t>
      </w:r>
      <w:r w:rsidR="00DF3954">
        <w:rPr>
          <w:color w:val="auto"/>
        </w:rPr>
        <w:t>atmospheric boundary-layer (</w:t>
      </w:r>
      <w:r w:rsidR="001A1982" w:rsidRPr="00135910">
        <w:rPr>
          <w:color w:val="auto"/>
        </w:rPr>
        <w:t>ABL</w:t>
      </w:r>
      <w:r w:rsidR="00DF3954">
        <w:rPr>
          <w:color w:val="auto"/>
        </w:rPr>
        <w:t>)</w:t>
      </w:r>
      <w:r w:rsidR="001A1982" w:rsidRPr="00135910">
        <w:rPr>
          <w:color w:val="auto"/>
        </w:rPr>
        <w:t xml:space="preserve"> processes of cumulus </w:t>
      </w:r>
      <w:r w:rsidR="0058427B">
        <w:rPr>
          <w:color w:val="auto"/>
        </w:rPr>
        <w:t xml:space="preserve">clouds (CCs) </w:t>
      </w:r>
      <w:r w:rsidR="001A1982" w:rsidRPr="00135910">
        <w:rPr>
          <w:color w:val="auto"/>
        </w:rPr>
        <w:t xml:space="preserve">development over </w:t>
      </w:r>
      <w:r w:rsidR="00FD5D8F">
        <w:rPr>
          <w:rFonts w:eastAsia="SimSun" w:hint="eastAsia"/>
          <w:color w:val="auto"/>
          <w:lang w:eastAsia="zh-CN"/>
        </w:rPr>
        <w:t xml:space="preserve">the </w:t>
      </w:r>
      <w:r w:rsidR="00DF3954">
        <w:rPr>
          <w:color w:val="auto"/>
        </w:rPr>
        <w:t>south Tibetan plateau</w:t>
      </w:r>
      <w:r w:rsidR="003C1D17">
        <w:rPr>
          <w:color w:val="auto"/>
        </w:rPr>
        <w:t xml:space="preserve"> (STP)</w:t>
      </w:r>
      <w:r w:rsidR="001A1982" w:rsidRPr="00135910">
        <w:rPr>
          <w:color w:val="auto"/>
        </w:rPr>
        <w:t xml:space="preserve">. </w:t>
      </w:r>
      <w:r w:rsidR="009344C8" w:rsidRPr="009344C8">
        <w:rPr>
          <w:color w:val="auto"/>
        </w:rPr>
        <w:t xml:space="preserve">The goal </w:t>
      </w:r>
      <w:r w:rsidR="003360CF">
        <w:rPr>
          <w:color w:val="auto"/>
        </w:rPr>
        <w:t xml:space="preserve">of this study </w:t>
      </w:r>
      <w:r w:rsidR="009344C8" w:rsidRPr="009344C8">
        <w:rPr>
          <w:color w:val="auto"/>
        </w:rPr>
        <w:t>was to increase our understanding of the WRF-LES</w:t>
      </w:r>
      <w:r w:rsidR="00250087">
        <w:rPr>
          <w:color w:val="auto"/>
        </w:rPr>
        <w:t>'s</w:t>
      </w:r>
      <w:r w:rsidR="009344C8" w:rsidRPr="009344C8">
        <w:rPr>
          <w:color w:val="auto"/>
        </w:rPr>
        <w:t xml:space="preserve"> ability to predict the ABL processes of </w:t>
      </w:r>
      <w:r w:rsidR="0058427B">
        <w:rPr>
          <w:color w:val="auto"/>
        </w:rPr>
        <w:t>CCs</w:t>
      </w:r>
      <w:r w:rsidR="009344C8" w:rsidRPr="009344C8">
        <w:rPr>
          <w:color w:val="auto"/>
        </w:rPr>
        <w:t xml:space="preserve"> development over </w:t>
      </w:r>
      <w:r w:rsidR="00FD5D8F">
        <w:rPr>
          <w:rFonts w:eastAsia="SimSun" w:hint="eastAsia"/>
          <w:color w:val="auto"/>
          <w:lang w:eastAsia="zh-CN"/>
        </w:rPr>
        <w:t xml:space="preserve">the </w:t>
      </w:r>
      <w:r w:rsidR="009344C8" w:rsidRPr="009344C8">
        <w:rPr>
          <w:color w:val="auto"/>
        </w:rPr>
        <w:t>complex orography, which is an unresolved problem in numerical modeling</w:t>
      </w:r>
      <w:r w:rsidR="009344C8">
        <w:rPr>
          <w:color w:val="auto"/>
        </w:rPr>
        <w:t xml:space="preserve">. </w:t>
      </w:r>
      <w:r>
        <w:rPr>
          <w:color w:val="auto"/>
        </w:rPr>
        <w:t>We</w:t>
      </w:r>
      <w:r w:rsidR="001A1982" w:rsidRPr="00135910">
        <w:rPr>
          <w:color w:val="auto"/>
        </w:rPr>
        <w:t xml:space="preserve"> carried out simulations of </w:t>
      </w:r>
      <w:r w:rsidR="007215BE">
        <w:rPr>
          <w:color w:val="auto"/>
        </w:rPr>
        <w:t>six</w:t>
      </w:r>
      <w:r w:rsidR="001A1982" w:rsidRPr="00135910">
        <w:rPr>
          <w:color w:val="auto"/>
        </w:rPr>
        <w:t xml:space="preserve"> scenarios with different setups and compared the results to observations</w:t>
      </w:r>
      <w:r>
        <w:rPr>
          <w:color w:val="auto"/>
        </w:rPr>
        <w:t xml:space="preserve"> from </w:t>
      </w:r>
      <w:r w:rsidR="00FD5D8F">
        <w:rPr>
          <w:rFonts w:eastAsia="SimSun" w:hint="eastAsia"/>
          <w:color w:val="auto"/>
          <w:lang w:eastAsia="zh-CN"/>
        </w:rPr>
        <w:t xml:space="preserve">the </w:t>
      </w:r>
      <w:r w:rsidR="003A700A">
        <w:rPr>
          <w:color w:val="auto"/>
        </w:rPr>
        <w:t xml:space="preserve">third </w:t>
      </w:r>
      <w:r>
        <w:rPr>
          <w:color w:val="auto"/>
        </w:rPr>
        <w:t xml:space="preserve">Tibetan Plateau </w:t>
      </w:r>
      <w:r w:rsidR="003A700A">
        <w:rPr>
          <w:color w:val="auto"/>
        </w:rPr>
        <w:t>A</w:t>
      </w:r>
      <w:r>
        <w:rPr>
          <w:color w:val="auto"/>
        </w:rPr>
        <w:t>tmospheric Science Experiment (TIPEX-III)</w:t>
      </w:r>
      <w:r w:rsidR="00F5759C">
        <w:rPr>
          <w:color w:val="auto"/>
        </w:rPr>
        <w:t>, including</w:t>
      </w:r>
      <w:r w:rsidR="009344C8" w:rsidRPr="009344C8">
        <w:rPr>
          <w:color w:val="auto"/>
        </w:rPr>
        <w:t xml:space="preserve"> </w:t>
      </w:r>
      <w:r w:rsidR="00C1513E">
        <w:rPr>
          <w:color w:val="auto"/>
        </w:rPr>
        <w:t>Lidar ceilometer measurements</w:t>
      </w:r>
      <w:r w:rsidR="009344C8" w:rsidRPr="009344C8">
        <w:rPr>
          <w:color w:val="auto"/>
        </w:rPr>
        <w:t xml:space="preserve">, </w:t>
      </w:r>
      <w:r w:rsidR="00C1513E">
        <w:rPr>
          <w:color w:val="auto"/>
        </w:rPr>
        <w:t>Fengyun 2D satellite images</w:t>
      </w:r>
      <w:r w:rsidR="009344C8" w:rsidRPr="009344C8">
        <w:rPr>
          <w:color w:val="auto"/>
        </w:rPr>
        <w:t xml:space="preserve">, radar reflectivity, </w:t>
      </w:r>
      <w:r w:rsidR="00C1513E">
        <w:rPr>
          <w:color w:val="auto"/>
        </w:rPr>
        <w:t>sounding</w:t>
      </w:r>
      <w:r w:rsidR="00250087">
        <w:rPr>
          <w:color w:val="auto"/>
        </w:rPr>
        <w:t>,</w:t>
      </w:r>
      <w:r w:rsidR="00C1513E">
        <w:rPr>
          <w:color w:val="auto"/>
        </w:rPr>
        <w:t xml:space="preserve"> and surface</w:t>
      </w:r>
      <w:r w:rsidR="00F5759C">
        <w:rPr>
          <w:color w:val="auto"/>
        </w:rPr>
        <w:t>-</w:t>
      </w:r>
      <w:r w:rsidR="00C1513E">
        <w:rPr>
          <w:color w:val="auto"/>
        </w:rPr>
        <w:t>base measurement</w:t>
      </w:r>
      <w:r w:rsidR="00F5759C">
        <w:rPr>
          <w:color w:val="auto"/>
        </w:rPr>
        <w:t>s</w:t>
      </w:r>
      <w:r w:rsidR="00C1513E">
        <w:rPr>
          <w:color w:val="auto"/>
        </w:rPr>
        <w:t xml:space="preserve"> such as temperature</w:t>
      </w:r>
      <w:r w:rsidR="0020692A">
        <w:rPr>
          <w:color w:val="auto"/>
        </w:rPr>
        <w:t>,</w:t>
      </w:r>
      <w:r w:rsidR="00C1513E">
        <w:rPr>
          <w:color w:val="auto"/>
        </w:rPr>
        <w:t xml:space="preserve"> wind</w:t>
      </w:r>
      <w:r w:rsidR="00250087">
        <w:rPr>
          <w:color w:val="auto"/>
        </w:rPr>
        <w:t>,</w:t>
      </w:r>
      <w:r w:rsidR="00C1513E">
        <w:rPr>
          <w:color w:val="auto"/>
        </w:rPr>
        <w:t xml:space="preserve"> and heat fluxes</w:t>
      </w:r>
      <w:r w:rsidR="009344C8" w:rsidRPr="009344C8">
        <w:rPr>
          <w:color w:val="auto"/>
        </w:rPr>
        <w:t>.</w:t>
      </w:r>
      <w:r w:rsidR="009344C8">
        <w:rPr>
          <w:color w:val="auto"/>
        </w:rPr>
        <w:t xml:space="preserve"> </w:t>
      </w:r>
      <w:r w:rsidR="00E9745D" w:rsidRPr="00E9745D">
        <w:rPr>
          <w:color w:val="auto"/>
        </w:rPr>
        <w:t xml:space="preserve">The new findings were obtained </w:t>
      </w:r>
      <w:r w:rsidR="00831F8C">
        <w:rPr>
          <w:color w:val="auto"/>
        </w:rPr>
        <w:t xml:space="preserve">by </w:t>
      </w:r>
      <w:r w:rsidR="00E9745D" w:rsidRPr="00E9745D">
        <w:rPr>
          <w:color w:val="auto"/>
        </w:rPr>
        <w:t xml:space="preserve">applying </w:t>
      </w:r>
      <w:r w:rsidR="003A700A">
        <w:rPr>
          <w:color w:val="auto"/>
        </w:rPr>
        <w:t>o</w:t>
      </w:r>
      <w:r w:rsidR="00E9745D" w:rsidRPr="00E9745D">
        <w:rPr>
          <w:color w:val="auto"/>
        </w:rPr>
        <w:t xml:space="preserve">bservation </w:t>
      </w:r>
      <w:r w:rsidR="003A700A">
        <w:rPr>
          <w:color w:val="auto"/>
        </w:rPr>
        <w:t>n</w:t>
      </w:r>
      <w:r w:rsidR="00E9745D" w:rsidRPr="00E9745D">
        <w:rPr>
          <w:color w:val="auto"/>
        </w:rPr>
        <w:t xml:space="preserve">udging </w:t>
      </w:r>
      <w:r w:rsidR="00831F8C">
        <w:rPr>
          <w:color w:val="auto"/>
        </w:rPr>
        <w:t xml:space="preserve">strategies </w:t>
      </w:r>
      <w:r w:rsidR="00E9745D" w:rsidRPr="00E9745D">
        <w:rPr>
          <w:color w:val="auto"/>
        </w:rPr>
        <w:t xml:space="preserve">and one-way nesting in two separate </w:t>
      </w:r>
      <w:r w:rsidR="009344C8" w:rsidRPr="00E9745D">
        <w:rPr>
          <w:color w:val="auto"/>
        </w:rPr>
        <w:t>iterations.</w:t>
      </w:r>
      <w:r w:rsidR="009B518B" w:rsidRPr="00135910">
        <w:rPr>
          <w:color w:val="auto"/>
        </w:rPr>
        <w:t xml:space="preserve"> </w:t>
      </w:r>
    </w:p>
    <w:p w14:paraId="659253AA" w14:textId="3C987E11" w:rsidR="00B60CA6" w:rsidRDefault="00B60CA6" w:rsidP="00415F1B">
      <w:pPr>
        <w:pStyle w:val="Note"/>
        <w:ind w:firstLine="540"/>
        <w:rPr>
          <w:color w:val="auto"/>
        </w:rPr>
      </w:pPr>
      <w:r w:rsidRPr="00B60CA6">
        <w:rPr>
          <w:color w:val="auto"/>
        </w:rPr>
        <w:t>Six</w:t>
      </w:r>
      <w:r w:rsidRPr="00FF01D0">
        <w:rPr>
          <w:color w:val="auto"/>
        </w:rPr>
        <w:t xml:space="preserve"> scenarios, with mesoscale simulation</w:t>
      </w:r>
      <w:r w:rsidR="00250087">
        <w:rPr>
          <w:color w:val="auto"/>
        </w:rPr>
        <w:t>,</w:t>
      </w:r>
      <w:r w:rsidRPr="00FF01D0">
        <w:rPr>
          <w:color w:val="auto"/>
        </w:rPr>
        <w:t xml:space="preserve"> runs in scenarios A</w:t>
      </w:r>
      <w:r w:rsidRPr="00B60CA6">
        <w:rPr>
          <w:color w:val="auto"/>
        </w:rPr>
        <w:t>,</w:t>
      </w:r>
      <w:r w:rsidRPr="00FF01D0">
        <w:rPr>
          <w:color w:val="auto"/>
        </w:rPr>
        <w:t xml:space="preserve"> B and</w:t>
      </w:r>
      <w:r w:rsidRPr="00B60CA6">
        <w:rPr>
          <w:color w:val="auto"/>
        </w:rPr>
        <w:t xml:space="preserve"> B1, and</w:t>
      </w:r>
      <w:r w:rsidRPr="00FF01D0">
        <w:rPr>
          <w:color w:val="auto"/>
        </w:rPr>
        <w:t xml:space="preserve"> large-eddy simulation (LES) runs in scenarios C</w:t>
      </w:r>
      <w:r w:rsidRPr="00B60CA6">
        <w:rPr>
          <w:color w:val="auto"/>
        </w:rPr>
        <w:t>,</w:t>
      </w:r>
      <w:r w:rsidRPr="00FF01D0">
        <w:rPr>
          <w:color w:val="auto"/>
        </w:rPr>
        <w:t xml:space="preserve"> D</w:t>
      </w:r>
      <w:r w:rsidRPr="00B60CA6">
        <w:rPr>
          <w:color w:val="auto"/>
        </w:rPr>
        <w:t xml:space="preserve"> and E</w:t>
      </w:r>
      <w:r w:rsidRPr="00FF01D0">
        <w:rPr>
          <w:color w:val="auto"/>
        </w:rPr>
        <w:t xml:space="preserve">, are discussed. </w:t>
      </w:r>
      <w:r w:rsidR="00250087">
        <w:rPr>
          <w:rFonts w:eastAsia="SimSun"/>
          <w:color w:val="auto"/>
          <w:lang w:eastAsia="zh-CN"/>
        </w:rPr>
        <w:t>S</w:t>
      </w:r>
      <w:r w:rsidRPr="00FF01D0">
        <w:rPr>
          <w:color w:val="auto"/>
        </w:rPr>
        <w:t>cenario</w:t>
      </w:r>
      <w:r w:rsidR="00FD5D8F">
        <w:rPr>
          <w:rFonts w:eastAsia="SimSun" w:hint="eastAsia"/>
          <w:color w:val="auto"/>
          <w:lang w:eastAsia="zh-CN"/>
        </w:rPr>
        <w:t>s</w:t>
      </w:r>
      <w:r w:rsidRPr="00FF01D0">
        <w:rPr>
          <w:color w:val="auto"/>
        </w:rPr>
        <w:t xml:space="preserve"> A </w:t>
      </w:r>
      <w:r w:rsidRPr="00B60CA6">
        <w:rPr>
          <w:color w:val="auto"/>
        </w:rPr>
        <w:t xml:space="preserve">and E </w:t>
      </w:r>
      <w:r w:rsidR="0020692A" w:rsidRPr="00FF01D0">
        <w:rPr>
          <w:color w:val="auto"/>
        </w:rPr>
        <w:t>w</w:t>
      </w:r>
      <w:r w:rsidR="0020692A">
        <w:rPr>
          <w:rFonts w:eastAsia="SimSun"/>
          <w:color w:val="auto"/>
          <w:lang w:eastAsia="zh-CN"/>
        </w:rPr>
        <w:t>ere</w:t>
      </w:r>
      <w:r w:rsidR="0020692A" w:rsidRPr="00FF01D0">
        <w:rPr>
          <w:color w:val="auto"/>
        </w:rPr>
        <w:t xml:space="preserve"> benchmark</w:t>
      </w:r>
      <w:r w:rsidRPr="00FF01D0">
        <w:rPr>
          <w:color w:val="auto"/>
        </w:rPr>
        <w:t xml:space="preserve"> experiment</w:t>
      </w:r>
      <w:r w:rsidR="001E1C65">
        <w:rPr>
          <w:rFonts w:eastAsia="SimSun" w:hint="eastAsia"/>
          <w:color w:val="auto"/>
          <w:lang w:eastAsia="zh-CN"/>
        </w:rPr>
        <w:t>s</w:t>
      </w:r>
      <w:r w:rsidRPr="00FF01D0">
        <w:rPr>
          <w:color w:val="auto"/>
        </w:rPr>
        <w:t xml:space="preserve"> to help determine the optimality of observation nudging used in</w:t>
      </w:r>
      <w:r w:rsidR="001E1C65">
        <w:rPr>
          <w:rFonts w:eastAsia="SimSun" w:hint="eastAsia"/>
          <w:color w:val="auto"/>
          <w:lang w:eastAsia="zh-CN"/>
        </w:rPr>
        <w:t xml:space="preserve"> </w:t>
      </w:r>
      <w:r w:rsidRPr="00FF01D0">
        <w:rPr>
          <w:color w:val="auto"/>
        </w:rPr>
        <w:t>scenario</w:t>
      </w:r>
      <w:r w:rsidR="0020692A">
        <w:rPr>
          <w:color w:val="auto"/>
        </w:rPr>
        <w:t>s</w:t>
      </w:r>
      <w:r w:rsidRPr="00FF01D0">
        <w:rPr>
          <w:color w:val="auto"/>
        </w:rPr>
        <w:t xml:space="preserve"> B</w:t>
      </w:r>
      <w:r w:rsidRPr="00B60CA6">
        <w:rPr>
          <w:color w:val="auto"/>
        </w:rPr>
        <w:t xml:space="preserve"> and D, respectively</w:t>
      </w:r>
      <w:r w:rsidRPr="00FF01D0">
        <w:rPr>
          <w:color w:val="auto"/>
        </w:rPr>
        <w:t xml:space="preserve">. We applied observation nudging in scenarios </w:t>
      </w:r>
      <w:r w:rsidR="001E1C65">
        <w:rPr>
          <w:rFonts w:eastAsia="SimSun" w:hint="eastAsia"/>
          <w:color w:val="auto"/>
          <w:lang w:eastAsia="zh-CN"/>
        </w:rPr>
        <w:t xml:space="preserve">the </w:t>
      </w:r>
      <w:r w:rsidRPr="00FF01D0">
        <w:rPr>
          <w:color w:val="auto"/>
        </w:rPr>
        <w:t xml:space="preserve">B, </w:t>
      </w:r>
      <w:r w:rsidRPr="00B60CA6">
        <w:rPr>
          <w:color w:val="auto"/>
        </w:rPr>
        <w:t xml:space="preserve">B1, </w:t>
      </w:r>
      <w:r w:rsidRPr="00FF01D0">
        <w:rPr>
          <w:color w:val="auto"/>
        </w:rPr>
        <w:t xml:space="preserve">C, and D. </w:t>
      </w:r>
      <w:r w:rsidR="001E1C65">
        <w:rPr>
          <w:rFonts w:eastAsia="SimSun" w:hint="eastAsia"/>
          <w:color w:val="auto"/>
          <w:lang w:eastAsia="zh-CN"/>
        </w:rPr>
        <w:t>s</w:t>
      </w:r>
      <w:r w:rsidRPr="00FF01D0">
        <w:rPr>
          <w:color w:val="auto"/>
        </w:rPr>
        <w:t xml:space="preserve">cenario B determined the impact of observation nudging on the simulation results. </w:t>
      </w:r>
      <w:r w:rsidR="00250087">
        <w:rPr>
          <w:rFonts w:eastAsia="SimSun"/>
          <w:color w:val="auto"/>
          <w:lang w:eastAsia="zh-CN"/>
        </w:rPr>
        <w:t>S</w:t>
      </w:r>
      <w:r w:rsidRPr="00FF01D0">
        <w:rPr>
          <w:color w:val="auto"/>
        </w:rPr>
        <w:t xml:space="preserve">cenario C determined the effect of large-scale forcing on microscale circulation. </w:t>
      </w:r>
      <w:r w:rsidR="00250087">
        <w:rPr>
          <w:rFonts w:eastAsia="SimSun"/>
          <w:color w:val="auto"/>
          <w:lang w:eastAsia="zh-CN"/>
        </w:rPr>
        <w:t>S</w:t>
      </w:r>
      <w:r w:rsidRPr="00FF01D0">
        <w:rPr>
          <w:color w:val="auto"/>
        </w:rPr>
        <w:t>cenario C differed from scenario D only in the use of the one-way nesting strategy, while scenario D was a control experiment to help determine the optimality of the one-way nesting strategy used in scenario C.</w:t>
      </w:r>
    </w:p>
    <w:p w14:paraId="27F055A8" w14:textId="27B65EA4" w:rsidR="001738DA" w:rsidRDefault="00CC6E43" w:rsidP="00415F1B">
      <w:pPr>
        <w:pStyle w:val="Note"/>
        <w:ind w:firstLine="540"/>
        <w:rPr>
          <w:color w:val="auto"/>
        </w:rPr>
      </w:pPr>
      <w:r>
        <w:rPr>
          <w:color w:val="auto"/>
        </w:rPr>
        <w:t xml:space="preserve">Among the </w:t>
      </w:r>
      <w:r w:rsidR="008A1CDA">
        <w:rPr>
          <w:color w:val="auto"/>
        </w:rPr>
        <w:t>six</w:t>
      </w:r>
      <w:r>
        <w:rPr>
          <w:color w:val="auto"/>
        </w:rPr>
        <w:t xml:space="preserve"> scenarios carried out, </w:t>
      </w:r>
      <w:r w:rsidR="0012772C" w:rsidRPr="00E9745D">
        <w:rPr>
          <w:color w:val="auto"/>
        </w:rPr>
        <w:t>the</w:t>
      </w:r>
      <w:r w:rsidR="00E9745D" w:rsidRPr="00E9745D">
        <w:rPr>
          <w:color w:val="auto"/>
        </w:rPr>
        <w:t xml:space="preserve"> model setting with observation</w:t>
      </w:r>
      <w:r w:rsidR="00B93534">
        <w:rPr>
          <w:color w:val="auto"/>
        </w:rPr>
        <w:t>s</w:t>
      </w:r>
      <w:r w:rsidR="00E9745D" w:rsidRPr="00E9745D">
        <w:rPr>
          <w:color w:val="auto"/>
        </w:rPr>
        <w:t xml:space="preserve"> nudging </w:t>
      </w:r>
      <w:r w:rsidR="00B93534" w:rsidRPr="00E9745D">
        <w:rPr>
          <w:color w:val="auto"/>
        </w:rPr>
        <w:t>yield</w:t>
      </w:r>
      <w:r w:rsidR="00B93534">
        <w:rPr>
          <w:color w:val="auto"/>
        </w:rPr>
        <w:t>ed</w:t>
      </w:r>
      <w:r w:rsidR="00B93534" w:rsidRPr="00E9745D">
        <w:rPr>
          <w:color w:val="auto"/>
        </w:rPr>
        <w:t xml:space="preserve"> </w:t>
      </w:r>
      <w:r w:rsidR="00E9745D" w:rsidRPr="00E9745D">
        <w:rPr>
          <w:color w:val="auto"/>
        </w:rPr>
        <w:t>better results than those without nudging.</w:t>
      </w:r>
      <w:r w:rsidR="00777353">
        <w:rPr>
          <w:color w:val="auto"/>
        </w:rPr>
        <w:t xml:space="preserve"> </w:t>
      </w:r>
      <w:r w:rsidR="00A04352" w:rsidRPr="00A04352">
        <w:rPr>
          <w:color w:val="auto"/>
        </w:rPr>
        <w:t>Compared to the observation</w:t>
      </w:r>
      <w:r w:rsidR="00B93534">
        <w:rPr>
          <w:color w:val="auto"/>
        </w:rPr>
        <w:t>s</w:t>
      </w:r>
      <w:r w:rsidR="00A04352" w:rsidRPr="00A04352">
        <w:rPr>
          <w:color w:val="auto"/>
        </w:rPr>
        <w:t>, the control scenarios A</w:t>
      </w:r>
      <w:r w:rsidR="00B76C65">
        <w:rPr>
          <w:color w:val="auto"/>
        </w:rPr>
        <w:t>, B1</w:t>
      </w:r>
      <w:r w:rsidR="00A04352" w:rsidRPr="00A04352">
        <w:rPr>
          <w:color w:val="auto"/>
        </w:rPr>
        <w:t xml:space="preserve"> and E do not </w:t>
      </w:r>
      <w:r w:rsidR="00B93534">
        <w:rPr>
          <w:color w:val="auto"/>
        </w:rPr>
        <w:t xml:space="preserve">well </w:t>
      </w:r>
      <w:r w:rsidR="00A04352" w:rsidRPr="00A04352">
        <w:rPr>
          <w:color w:val="auto"/>
        </w:rPr>
        <w:t xml:space="preserve">reflect the </w:t>
      </w:r>
      <w:r w:rsidR="00B93534" w:rsidRPr="00A04352">
        <w:rPr>
          <w:color w:val="auto"/>
        </w:rPr>
        <w:t>field</w:t>
      </w:r>
      <w:r w:rsidR="00B93534">
        <w:rPr>
          <w:color w:val="auto"/>
        </w:rPr>
        <w:t>’s</w:t>
      </w:r>
      <w:r w:rsidR="00B93534" w:rsidRPr="00A04352">
        <w:rPr>
          <w:color w:val="auto"/>
        </w:rPr>
        <w:t xml:space="preserve"> </w:t>
      </w:r>
      <w:bookmarkStart w:id="68" w:name="_Hlk101132688"/>
      <w:r w:rsidR="00BB4B77" w:rsidRPr="00A04352">
        <w:rPr>
          <w:color w:val="auto"/>
        </w:rPr>
        <w:t>observation</w:t>
      </w:r>
      <w:r w:rsidR="00BB4B77">
        <w:rPr>
          <w:color w:val="auto"/>
        </w:rPr>
        <w:t>s</w:t>
      </w:r>
      <w:r w:rsidR="00BB4B77" w:rsidRPr="00A04352">
        <w:rPr>
          <w:color w:val="auto"/>
        </w:rPr>
        <w:t>.</w:t>
      </w:r>
      <w:r w:rsidR="00A04352" w:rsidRPr="00A04352">
        <w:rPr>
          <w:color w:val="auto"/>
        </w:rPr>
        <w:t xml:space="preserve"> </w:t>
      </w:r>
      <w:r w:rsidR="00250087">
        <w:rPr>
          <w:rFonts w:eastAsia="SimSun"/>
          <w:color w:val="auto"/>
          <w:lang w:eastAsia="zh-CN"/>
        </w:rPr>
        <w:t>S</w:t>
      </w:r>
      <w:r w:rsidR="006D7065" w:rsidRPr="006D7065">
        <w:rPr>
          <w:color w:val="auto"/>
        </w:rPr>
        <w:t>cenario B1, which emphasized an external forcing, did not yield consistent results with the observation</w:t>
      </w:r>
      <w:r w:rsidR="00B93534">
        <w:rPr>
          <w:color w:val="auto"/>
        </w:rPr>
        <w:t>s</w:t>
      </w:r>
      <w:r w:rsidR="006D7065" w:rsidRPr="006D7065">
        <w:rPr>
          <w:color w:val="auto"/>
        </w:rPr>
        <w:t>.</w:t>
      </w:r>
      <w:bookmarkEnd w:id="68"/>
      <w:r w:rsidR="006D7065" w:rsidRPr="006D7065">
        <w:rPr>
          <w:color w:val="auto"/>
        </w:rPr>
        <w:t xml:space="preserve"> As a result, </w:t>
      </w:r>
      <w:bookmarkStart w:id="69" w:name="_Hlk101132743"/>
      <w:r w:rsidR="006D7065" w:rsidRPr="006D7065">
        <w:rPr>
          <w:color w:val="auto"/>
        </w:rPr>
        <w:t xml:space="preserve">large-scale forcing played an important role </w:t>
      </w:r>
      <w:bookmarkEnd w:id="69"/>
      <w:r w:rsidR="00B93534">
        <w:rPr>
          <w:color w:val="auto"/>
        </w:rPr>
        <w:t xml:space="preserve">in </w:t>
      </w:r>
      <w:r w:rsidR="0058427B">
        <w:rPr>
          <w:color w:val="auto"/>
        </w:rPr>
        <w:t>CCs development over TP</w:t>
      </w:r>
      <w:r w:rsidR="006D7065" w:rsidRPr="006D7065">
        <w:rPr>
          <w:color w:val="auto"/>
        </w:rPr>
        <w:t>.</w:t>
      </w:r>
      <w:r w:rsidR="006D7065">
        <w:rPr>
          <w:color w:val="auto"/>
        </w:rPr>
        <w:t xml:space="preserve"> T</w:t>
      </w:r>
      <w:r w:rsidR="00A04352" w:rsidRPr="00A04352">
        <w:rPr>
          <w:color w:val="auto"/>
        </w:rPr>
        <w:t xml:space="preserve">he evaluation </w:t>
      </w:r>
      <w:r w:rsidR="006D7065">
        <w:rPr>
          <w:color w:val="auto"/>
        </w:rPr>
        <w:t xml:space="preserve">results </w:t>
      </w:r>
      <w:r w:rsidR="00B93534">
        <w:rPr>
          <w:color w:val="auto"/>
        </w:rPr>
        <w:t xml:space="preserve">on one hand </w:t>
      </w:r>
      <w:r w:rsidR="006D7065">
        <w:rPr>
          <w:color w:val="auto"/>
        </w:rPr>
        <w:t xml:space="preserve">also </w:t>
      </w:r>
      <w:r w:rsidR="00A04352" w:rsidRPr="00A04352">
        <w:rPr>
          <w:color w:val="auto"/>
        </w:rPr>
        <w:t>show</w:t>
      </w:r>
      <w:r w:rsidR="00B93534">
        <w:rPr>
          <w:color w:val="auto"/>
        </w:rPr>
        <w:t>ed</w:t>
      </w:r>
      <w:r w:rsidR="00A04352" w:rsidRPr="00A04352">
        <w:rPr>
          <w:color w:val="auto"/>
        </w:rPr>
        <w:t xml:space="preserve"> that scenario B </w:t>
      </w:r>
      <w:r w:rsidR="00B93534">
        <w:rPr>
          <w:color w:val="auto"/>
        </w:rPr>
        <w:t xml:space="preserve">perfectly </w:t>
      </w:r>
      <w:r w:rsidR="00A04352" w:rsidRPr="00A04352">
        <w:rPr>
          <w:color w:val="auto"/>
        </w:rPr>
        <w:t xml:space="preserve">reproduced the surface variables </w:t>
      </w:r>
      <w:r w:rsidR="00B93534">
        <w:rPr>
          <w:color w:val="auto"/>
        </w:rPr>
        <w:t xml:space="preserve">  nevertheless</w:t>
      </w:r>
      <w:r w:rsidR="006D7065">
        <w:rPr>
          <w:color w:val="auto"/>
        </w:rPr>
        <w:t xml:space="preserve"> with</w:t>
      </w:r>
      <w:r w:rsidR="00A04352" w:rsidRPr="00A04352">
        <w:rPr>
          <w:color w:val="auto"/>
        </w:rPr>
        <w:t xml:space="preserve"> low </w:t>
      </w:r>
      <w:r w:rsidR="008A1CDA">
        <w:rPr>
          <w:color w:val="auto"/>
        </w:rPr>
        <w:t>microphysical particles</w:t>
      </w:r>
      <w:r w:rsidR="00B93534">
        <w:rPr>
          <w:color w:val="auto"/>
        </w:rPr>
        <w:t xml:space="preserve"> while o</w:t>
      </w:r>
      <w:r w:rsidR="006D7065">
        <w:rPr>
          <w:color w:val="auto"/>
        </w:rPr>
        <w:t>n the other hand s</w:t>
      </w:r>
      <w:r w:rsidR="00A04352" w:rsidRPr="00A04352">
        <w:rPr>
          <w:color w:val="auto"/>
        </w:rPr>
        <w:t xml:space="preserve">cenario D </w:t>
      </w:r>
      <w:r w:rsidR="00F5759C">
        <w:rPr>
          <w:color w:val="auto"/>
        </w:rPr>
        <w:t xml:space="preserve">reproduced an </w:t>
      </w:r>
      <w:r w:rsidR="00A04352" w:rsidRPr="00A04352">
        <w:rPr>
          <w:color w:val="auto"/>
        </w:rPr>
        <w:t>ABL</w:t>
      </w:r>
      <w:r w:rsidR="00F5759C">
        <w:rPr>
          <w:color w:val="auto"/>
        </w:rPr>
        <w:t xml:space="preserve">, </w:t>
      </w:r>
      <w:r w:rsidR="001E1C65">
        <w:rPr>
          <w:rFonts w:eastAsia="SimSun" w:hint="eastAsia"/>
          <w:color w:val="auto"/>
          <w:lang w:eastAsia="zh-CN"/>
        </w:rPr>
        <w:t xml:space="preserve">which is </w:t>
      </w:r>
      <w:r w:rsidR="00F5759C">
        <w:rPr>
          <w:color w:val="auto"/>
        </w:rPr>
        <w:t xml:space="preserve">consistent </w:t>
      </w:r>
      <w:r w:rsidR="00A04352" w:rsidRPr="00A04352">
        <w:rPr>
          <w:color w:val="auto"/>
        </w:rPr>
        <w:t>with the observation</w:t>
      </w:r>
      <w:r w:rsidR="00B93534">
        <w:rPr>
          <w:color w:val="auto"/>
        </w:rPr>
        <w:t>s</w:t>
      </w:r>
      <w:r w:rsidR="006D7065">
        <w:rPr>
          <w:color w:val="auto"/>
        </w:rPr>
        <w:t xml:space="preserve"> </w:t>
      </w:r>
      <w:r w:rsidR="00B93534">
        <w:rPr>
          <w:color w:val="auto"/>
        </w:rPr>
        <w:t>however</w:t>
      </w:r>
      <w:r w:rsidR="00A04352" w:rsidRPr="00A04352">
        <w:rPr>
          <w:color w:val="auto"/>
        </w:rPr>
        <w:t xml:space="preserve"> this scenario </w:t>
      </w:r>
      <w:r w:rsidR="008A1CDA">
        <w:rPr>
          <w:color w:val="auto"/>
        </w:rPr>
        <w:t xml:space="preserve">could not </w:t>
      </w:r>
      <w:r w:rsidR="00B93534">
        <w:rPr>
          <w:color w:val="auto"/>
        </w:rPr>
        <w:t xml:space="preserve">correctly </w:t>
      </w:r>
      <w:r w:rsidR="008A1CDA">
        <w:rPr>
          <w:color w:val="auto"/>
        </w:rPr>
        <w:t>reproduce the microphysics pattern</w:t>
      </w:r>
      <w:r w:rsidR="00B93534">
        <w:rPr>
          <w:color w:val="auto"/>
        </w:rPr>
        <w:t>s</w:t>
      </w:r>
      <w:r w:rsidR="00A04352" w:rsidRPr="00A04352">
        <w:rPr>
          <w:color w:val="auto"/>
        </w:rPr>
        <w:t xml:space="preserve">. </w:t>
      </w:r>
      <w:r w:rsidR="001E1C65">
        <w:rPr>
          <w:rFonts w:eastAsia="SimSun" w:hint="eastAsia"/>
          <w:color w:val="auto"/>
          <w:lang w:eastAsia="zh-CN"/>
        </w:rPr>
        <w:t>The s</w:t>
      </w:r>
      <w:r w:rsidR="00A04352" w:rsidRPr="00A04352">
        <w:rPr>
          <w:color w:val="auto"/>
        </w:rPr>
        <w:t xml:space="preserve">cenario C </w:t>
      </w:r>
      <w:r w:rsidR="00B93534" w:rsidRPr="00A04352">
        <w:rPr>
          <w:color w:val="auto"/>
        </w:rPr>
        <w:t>ha</w:t>
      </w:r>
      <w:r w:rsidR="00B93534">
        <w:rPr>
          <w:color w:val="auto"/>
        </w:rPr>
        <w:t>d</w:t>
      </w:r>
      <w:r w:rsidR="00B93534" w:rsidRPr="00A04352">
        <w:rPr>
          <w:color w:val="auto"/>
        </w:rPr>
        <w:t xml:space="preserve"> </w:t>
      </w:r>
      <w:r w:rsidR="00A04352" w:rsidRPr="00A04352">
        <w:rPr>
          <w:color w:val="auto"/>
        </w:rPr>
        <w:t xml:space="preserve">a relatively good representation of ABL and better </w:t>
      </w:r>
      <w:r w:rsidR="00B93534" w:rsidRPr="00A04352">
        <w:rPr>
          <w:color w:val="auto"/>
        </w:rPr>
        <w:t>reproduce</w:t>
      </w:r>
      <w:r w:rsidR="00B93534">
        <w:rPr>
          <w:color w:val="auto"/>
        </w:rPr>
        <w:t>d</w:t>
      </w:r>
      <w:r w:rsidR="00B93534" w:rsidRPr="00A04352">
        <w:rPr>
          <w:color w:val="auto"/>
        </w:rPr>
        <w:t xml:space="preserve"> </w:t>
      </w:r>
      <w:r w:rsidR="00A04352" w:rsidRPr="00A04352">
        <w:rPr>
          <w:color w:val="auto"/>
        </w:rPr>
        <w:t xml:space="preserve">the </w:t>
      </w:r>
      <w:r w:rsidR="00B76C65">
        <w:rPr>
          <w:color w:val="auto"/>
        </w:rPr>
        <w:t>microphysical pattern</w:t>
      </w:r>
      <w:r w:rsidR="006D7065">
        <w:rPr>
          <w:color w:val="auto"/>
        </w:rPr>
        <w:t xml:space="preserve">, which </w:t>
      </w:r>
      <w:r w:rsidR="00F57F02">
        <w:rPr>
          <w:color w:val="auto"/>
        </w:rPr>
        <w:t xml:space="preserve">also </w:t>
      </w:r>
      <w:r w:rsidR="006D7065">
        <w:rPr>
          <w:color w:val="auto"/>
        </w:rPr>
        <w:t>confirm</w:t>
      </w:r>
      <w:r w:rsidR="00250087">
        <w:rPr>
          <w:color w:val="auto"/>
        </w:rPr>
        <w:t>s</w:t>
      </w:r>
      <w:r w:rsidR="006D7065">
        <w:rPr>
          <w:color w:val="auto"/>
        </w:rPr>
        <w:t xml:space="preserve"> </w:t>
      </w:r>
      <w:r w:rsidR="00F57F02">
        <w:rPr>
          <w:color w:val="auto"/>
        </w:rPr>
        <w:t>the role of the</w:t>
      </w:r>
      <w:r w:rsidR="006D7065">
        <w:rPr>
          <w:color w:val="auto"/>
        </w:rPr>
        <w:t xml:space="preserve"> </w:t>
      </w:r>
      <w:r w:rsidR="006D7065" w:rsidRPr="006D7065">
        <w:rPr>
          <w:color w:val="auto"/>
        </w:rPr>
        <w:t xml:space="preserve">large-scale forcing </w:t>
      </w:r>
      <w:r w:rsidR="00F57F02">
        <w:rPr>
          <w:color w:val="auto"/>
        </w:rPr>
        <w:t>in</w:t>
      </w:r>
      <w:r w:rsidR="006D7065" w:rsidRPr="006D7065">
        <w:rPr>
          <w:color w:val="auto"/>
        </w:rPr>
        <w:t xml:space="preserve"> cumulus </w:t>
      </w:r>
      <w:r w:rsidR="00C9577B">
        <w:rPr>
          <w:color w:val="auto"/>
        </w:rPr>
        <w:t>development over STP</w:t>
      </w:r>
      <w:r w:rsidR="00F57F02">
        <w:rPr>
          <w:color w:val="auto"/>
        </w:rPr>
        <w:t>.</w:t>
      </w:r>
    </w:p>
    <w:p w14:paraId="06052816" w14:textId="6B6F17A2" w:rsidR="0015617F" w:rsidRDefault="00133060" w:rsidP="0015617F">
      <w:pPr>
        <w:pStyle w:val="Note"/>
        <w:ind w:firstLine="540"/>
        <w:rPr>
          <w:color w:val="auto"/>
        </w:rPr>
      </w:pPr>
      <w:r w:rsidRPr="00133060">
        <w:rPr>
          <w:color w:val="auto"/>
        </w:rPr>
        <w:t xml:space="preserve">For </w:t>
      </w:r>
      <w:r w:rsidR="0058427B">
        <w:rPr>
          <w:color w:val="auto"/>
        </w:rPr>
        <w:t>CC</w:t>
      </w:r>
      <w:r w:rsidRPr="00133060">
        <w:rPr>
          <w:color w:val="auto"/>
        </w:rPr>
        <w:t xml:space="preserve"> simulation</w:t>
      </w:r>
      <w:r w:rsidR="001E1C65">
        <w:rPr>
          <w:rFonts w:eastAsia="SimSun" w:hint="eastAsia"/>
          <w:color w:val="auto"/>
          <w:lang w:eastAsia="zh-CN"/>
        </w:rPr>
        <w:t>s</w:t>
      </w:r>
      <w:r w:rsidRPr="00133060">
        <w:rPr>
          <w:color w:val="auto"/>
        </w:rPr>
        <w:t xml:space="preserve">, </w:t>
      </w:r>
      <w:r w:rsidR="009651C2">
        <w:rPr>
          <w:color w:val="auto"/>
        </w:rPr>
        <w:t>w</w:t>
      </w:r>
      <w:r w:rsidR="003C1D17">
        <w:rPr>
          <w:color w:val="auto"/>
        </w:rPr>
        <w:t>e</w:t>
      </w:r>
      <w:r w:rsidR="001A1982" w:rsidRPr="00135910">
        <w:rPr>
          <w:color w:val="auto"/>
        </w:rPr>
        <w:t xml:space="preserve"> </w:t>
      </w:r>
      <w:r w:rsidR="003C1D17" w:rsidRPr="00135910">
        <w:rPr>
          <w:color w:val="auto"/>
        </w:rPr>
        <w:t>recommend</w:t>
      </w:r>
      <w:r w:rsidR="001A1982" w:rsidRPr="00135910">
        <w:rPr>
          <w:color w:val="auto"/>
        </w:rPr>
        <w:t xml:space="preserve"> scenarios B and </w:t>
      </w:r>
      <w:r w:rsidR="00473FBA" w:rsidRPr="00135910">
        <w:rPr>
          <w:color w:val="auto"/>
        </w:rPr>
        <w:t>C</w:t>
      </w:r>
      <w:r w:rsidR="001A1982" w:rsidRPr="00135910">
        <w:rPr>
          <w:color w:val="auto"/>
        </w:rPr>
        <w:t xml:space="preserve">, which </w:t>
      </w:r>
      <w:r w:rsidR="003A700A">
        <w:rPr>
          <w:color w:val="auto"/>
        </w:rPr>
        <w:t>generally</w:t>
      </w:r>
      <w:r w:rsidR="001A1982" w:rsidRPr="00135910">
        <w:rPr>
          <w:color w:val="auto"/>
        </w:rPr>
        <w:t xml:space="preserve"> capture</w:t>
      </w:r>
      <w:r w:rsidR="003A700A">
        <w:rPr>
          <w:color w:val="auto"/>
        </w:rPr>
        <w:t>d</w:t>
      </w:r>
      <w:r w:rsidR="001A1982" w:rsidRPr="00135910">
        <w:rPr>
          <w:color w:val="auto"/>
        </w:rPr>
        <w:t xml:space="preserve"> the overall joint effects of ABL processes and cumulus cloud development</w:t>
      </w:r>
      <w:r w:rsidR="004D01A3">
        <w:rPr>
          <w:color w:val="auto"/>
        </w:rPr>
        <w:t>,</w:t>
      </w:r>
      <w:r w:rsidR="001A1982" w:rsidRPr="00135910">
        <w:rPr>
          <w:color w:val="auto"/>
        </w:rPr>
        <w:t xml:space="preserve"> </w:t>
      </w:r>
      <w:r w:rsidR="00DB6F10">
        <w:rPr>
          <w:color w:val="auto"/>
        </w:rPr>
        <w:t xml:space="preserve">observed </w:t>
      </w:r>
      <w:r w:rsidR="001A1982" w:rsidRPr="00135910">
        <w:rPr>
          <w:color w:val="auto"/>
        </w:rPr>
        <w:t xml:space="preserve">on July 19, 2014. </w:t>
      </w:r>
      <w:r w:rsidR="003C1D17">
        <w:rPr>
          <w:color w:val="auto"/>
        </w:rPr>
        <w:t>However, t</w:t>
      </w:r>
      <w:r w:rsidR="001A1982" w:rsidRPr="00135910">
        <w:rPr>
          <w:color w:val="auto"/>
        </w:rPr>
        <w:t xml:space="preserve">he WRF-LES presented some biases since the reliable data are still insufficient such as sounding that </w:t>
      </w:r>
      <w:r w:rsidR="00B93534">
        <w:rPr>
          <w:color w:val="auto"/>
        </w:rPr>
        <w:t>take</w:t>
      </w:r>
      <w:r w:rsidR="00B93534" w:rsidRPr="00135910">
        <w:rPr>
          <w:color w:val="auto"/>
        </w:rPr>
        <w:t xml:space="preserve"> </w:t>
      </w:r>
      <w:r w:rsidR="001A1982" w:rsidRPr="00135910">
        <w:rPr>
          <w:color w:val="auto"/>
        </w:rPr>
        <w:t xml:space="preserve">place twice a day, which is </w:t>
      </w:r>
      <w:r w:rsidR="00250087">
        <w:rPr>
          <w:color w:val="auto"/>
        </w:rPr>
        <w:t xml:space="preserve">a </w:t>
      </w:r>
      <w:r w:rsidR="001A1982" w:rsidRPr="00135910">
        <w:rPr>
          <w:color w:val="auto"/>
        </w:rPr>
        <w:t xml:space="preserve">very low temporal frequency. </w:t>
      </w:r>
      <w:r w:rsidR="003C1D17">
        <w:rPr>
          <w:color w:val="auto"/>
        </w:rPr>
        <w:t>Therefore</w:t>
      </w:r>
      <w:r w:rsidR="001A1982" w:rsidRPr="00135910">
        <w:rPr>
          <w:color w:val="auto"/>
        </w:rPr>
        <w:t xml:space="preserve">, </w:t>
      </w:r>
      <w:r w:rsidR="00342007">
        <w:rPr>
          <w:color w:val="auto"/>
        </w:rPr>
        <w:t>we</w:t>
      </w:r>
      <w:r w:rsidR="001A1982" w:rsidRPr="00135910">
        <w:rPr>
          <w:color w:val="auto"/>
        </w:rPr>
        <w:t xml:space="preserve"> </w:t>
      </w:r>
      <w:r w:rsidR="00342007" w:rsidRPr="00135910">
        <w:rPr>
          <w:color w:val="auto"/>
        </w:rPr>
        <w:lastRenderedPageBreak/>
        <w:t>suggest</w:t>
      </w:r>
      <w:r w:rsidR="001A1982" w:rsidRPr="00135910">
        <w:rPr>
          <w:color w:val="auto"/>
        </w:rPr>
        <w:t xml:space="preserve"> that for a scientific purpose </w:t>
      </w:r>
      <w:r w:rsidR="00993181">
        <w:rPr>
          <w:color w:val="auto"/>
        </w:rPr>
        <w:t xml:space="preserve">and clouds simulation over STP, </w:t>
      </w:r>
      <w:r w:rsidR="001A1982" w:rsidRPr="00135910">
        <w:rPr>
          <w:color w:val="auto"/>
        </w:rPr>
        <w:t xml:space="preserve">scenarios B and C can still be improved, by focusing on the model's response to the terrain and meteorological initial and boundary conditions. </w:t>
      </w:r>
      <w:r w:rsidR="00A54F7E" w:rsidRPr="00A54F7E">
        <w:rPr>
          <w:color w:val="auto"/>
        </w:rPr>
        <w:t>There is an interest in statistically stabilizing the model on the spin-up because the coupled WRF-LES would require the mesoscale simulation data to be reliable. In this case, this study performed a series of simulations by varying the spin-up time as preliminary work to determine the time interval that best matched this simulation.</w:t>
      </w:r>
      <w:r w:rsidR="0015617F">
        <w:rPr>
          <w:color w:val="auto"/>
        </w:rPr>
        <w:t xml:space="preserve"> </w:t>
      </w:r>
      <w:r w:rsidR="0015617F" w:rsidRPr="0015617F">
        <w:rPr>
          <w:color w:val="auto"/>
        </w:rPr>
        <w:t xml:space="preserve">Based on these results, part B of this paper will discuss the </w:t>
      </w:r>
      <w:r w:rsidR="0015617F" w:rsidRPr="0015617F">
        <w:rPr>
          <w:rFonts w:hint="eastAsia"/>
          <w:color w:val="auto"/>
        </w:rPr>
        <w:t>development mechanism</w:t>
      </w:r>
      <w:r w:rsidR="0015617F" w:rsidRPr="0015617F">
        <w:rPr>
          <w:color w:val="auto"/>
        </w:rPr>
        <w:t xml:space="preserve"> </w:t>
      </w:r>
      <w:r w:rsidR="0015617F" w:rsidRPr="0015617F">
        <w:rPr>
          <w:rFonts w:hint="eastAsia"/>
          <w:color w:val="auto"/>
        </w:rPr>
        <w:t>of the</w:t>
      </w:r>
      <w:r w:rsidR="0015617F" w:rsidRPr="0015617F">
        <w:rPr>
          <w:color w:val="auto"/>
        </w:rPr>
        <w:t xml:space="preserve"> deep cumulus convection </w:t>
      </w:r>
      <w:r w:rsidR="0015617F">
        <w:rPr>
          <w:color w:val="auto"/>
        </w:rPr>
        <w:t xml:space="preserve">over STP </w:t>
      </w:r>
      <w:r w:rsidR="0015617F" w:rsidRPr="0015617F">
        <w:rPr>
          <w:color w:val="auto"/>
        </w:rPr>
        <w:t>on July 19, 2014.</w:t>
      </w:r>
    </w:p>
    <w:p w14:paraId="005DBFD5" w14:textId="77777777" w:rsidR="00FE08D9" w:rsidRDefault="009C62E3" w:rsidP="009C62E3">
      <w:pPr>
        <w:pStyle w:val="Note"/>
        <w:rPr>
          <w:color w:val="auto"/>
        </w:rPr>
      </w:pPr>
      <w:r w:rsidRPr="00FE08D9">
        <w:rPr>
          <w:rStyle w:val="Heading1Char"/>
          <w:color w:val="auto"/>
        </w:rPr>
        <w:t>Acknowledgment</w:t>
      </w:r>
      <w:r w:rsidRPr="009C62E3">
        <w:rPr>
          <w:rStyle w:val="Heading1Char"/>
          <w:color w:val="auto"/>
        </w:rPr>
        <w:t>:</w:t>
      </w:r>
      <w:r w:rsidRPr="009C62E3">
        <w:rPr>
          <w:color w:val="auto"/>
        </w:rPr>
        <w:t xml:space="preserve"> </w:t>
      </w:r>
    </w:p>
    <w:p w14:paraId="7EA41D58" w14:textId="6C98AED7" w:rsidR="009C62E3" w:rsidRPr="009C62E3" w:rsidRDefault="009C62E3" w:rsidP="009D31E9">
      <w:pPr>
        <w:pStyle w:val="Note"/>
        <w:spacing w:before="0" w:after="0"/>
        <w:ind w:firstLine="540"/>
        <w:rPr>
          <w:color w:val="auto"/>
        </w:rPr>
      </w:pPr>
      <w:r w:rsidRPr="009C62E3">
        <w:rPr>
          <w:color w:val="auto"/>
        </w:rPr>
        <w:t xml:space="preserve">The authors would like to thank the </w:t>
      </w:r>
      <w:r w:rsidR="00FE08D9">
        <w:rPr>
          <w:color w:val="auto"/>
        </w:rPr>
        <w:t xml:space="preserve">Tianhe </w:t>
      </w:r>
      <w:r w:rsidRPr="009C62E3">
        <w:rPr>
          <w:color w:val="auto"/>
        </w:rPr>
        <w:t>for providing a high-performance computing (HPC) system for this work. The first author thank</w:t>
      </w:r>
      <w:r w:rsidR="001B74DE">
        <w:rPr>
          <w:color w:val="auto"/>
        </w:rPr>
        <w:t>s</w:t>
      </w:r>
      <w:r w:rsidRPr="009C62E3">
        <w:rPr>
          <w:color w:val="auto"/>
        </w:rPr>
        <w:t xml:space="preserve"> Hu Wenhao and Zhang Tianyu for helping to solve the technical issues encountered during this work. </w:t>
      </w:r>
      <w:r w:rsidR="000B07C0" w:rsidRPr="000B07C0">
        <w:rPr>
          <w:color w:val="auto"/>
        </w:rPr>
        <w:t xml:space="preserve">He would like </w:t>
      </w:r>
      <w:r w:rsidR="000B07C0">
        <w:rPr>
          <w:color w:val="auto"/>
        </w:rPr>
        <w:t xml:space="preserve">also </w:t>
      </w:r>
      <w:r w:rsidR="000B07C0" w:rsidRPr="000B07C0">
        <w:rPr>
          <w:color w:val="auto"/>
        </w:rPr>
        <w:t xml:space="preserve">to thank Professor </w:t>
      </w:r>
      <w:proofErr w:type="spellStart"/>
      <w:r w:rsidR="000B07C0" w:rsidRPr="000B07C0">
        <w:rPr>
          <w:color w:val="auto"/>
        </w:rPr>
        <w:t>Banna</w:t>
      </w:r>
      <w:proofErr w:type="spellEnd"/>
      <w:r w:rsidR="000B07C0" w:rsidRPr="000B07C0">
        <w:rPr>
          <w:color w:val="auto"/>
        </w:rPr>
        <w:t xml:space="preserve"> </w:t>
      </w:r>
      <w:proofErr w:type="spellStart"/>
      <w:r w:rsidR="000B07C0" w:rsidRPr="000B07C0">
        <w:rPr>
          <w:color w:val="auto"/>
        </w:rPr>
        <w:t>Magolmeena</w:t>
      </w:r>
      <w:proofErr w:type="spellEnd"/>
      <w:r w:rsidR="000B07C0" w:rsidRPr="000B07C0">
        <w:rPr>
          <w:color w:val="auto"/>
        </w:rPr>
        <w:t xml:space="preserve"> </w:t>
      </w:r>
      <w:r w:rsidR="002763F4">
        <w:rPr>
          <w:color w:val="auto"/>
        </w:rPr>
        <w:t xml:space="preserve">at the </w:t>
      </w:r>
      <w:r w:rsidR="004C484A">
        <w:rPr>
          <w:color w:val="auto"/>
        </w:rPr>
        <w:t>University of Lomé</w:t>
      </w:r>
      <w:r w:rsidR="00187767">
        <w:rPr>
          <w:color w:val="auto"/>
        </w:rPr>
        <w:t xml:space="preserve"> in Togo</w:t>
      </w:r>
      <w:r w:rsidR="004C484A">
        <w:rPr>
          <w:color w:val="auto"/>
        </w:rPr>
        <w:t xml:space="preserve"> </w:t>
      </w:r>
      <w:r w:rsidR="000B07C0" w:rsidRPr="000B07C0">
        <w:rPr>
          <w:color w:val="auto"/>
        </w:rPr>
        <w:t xml:space="preserve">for his particular attention to </w:t>
      </w:r>
      <w:r w:rsidR="001B74DE">
        <w:rPr>
          <w:color w:val="auto"/>
        </w:rPr>
        <w:t xml:space="preserve">the </w:t>
      </w:r>
      <w:r w:rsidR="005B6100">
        <w:rPr>
          <w:color w:val="auto"/>
        </w:rPr>
        <w:t xml:space="preserve">author’s </w:t>
      </w:r>
      <w:r w:rsidR="005B6100" w:rsidRPr="000B07C0">
        <w:rPr>
          <w:color w:val="auto"/>
        </w:rPr>
        <w:t>Ph.D.</w:t>
      </w:r>
      <w:r w:rsidR="00250087" w:rsidRPr="000B07C0">
        <w:rPr>
          <w:color w:val="auto"/>
        </w:rPr>
        <w:t xml:space="preserve"> </w:t>
      </w:r>
      <w:r w:rsidR="000B07C0" w:rsidRPr="000B07C0">
        <w:rPr>
          <w:color w:val="auto"/>
        </w:rPr>
        <w:t>studies.</w:t>
      </w:r>
      <w:r w:rsidR="008A1FD7">
        <w:rPr>
          <w:color w:val="auto"/>
        </w:rPr>
        <w:t xml:space="preserve"> </w:t>
      </w:r>
      <w:r w:rsidR="00D07094" w:rsidRPr="00D07094">
        <w:rPr>
          <w:color w:val="auto"/>
        </w:rPr>
        <w:t>He wishes to express his gratitude to the WMO and the National Meteorological Authority of Togo for making him a meteorologist</w:t>
      </w:r>
      <w:r w:rsidRPr="009C62E3">
        <w:rPr>
          <w:color w:val="auto"/>
        </w:rPr>
        <w:t xml:space="preserve">. </w:t>
      </w:r>
    </w:p>
    <w:p w14:paraId="7906B067" w14:textId="7EECFAC0" w:rsidR="009C62E3" w:rsidRPr="009C62E3" w:rsidRDefault="001F6346" w:rsidP="009D31E9">
      <w:pPr>
        <w:pStyle w:val="Note"/>
        <w:ind w:firstLine="540"/>
        <w:rPr>
          <w:color w:val="auto"/>
        </w:rPr>
      </w:pPr>
      <w:r w:rsidRPr="001F6346">
        <w:rPr>
          <w:color w:val="auto"/>
        </w:rPr>
        <w:t>This work was supported by the Chinese academy of sciences (CAS)</w:t>
      </w:r>
      <w:r w:rsidR="004961EA">
        <w:rPr>
          <w:color w:val="auto"/>
        </w:rPr>
        <w:t>,</w:t>
      </w:r>
      <w:r w:rsidRPr="001F6346">
        <w:rPr>
          <w:color w:val="auto"/>
        </w:rPr>
        <w:t xml:space="preserve"> the world academy of sciences (TWAS)</w:t>
      </w:r>
      <w:r>
        <w:rPr>
          <w:color w:val="auto"/>
        </w:rPr>
        <w:t xml:space="preserve"> </w:t>
      </w:r>
      <w:r w:rsidR="004961EA" w:rsidRPr="001F6346">
        <w:rPr>
          <w:color w:val="auto"/>
        </w:rPr>
        <w:t xml:space="preserve">and </w:t>
      </w:r>
      <w:r w:rsidR="004961EA">
        <w:rPr>
          <w:color w:val="auto"/>
        </w:rPr>
        <w:t xml:space="preserve">substantially </w:t>
      </w:r>
      <w:r w:rsidR="00FD5D8F" w:rsidRPr="00FD5D8F">
        <w:rPr>
          <w:color w:val="auto"/>
        </w:rPr>
        <w:t xml:space="preserve">supported by the National Science and Technology Major Project of the Ministry of Science and Technology of China (2018YFC1505704). </w:t>
      </w:r>
    </w:p>
    <w:p w14:paraId="5E1D062B" w14:textId="7A45D3EC" w:rsidR="008F6B58" w:rsidRDefault="008F6B58" w:rsidP="008C7C75">
      <w:pPr>
        <w:pStyle w:val="Heading1"/>
      </w:pPr>
      <w:r>
        <w:t>References</w:t>
      </w:r>
    </w:p>
    <w:p w14:paraId="2CC511D9" w14:textId="77777777" w:rsidR="00C62A9A" w:rsidRDefault="00A44B66" w:rsidP="00C62A9A">
      <w:pPr>
        <w:pStyle w:val="Bibliography"/>
      </w:pPr>
      <w:r>
        <w:fldChar w:fldCharType="begin"/>
      </w:r>
      <w:r w:rsidR="00C62A9A">
        <w:instrText xml:space="preserve"> ADDIN ZOTERO_BIBL {"uncited":[],"omitted":[],"custom":[]} CSL_BIBLIOGRAPHY </w:instrText>
      </w:r>
      <w:r>
        <w:fldChar w:fldCharType="separate"/>
      </w:r>
      <w:r w:rsidR="00C62A9A">
        <w:t xml:space="preserve">Anthes, R. A. (1986). The General Question of Predictability. In P. S. Ray (Ed.), </w:t>
      </w:r>
      <w:r w:rsidR="00C62A9A">
        <w:rPr>
          <w:i/>
          <w:iCs/>
        </w:rPr>
        <w:t>Mesoscale Meteorology and Forecasting</w:t>
      </w:r>
      <w:r w:rsidR="00C62A9A">
        <w:t xml:space="preserve"> (pp. 636–656). Boston, MA: American Meteorological Society. https://doi.org/10.1007/978-1-935704-20-1_27</w:t>
      </w:r>
    </w:p>
    <w:p w14:paraId="1F4A7C17" w14:textId="77777777" w:rsidR="00C62A9A" w:rsidRDefault="00C62A9A" w:rsidP="00C62A9A">
      <w:pPr>
        <w:pStyle w:val="Bibliography"/>
      </w:pPr>
      <w:r>
        <w:t xml:space="preserve">Ao, Y., Li, J., Li, Z., Lyu, S., Jiang, C., &amp; Wang, M. (2017). Relation between the Atmospheric Boundary Layer and Impact Factors under Severe Surface Thermal Conditions. </w:t>
      </w:r>
      <w:r>
        <w:rPr>
          <w:i/>
          <w:iCs/>
        </w:rPr>
        <w:t>Advances in Meteorology</w:t>
      </w:r>
      <w:r>
        <w:t xml:space="preserve">, </w:t>
      </w:r>
      <w:r>
        <w:rPr>
          <w:i/>
          <w:iCs/>
        </w:rPr>
        <w:t>2017</w:t>
      </w:r>
      <w:r>
        <w:t>, e8352461. https://doi.org/10.1155/2017/8352461</w:t>
      </w:r>
    </w:p>
    <w:p w14:paraId="0787320F" w14:textId="77777777" w:rsidR="00C62A9A" w:rsidRDefault="00C62A9A" w:rsidP="00C62A9A">
      <w:pPr>
        <w:pStyle w:val="Bibliography"/>
      </w:pPr>
      <w:r>
        <w:t xml:space="preserve">Arya, S. P. (Ed.). (2001). Chapter 1 Introduction. In </w:t>
      </w:r>
      <w:r>
        <w:rPr>
          <w:i/>
          <w:iCs/>
        </w:rPr>
        <w:t>International Geophysics</w:t>
      </w:r>
      <w:r>
        <w:t xml:space="preserve"> (Vol. 79, pp. 1–10). Academic Press. https://doi.org/10.1016/S0074-6142(01)80017-6</w:t>
      </w:r>
    </w:p>
    <w:p w14:paraId="689829A9" w14:textId="77777777" w:rsidR="00C62A9A" w:rsidRDefault="00C62A9A" w:rsidP="00C62A9A">
      <w:pPr>
        <w:pStyle w:val="Bibliography"/>
      </w:pPr>
      <w:r>
        <w:t xml:space="preserve">Betts, A. K., &amp; Ball, J. H. (1994). Budget analysis of FIFE 1987 sonde data. </w:t>
      </w:r>
      <w:r>
        <w:rPr>
          <w:i/>
          <w:iCs/>
        </w:rPr>
        <w:t>Journal of Geophysical Research: Atmospheres</w:t>
      </w:r>
      <w:r>
        <w:t xml:space="preserve">, </w:t>
      </w:r>
      <w:r>
        <w:rPr>
          <w:i/>
          <w:iCs/>
        </w:rPr>
        <w:t>99</w:t>
      </w:r>
      <w:r>
        <w:t>(D2), 3655–3666. https://doi.org/10.1029/93JD02739</w:t>
      </w:r>
    </w:p>
    <w:p w14:paraId="30832BC9" w14:textId="77777777" w:rsidR="00C62A9A" w:rsidRDefault="00C62A9A" w:rsidP="00C62A9A">
      <w:pPr>
        <w:pStyle w:val="Bibliography"/>
      </w:pPr>
      <w:r>
        <w:lastRenderedPageBreak/>
        <w:t xml:space="preserve">Canuto, V. M., &amp; Cheng, Y. (1997). Determination of the Smagorinsky–Lilly constant CS. </w:t>
      </w:r>
      <w:r>
        <w:rPr>
          <w:i/>
          <w:iCs/>
        </w:rPr>
        <w:t>Physics of Fluids</w:t>
      </w:r>
      <w:r>
        <w:t xml:space="preserve">, </w:t>
      </w:r>
      <w:r>
        <w:rPr>
          <w:i/>
          <w:iCs/>
        </w:rPr>
        <w:t>9</w:t>
      </w:r>
      <w:r>
        <w:t>(5), 1368–1378. https://doi.org/10.1063/1.869251</w:t>
      </w:r>
    </w:p>
    <w:p w14:paraId="33338D5F" w14:textId="77777777" w:rsidR="00C62A9A" w:rsidRPr="00C62A9A" w:rsidRDefault="00C62A9A" w:rsidP="00C62A9A">
      <w:pPr>
        <w:pStyle w:val="Bibliography"/>
        <w:rPr>
          <w:lang w:val="fr-FR"/>
        </w:rPr>
      </w:pPr>
      <w:r>
        <w:t xml:space="preserve">Chen, Henderson-Sellers, A., Milly, P. C. D., Pitman, A. J., Beljaars, A. C. M., Polcher, J., et al. (1997). Cabauw Experimental Results from the Project for Intercomparison of Land-Surface Parameterization Schemes. </w:t>
      </w:r>
      <w:r w:rsidRPr="00C62A9A">
        <w:rPr>
          <w:i/>
          <w:iCs/>
          <w:lang w:val="fr-FR"/>
        </w:rPr>
        <w:t>Journal of Climate</w:t>
      </w:r>
      <w:r w:rsidRPr="00C62A9A">
        <w:rPr>
          <w:lang w:val="fr-FR"/>
        </w:rPr>
        <w:t xml:space="preserve">, </w:t>
      </w:r>
      <w:r w:rsidRPr="00C62A9A">
        <w:rPr>
          <w:i/>
          <w:iCs/>
          <w:lang w:val="fr-FR"/>
        </w:rPr>
        <w:t>10</w:t>
      </w:r>
      <w:r w:rsidRPr="00C62A9A">
        <w:rPr>
          <w:lang w:val="fr-FR"/>
        </w:rPr>
        <w:t>(6), 1194–1215. https://doi.org/10.1175/1520-0442(1997)010&lt;1194:CERFTP&gt;2.0.CO;2</w:t>
      </w:r>
    </w:p>
    <w:p w14:paraId="5BC336B3" w14:textId="77777777" w:rsidR="00C62A9A" w:rsidRPr="00C62A9A" w:rsidRDefault="00C62A9A" w:rsidP="00C62A9A">
      <w:pPr>
        <w:pStyle w:val="Bibliography"/>
        <w:rPr>
          <w:lang w:val="fr-FR"/>
        </w:rPr>
      </w:pPr>
      <w:r w:rsidRPr="00C62A9A">
        <w:rPr>
          <w:lang w:val="fr-FR"/>
        </w:rPr>
        <w:t xml:space="preserve">Chen, X., Añel, J. A., Su, Z., Torre, L. de la, Kelder, H., Peet, J. van, &amp; Ma, Y. (2013). </w:t>
      </w:r>
      <w:r>
        <w:t xml:space="preserve">The Deep Atmospheric Boundary Layer and Its Significance to the Stratosphere and Troposphere Exchange over the Tibetan Plateau. </w:t>
      </w:r>
      <w:r w:rsidRPr="00C62A9A">
        <w:rPr>
          <w:i/>
          <w:iCs/>
          <w:lang w:val="fr-FR"/>
        </w:rPr>
        <w:t>PLOS ONE</w:t>
      </w:r>
      <w:r w:rsidRPr="00C62A9A">
        <w:rPr>
          <w:lang w:val="fr-FR"/>
        </w:rPr>
        <w:t xml:space="preserve">, </w:t>
      </w:r>
      <w:r w:rsidRPr="00C62A9A">
        <w:rPr>
          <w:i/>
          <w:iCs/>
          <w:lang w:val="fr-FR"/>
        </w:rPr>
        <w:t>8</w:t>
      </w:r>
      <w:r w:rsidRPr="00C62A9A">
        <w:rPr>
          <w:lang w:val="fr-FR"/>
        </w:rPr>
        <w:t>(2), e56909. https://doi.org/10.1371/journal.pone.0056909</w:t>
      </w:r>
    </w:p>
    <w:p w14:paraId="6B164BEA" w14:textId="77777777" w:rsidR="00C62A9A" w:rsidRDefault="00C62A9A" w:rsidP="00C62A9A">
      <w:pPr>
        <w:pStyle w:val="Bibliography"/>
      </w:pPr>
      <w:r w:rsidRPr="00C62A9A">
        <w:rPr>
          <w:lang w:val="fr-FR"/>
        </w:rPr>
        <w:t xml:space="preserve">Chen, X., Škerlak, B., Rotach, M. W., Añel, J. A., Su, Z., Ma, Y., &amp; Li, M. (2016). </w:t>
      </w:r>
      <w:r>
        <w:t xml:space="preserve">Reasons for the Extremely High-Ranging Planetary Boundary Layer over the Western Tibetan Plateau in Winter. </w:t>
      </w:r>
      <w:r>
        <w:rPr>
          <w:i/>
          <w:iCs/>
        </w:rPr>
        <w:t>Journal of the Atmospheric Sciences</w:t>
      </w:r>
      <w:r>
        <w:t xml:space="preserve">, </w:t>
      </w:r>
      <w:r>
        <w:rPr>
          <w:i/>
          <w:iCs/>
        </w:rPr>
        <w:t>73</w:t>
      </w:r>
      <w:r>
        <w:t>(5), 2021–2038. https://doi.org/10.1175/JAS-D-15-0148.1</w:t>
      </w:r>
    </w:p>
    <w:p w14:paraId="516B3682" w14:textId="77777777" w:rsidR="00C62A9A" w:rsidRDefault="00C62A9A" w:rsidP="00C62A9A">
      <w:pPr>
        <w:pStyle w:val="Bibliography"/>
      </w:pPr>
      <w:r>
        <w:t xml:space="preserve">Cheng, W.-C., Kendall, D. R., Putti, M., &amp; Yeh, W. W.-G. (2009). A nudging data assimilation algorithm for the identification of groundwater pumping. </w:t>
      </w:r>
      <w:r>
        <w:rPr>
          <w:i/>
          <w:iCs/>
        </w:rPr>
        <w:t>Water Resources Research</w:t>
      </w:r>
      <w:r>
        <w:t xml:space="preserve">, </w:t>
      </w:r>
      <w:r>
        <w:rPr>
          <w:i/>
          <w:iCs/>
        </w:rPr>
        <w:t>45</w:t>
      </w:r>
      <w:r>
        <w:t>(8). https://doi.org/10.1029/2008WR007602</w:t>
      </w:r>
    </w:p>
    <w:p w14:paraId="191705A7" w14:textId="77777777" w:rsidR="00C62A9A" w:rsidRDefault="00C62A9A" w:rsidP="00C62A9A">
      <w:pPr>
        <w:pStyle w:val="Bibliography"/>
      </w:pPr>
      <w:r>
        <w:t xml:space="preserve">Chow, F. K., &amp; Street, R. L. (2009). Evaluation of Turbulence Closure Models for Large-Eddy Simulation over Complex Terrain: Flow over Askervein Hill. </w:t>
      </w:r>
      <w:r>
        <w:rPr>
          <w:i/>
          <w:iCs/>
        </w:rPr>
        <w:t>Journal of Applied Meteorology and Climatology</w:t>
      </w:r>
      <w:r>
        <w:t xml:space="preserve">, </w:t>
      </w:r>
      <w:r>
        <w:rPr>
          <w:i/>
          <w:iCs/>
        </w:rPr>
        <w:t>48</w:t>
      </w:r>
      <w:r>
        <w:t>(5), 1050–1065. https://doi.org/10.1175/2008JAMC1862.1</w:t>
      </w:r>
    </w:p>
    <w:p w14:paraId="234084C7" w14:textId="77777777" w:rsidR="00C62A9A" w:rsidRDefault="00C62A9A" w:rsidP="00C62A9A">
      <w:pPr>
        <w:pStyle w:val="Bibliography"/>
      </w:pPr>
      <w:r>
        <w:t xml:space="preserve">Chow, F. K., Street, R. L., Xue, M., &amp; Ferziger, J. H. (2005). Explicit Filtering and Reconstruction Turbulence Modeling for Large-Eddy Simulation of Neutral Boundary Layer Flow. </w:t>
      </w:r>
      <w:r>
        <w:rPr>
          <w:i/>
          <w:iCs/>
        </w:rPr>
        <w:lastRenderedPageBreak/>
        <w:t>Journal of the Atmospheric Sciences</w:t>
      </w:r>
      <w:r>
        <w:t xml:space="preserve">, </w:t>
      </w:r>
      <w:r>
        <w:rPr>
          <w:i/>
          <w:iCs/>
        </w:rPr>
        <w:t>62</w:t>
      </w:r>
      <w:r>
        <w:t>(7), 2058–2077. https://doi.org/10.1175/JAS3456.1</w:t>
      </w:r>
    </w:p>
    <w:p w14:paraId="7D32871A" w14:textId="77777777" w:rsidR="00C62A9A" w:rsidRDefault="00C62A9A" w:rsidP="00C62A9A">
      <w:pPr>
        <w:pStyle w:val="Bibliography"/>
      </w:pPr>
      <w:r>
        <w:t xml:space="preserve">Cotton, W. R., &amp; Anthes, R. A. (Eds.). (1992). Chapter 8 Cumulus Clouds. In </w:t>
      </w:r>
      <w:r>
        <w:rPr>
          <w:i/>
          <w:iCs/>
        </w:rPr>
        <w:t>International Geophysics</w:t>
      </w:r>
      <w:r>
        <w:t xml:space="preserve"> (Vol. 44, pp. 368–454). Academic Press. https://doi.org/10.1016/S0074-6142(08)60547-1</w:t>
      </w:r>
    </w:p>
    <w:p w14:paraId="1675F539" w14:textId="77777777" w:rsidR="00C62A9A" w:rsidRDefault="00C62A9A" w:rsidP="00C62A9A">
      <w:pPr>
        <w:pStyle w:val="Bibliography"/>
      </w:pPr>
      <w:r w:rsidRPr="00C62A9A">
        <w:rPr>
          <w:lang w:val="fr-FR"/>
        </w:rPr>
        <w:t xml:space="preserve">Couvreux, F., Guichard, F., Austin, P. H., &amp; Chen, F. (2009). </w:t>
      </w:r>
      <w:r>
        <w:t xml:space="preserve">Nature of the Mesoscale Boundary Layer Height and Water Vapor Variability Observed 14 June 2002 during the IHOP_2002 Campaign. </w:t>
      </w:r>
      <w:r>
        <w:rPr>
          <w:i/>
          <w:iCs/>
        </w:rPr>
        <w:t>Monthly Weather Review</w:t>
      </w:r>
      <w:r>
        <w:t xml:space="preserve">, </w:t>
      </w:r>
      <w:r>
        <w:rPr>
          <w:i/>
          <w:iCs/>
        </w:rPr>
        <w:t>137</w:t>
      </w:r>
      <w:r>
        <w:t>(1), 414–432. https://doi.org/10.1175/2008MWR2367.1</w:t>
      </w:r>
    </w:p>
    <w:p w14:paraId="464D3A16" w14:textId="77777777" w:rsidR="00C62A9A" w:rsidRDefault="00C62A9A" w:rsidP="00C62A9A">
      <w:pPr>
        <w:pStyle w:val="Bibliography"/>
      </w:pPr>
      <w:r>
        <w:t xml:space="preserve">Dai, C., Wang, Q., Kalogiros, J. A., Lenschow, D. H., Gao, Z., &amp; Zhou, M. (2014). Determining Boundary-Layer Height from Aircraft Measurements. </w:t>
      </w:r>
      <w:r>
        <w:rPr>
          <w:i/>
          <w:iCs/>
        </w:rPr>
        <w:t>Boundary-Layer Meteorology</w:t>
      </w:r>
      <w:r>
        <w:t xml:space="preserve">, </w:t>
      </w:r>
      <w:r>
        <w:rPr>
          <w:i/>
          <w:iCs/>
        </w:rPr>
        <w:t>152</w:t>
      </w:r>
      <w:r>
        <w:t>(3), 277–302. https://doi.org/10.1007/s10546-014-9929-z</w:t>
      </w:r>
    </w:p>
    <w:p w14:paraId="1BBA488B" w14:textId="77777777" w:rsidR="00C62A9A" w:rsidRDefault="00C62A9A" w:rsidP="00C62A9A">
      <w:pPr>
        <w:pStyle w:val="Bibliography"/>
      </w:pPr>
      <w:r>
        <w:t xml:space="preserve">Deardorff, J. W. (1980). Stratocumulus-capped mixed layers derived from a three-dimensional model. </w:t>
      </w:r>
      <w:r>
        <w:rPr>
          <w:i/>
          <w:iCs/>
        </w:rPr>
        <w:t>Boundary-Layer Meteorology</w:t>
      </w:r>
      <w:r>
        <w:t xml:space="preserve">, </w:t>
      </w:r>
      <w:r>
        <w:rPr>
          <w:i/>
          <w:iCs/>
        </w:rPr>
        <w:t>18</w:t>
      </w:r>
      <w:r>
        <w:t>(4), 495–527. https://doi.org/10.1007/BF00119502</w:t>
      </w:r>
    </w:p>
    <w:p w14:paraId="547DBB36" w14:textId="77777777" w:rsidR="00C62A9A" w:rsidRDefault="00C62A9A" w:rsidP="00C62A9A">
      <w:pPr>
        <w:pStyle w:val="Bibliography"/>
      </w:pPr>
      <w:r>
        <w:t xml:space="preserve">Ding, J., Cuo, L., Zhang, Y., &amp; Zhu, F. (2018). Monthly and annual temperature extremes and their changes on the Tibetan Plateau and its surroundings during 1963–2015. </w:t>
      </w:r>
      <w:r>
        <w:rPr>
          <w:i/>
          <w:iCs/>
        </w:rPr>
        <w:t>Scientific Reports</w:t>
      </w:r>
      <w:r>
        <w:t xml:space="preserve">, </w:t>
      </w:r>
      <w:r>
        <w:rPr>
          <w:i/>
          <w:iCs/>
        </w:rPr>
        <w:t>8</w:t>
      </w:r>
      <w:r>
        <w:t>(1), 11860. https://doi.org/10.1038/s41598-018-30320-0</w:t>
      </w:r>
    </w:p>
    <w:p w14:paraId="7683E1BA" w14:textId="77777777" w:rsidR="00C62A9A" w:rsidRDefault="00C62A9A" w:rsidP="00C62A9A">
      <w:pPr>
        <w:pStyle w:val="Bibliography"/>
      </w:pPr>
      <w:r>
        <w:t xml:space="preserve">Dudhia, J. (2014). A history of mesoscale model development. </w:t>
      </w:r>
      <w:r>
        <w:rPr>
          <w:i/>
          <w:iCs/>
        </w:rPr>
        <w:t>Asia-Pacific Journal of Atmospheric Sciences</w:t>
      </w:r>
      <w:r>
        <w:t xml:space="preserve">, </w:t>
      </w:r>
      <w:r>
        <w:rPr>
          <w:i/>
          <w:iCs/>
        </w:rPr>
        <w:t>50</w:t>
      </w:r>
      <w:r>
        <w:t>(1), 121–131. https://doi.org/10.1007/s13143-014-0031-8</w:t>
      </w:r>
    </w:p>
    <w:p w14:paraId="3C7797FA" w14:textId="77777777" w:rsidR="00C62A9A" w:rsidRDefault="00C62A9A" w:rsidP="00C62A9A">
      <w:pPr>
        <w:pStyle w:val="Bibliography"/>
      </w:pPr>
      <w:r>
        <w:t xml:space="preserve">Emanuel, K. A. (Ed.). (1993). </w:t>
      </w:r>
      <w:r>
        <w:rPr>
          <w:i/>
          <w:iCs/>
        </w:rPr>
        <w:t>The Representation of Cumulus Convection in Numerical Models</w:t>
      </w:r>
      <w:r>
        <w:t>. American Meteorological Society. https://doi.org/10.1007/978-1-935704-13-3</w:t>
      </w:r>
    </w:p>
    <w:p w14:paraId="530E31F4" w14:textId="77777777" w:rsidR="00C62A9A" w:rsidRDefault="00C62A9A" w:rsidP="00C62A9A">
      <w:pPr>
        <w:pStyle w:val="Bibliography"/>
      </w:pPr>
      <w:r>
        <w:lastRenderedPageBreak/>
        <w:t xml:space="preserve">Emanuel, K. A. (1997). Overview of Atmospheric Convection. In R. K. Smith (Ed.), </w:t>
      </w:r>
      <w:r>
        <w:rPr>
          <w:i/>
          <w:iCs/>
        </w:rPr>
        <w:t>The Physics and Parameterization of Moist Atmospheric Convection</w:t>
      </w:r>
      <w:r>
        <w:t xml:space="preserve"> (pp. 1–28). Dordrecht: Springer Netherlands. https://doi.org/10.1007/978-94-015-8828-7_1</w:t>
      </w:r>
    </w:p>
    <w:p w14:paraId="629F3934" w14:textId="77777777" w:rsidR="00C62A9A" w:rsidRDefault="00C62A9A" w:rsidP="00C62A9A">
      <w:pPr>
        <w:pStyle w:val="Bibliography"/>
      </w:pPr>
      <w:r>
        <w:t xml:space="preserve">Flohn, H. (1968). </w:t>
      </w:r>
      <w:r>
        <w:rPr>
          <w:i/>
          <w:iCs/>
        </w:rPr>
        <w:t>Contributions to a meteorology of the Tibetan highlands</w:t>
      </w:r>
      <w:r>
        <w:t>. Fort Collins, Colo. : Department of Atmospheric Science, Colorado State University, 1968., U.S.A. Retrieved from https://fmpl.catalog.aspencat.info/ColoGovDoc/ocn719384850</w:t>
      </w:r>
    </w:p>
    <w:p w14:paraId="11625862" w14:textId="77777777" w:rsidR="00C62A9A" w:rsidRDefault="00C62A9A" w:rsidP="00C62A9A">
      <w:pPr>
        <w:pStyle w:val="Bibliography"/>
      </w:pPr>
      <w:r>
        <w:t xml:space="preserve">Fu, R., Hu, Y., Wright, J. S., Jiang, J. H., Dickinson, R. E., Chen, M., et al. (2006). Short circuit of water vapor and polluted air to the global stratosphere by convective transport over the Tibetan Plateau. </w:t>
      </w:r>
      <w:r>
        <w:rPr>
          <w:i/>
          <w:iCs/>
        </w:rPr>
        <w:t>Proceedings of the National Academy of Sciences</w:t>
      </w:r>
      <w:r>
        <w:t xml:space="preserve">, </w:t>
      </w:r>
      <w:r>
        <w:rPr>
          <w:i/>
          <w:iCs/>
        </w:rPr>
        <w:t>103</w:t>
      </w:r>
      <w:r>
        <w:t>(15), 5664–5669. https://doi.org/10.1073/pnas.0601584103</w:t>
      </w:r>
    </w:p>
    <w:p w14:paraId="04E56EF0" w14:textId="77777777" w:rsidR="00C62A9A" w:rsidRDefault="00C62A9A" w:rsidP="00C62A9A">
      <w:pPr>
        <w:pStyle w:val="Bibliography"/>
      </w:pPr>
      <w:r w:rsidRPr="00C62A9A">
        <w:rPr>
          <w:lang w:val="fr-FR"/>
        </w:rPr>
        <w:t xml:space="preserve">Fu, Y., Ma, Y., Zhong, L., Yang, Y., Guo, X., Wang, C., et al. </w:t>
      </w:r>
      <w:r>
        <w:t xml:space="preserve">(2020). Land-surface processes and summer-cloud-precipitation characteristics in the Tibetan Plateau and their effects on downstream weather: a review and perspective. </w:t>
      </w:r>
      <w:r>
        <w:rPr>
          <w:i/>
          <w:iCs/>
        </w:rPr>
        <w:t>National Science Review</w:t>
      </w:r>
      <w:r>
        <w:t xml:space="preserve">, </w:t>
      </w:r>
      <w:r>
        <w:rPr>
          <w:i/>
          <w:iCs/>
        </w:rPr>
        <w:t>7</w:t>
      </w:r>
      <w:r>
        <w:t>(3), 500–515. https://doi.org/10.1093/nsr/nwz226</w:t>
      </w:r>
    </w:p>
    <w:p w14:paraId="70DD9DAA" w14:textId="77777777" w:rsidR="00C62A9A" w:rsidRDefault="00C62A9A" w:rsidP="00C62A9A">
      <w:pPr>
        <w:pStyle w:val="Bibliography"/>
      </w:pPr>
      <w:r>
        <w:t xml:space="preserve">Fujita, T. T. (1986). Mesoscale Classifications: Their History and Their Application to Forecasting. In P. S. Ray (Ed.), </w:t>
      </w:r>
      <w:r>
        <w:rPr>
          <w:i/>
          <w:iCs/>
        </w:rPr>
        <w:t>Mesoscale Meteorology and Forecasting</w:t>
      </w:r>
      <w:r>
        <w:t xml:space="preserve"> (pp. 18–35). Boston, MA: American Meteorological Society. https://doi.org/10.1007/978-1-935704-20-1_2</w:t>
      </w:r>
    </w:p>
    <w:p w14:paraId="00F6709B" w14:textId="77777777" w:rsidR="00C62A9A" w:rsidRDefault="00C62A9A" w:rsidP="00C62A9A">
      <w:pPr>
        <w:pStyle w:val="Bibliography"/>
      </w:pPr>
      <w:r>
        <w:t xml:space="preserve">Gao, W., Sui, C.-H., Fan, J., Hu, Z., &amp; Zhong, L. (2016). A study of cloud microphysics and precipitation over the Tibetan Plateau by radar observations and cloud-resolving model simulations: Cloud Microphysics over Tibetan Plateau. </w:t>
      </w:r>
      <w:r>
        <w:rPr>
          <w:i/>
          <w:iCs/>
        </w:rPr>
        <w:t>Journal of Geophysical Research: Atmospheres</w:t>
      </w:r>
      <w:r>
        <w:t xml:space="preserve">, </w:t>
      </w:r>
      <w:r>
        <w:rPr>
          <w:i/>
          <w:iCs/>
        </w:rPr>
        <w:t>121</w:t>
      </w:r>
      <w:r>
        <w:t>(22), 13,735-13,752. https://doi.org/10.1002/2015JD024196</w:t>
      </w:r>
    </w:p>
    <w:p w14:paraId="094AA8E1" w14:textId="77777777" w:rsidR="00C62A9A" w:rsidRDefault="00C62A9A" w:rsidP="00C62A9A">
      <w:pPr>
        <w:pStyle w:val="Bibliography"/>
      </w:pPr>
      <w:r>
        <w:lastRenderedPageBreak/>
        <w:t xml:space="preserve">Gavilán, P., &amp; Berengena, J. (2006). Accuracy of the Bowen ratio-energy balance method for measuring latent heat flux in a semiarid advective environment. </w:t>
      </w:r>
      <w:r>
        <w:rPr>
          <w:i/>
          <w:iCs/>
        </w:rPr>
        <w:t>Irrigation Science</w:t>
      </w:r>
      <w:r>
        <w:t xml:space="preserve">, </w:t>
      </w:r>
      <w:r>
        <w:rPr>
          <w:i/>
          <w:iCs/>
        </w:rPr>
        <w:t>25</w:t>
      </w:r>
      <w:r>
        <w:t>(2), 127–140. https://doi.org/10.1007/s00271-006-0040-1</w:t>
      </w:r>
    </w:p>
    <w:p w14:paraId="103D668E" w14:textId="77777777" w:rsidR="00C62A9A" w:rsidRDefault="00C62A9A" w:rsidP="00C62A9A">
      <w:pPr>
        <w:pStyle w:val="Bibliography"/>
      </w:pPr>
      <w:r>
        <w:t xml:space="preserve">Gentry, M. S., &amp; Lackmann, G. M. (2010). Sensitivity of Simulated Tropical Cyclone Structure and Intensity to Horizontal Resolution. </w:t>
      </w:r>
      <w:r>
        <w:rPr>
          <w:i/>
          <w:iCs/>
        </w:rPr>
        <w:t>Monthly Weather Review</w:t>
      </w:r>
      <w:r>
        <w:t xml:space="preserve">, </w:t>
      </w:r>
      <w:r>
        <w:rPr>
          <w:i/>
          <w:iCs/>
        </w:rPr>
        <w:t>138</w:t>
      </w:r>
      <w:r>
        <w:t>(3), 688–704. https://doi.org/10.1175/2009MWR2976.1</w:t>
      </w:r>
    </w:p>
    <w:p w14:paraId="1E941803" w14:textId="77777777" w:rsidR="00C62A9A" w:rsidRDefault="00C62A9A" w:rsidP="00C62A9A">
      <w:pPr>
        <w:pStyle w:val="Bibliography"/>
      </w:pPr>
      <w:r>
        <w:t xml:space="preserve">Heinze, R., Moseley, C., Böske, L. N., Muppa, S. K., Maurer, V., Raasch, S., &amp; Stevens, B. (2017). Evaluation of large-eddy simulations forced with mesoscale model output for a multi-week period during a measurement campaign. </w:t>
      </w:r>
      <w:r>
        <w:rPr>
          <w:i/>
          <w:iCs/>
        </w:rPr>
        <w:t>Atmospheric Chemistry and Physics</w:t>
      </w:r>
      <w:r>
        <w:t xml:space="preserve">, </w:t>
      </w:r>
      <w:r>
        <w:rPr>
          <w:i/>
          <w:iCs/>
        </w:rPr>
        <w:t>17</w:t>
      </w:r>
      <w:r>
        <w:t>(11), 7083–7109. https://doi.org/10.5194/acp-17-7083-2017</w:t>
      </w:r>
    </w:p>
    <w:p w14:paraId="3269F2AF" w14:textId="77777777" w:rsidR="00C62A9A" w:rsidRDefault="00C62A9A" w:rsidP="00C62A9A">
      <w:pPr>
        <w:pStyle w:val="Bibliography"/>
      </w:pPr>
      <w:r>
        <w:t xml:space="preserve">Hess, M., Koepke, P., &amp; Schult, I. (1998). Optical Properties of Aerosols and Clouds: The Software Package OPAC. </w:t>
      </w:r>
      <w:r>
        <w:rPr>
          <w:i/>
          <w:iCs/>
        </w:rPr>
        <w:t>Bulletin of the American Meteorological Society</w:t>
      </w:r>
      <w:r>
        <w:t xml:space="preserve">, </w:t>
      </w:r>
      <w:r>
        <w:rPr>
          <w:i/>
          <w:iCs/>
        </w:rPr>
        <w:t>79</w:t>
      </w:r>
      <w:r>
        <w:t>(5), 831–844. https://doi.org/10.1175/1520-0477(1998)079&lt;0831:OPOAAC&gt;2.0.CO;2</w:t>
      </w:r>
    </w:p>
    <w:p w14:paraId="258FFFA0" w14:textId="77777777" w:rsidR="00C62A9A" w:rsidRDefault="00C62A9A" w:rsidP="00C62A9A">
      <w:pPr>
        <w:pStyle w:val="Bibliography"/>
      </w:pPr>
      <w:r>
        <w:t xml:space="preserve">van den Hurk, B. J. J. M., &amp; Holtslag, A. A. M. (1997). On the bulk parameterization of surface fluxes for various conditions and parameter ranges. </w:t>
      </w:r>
      <w:r>
        <w:rPr>
          <w:i/>
          <w:iCs/>
        </w:rPr>
        <w:t>Boundary-Layer Meteorology</w:t>
      </w:r>
      <w:r>
        <w:t xml:space="preserve">, </w:t>
      </w:r>
      <w:r>
        <w:rPr>
          <w:i/>
          <w:iCs/>
        </w:rPr>
        <w:t>82</w:t>
      </w:r>
      <w:r>
        <w:t>(1), 119–133. https://doi.org/10.1023/A:1000245600901</w:t>
      </w:r>
    </w:p>
    <w:p w14:paraId="204E695E" w14:textId="77777777" w:rsidR="00C62A9A" w:rsidRDefault="00C62A9A" w:rsidP="00C62A9A">
      <w:pPr>
        <w:pStyle w:val="Bibliography"/>
      </w:pPr>
      <w:r>
        <w:t xml:space="preserve">Iacono, M. J., Delamere, J. S., Mlawer, E. J., Shephard, M. W., Clough, S. A., &amp; Collins, W. D. (2008). Radiative forcing by long-lived greenhouse gases: Calculations with the AER radiative transfer models. </w:t>
      </w:r>
      <w:r>
        <w:rPr>
          <w:i/>
          <w:iCs/>
        </w:rPr>
        <w:t>Journal of Geophysical Research</w:t>
      </w:r>
      <w:r>
        <w:t xml:space="preserve">, </w:t>
      </w:r>
      <w:r>
        <w:rPr>
          <w:i/>
          <w:iCs/>
        </w:rPr>
        <w:t>113</w:t>
      </w:r>
      <w:r>
        <w:t>(D13), D13103. https://doi.org/10.1029/2008JD009944</w:t>
      </w:r>
    </w:p>
    <w:p w14:paraId="7B2CFADF" w14:textId="77777777" w:rsidR="00C62A9A" w:rsidRDefault="00C62A9A" w:rsidP="00C62A9A">
      <w:pPr>
        <w:pStyle w:val="Bibliography"/>
      </w:pPr>
      <w:r>
        <w:t xml:space="preserve">IPCC, I. P. on C. C. (2014). </w:t>
      </w:r>
      <w:r>
        <w:rPr>
          <w:i/>
          <w:iCs/>
        </w:rPr>
        <w:t xml:space="preserve">Climate Change 2013 - The Physical Science Basis: Working Group I Contribution to the Fifth Assessment Report of the Intergovernmental Panel on Climate </w:t>
      </w:r>
      <w:r>
        <w:rPr>
          <w:i/>
          <w:iCs/>
        </w:rPr>
        <w:lastRenderedPageBreak/>
        <w:t>Change</w:t>
      </w:r>
      <w:r>
        <w:t>. Cambridge: Cambridge University Press. https://doi.org/10.1017/CBO9781107415324</w:t>
      </w:r>
    </w:p>
    <w:p w14:paraId="07A13CA8" w14:textId="77777777" w:rsidR="00C62A9A" w:rsidRDefault="00C62A9A" w:rsidP="00C62A9A">
      <w:pPr>
        <w:pStyle w:val="Bibliography"/>
      </w:pPr>
      <w:r>
        <w:t xml:space="preserve">Janjic, Z. (2002). Nonsingular Implementation of the Mellor–Yamada Level 2.5 Scheme in the NCEP Meso Model. </w:t>
      </w:r>
      <w:r>
        <w:rPr>
          <w:i/>
          <w:iCs/>
        </w:rPr>
        <w:t>NCEP Office Note</w:t>
      </w:r>
      <w:r>
        <w:t xml:space="preserve">, </w:t>
      </w:r>
      <w:r>
        <w:rPr>
          <w:i/>
          <w:iCs/>
        </w:rPr>
        <w:t>436</w:t>
      </w:r>
      <w:r>
        <w:t>.</w:t>
      </w:r>
    </w:p>
    <w:p w14:paraId="4FA0A9A9" w14:textId="77777777" w:rsidR="00C62A9A" w:rsidRDefault="00C62A9A" w:rsidP="00C62A9A">
      <w:pPr>
        <w:pStyle w:val="Bibliography"/>
      </w:pPr>
      <w:r>
        <w:t xml:space="preserve">Jeworrek, J., West, G., &amp; Stull, R. (2019). Evaluation of Cumulus and Microphysics Parameterizations in WRF across the Convective Gray Zone. </w:t>
      </w:r>
      <w:r>
        <w:rPr>
          <w:i/>
          <w:iCs/>
        </w:rPr>
        <w:t>Weather and Forecasting</w:t>
      </w:r>
      <w:r>
        <w:t xml:space="preserve">, </w:t>
      </w:r>
      <w:r>
        <w:rPr>
          <w:i/>
          <w:iCs/>
        </w:rPr>
        <w:t>34</w:t>
      </w:r>
      <w:r>
        <w:t>(4), 1097–1115. https://doi.org/10.1175/WAF-D-18-0178.1</w:t>
      </w:r>
    </w:p>
    <w:p w14:paraId="61998DD0" w14:textId="77777777" w:rsidR="00C62A9A" w:rsidRDefault="00C62A9A" w:rsidP="00C62A9A">
      <w:pPr>
        <w:pStyle w:val="Bibliography"/>
      </w:pPr>
      <w:r>
        <w:t xml:space="preserve">Jiménez, P. A., Dudhia, J., González-Rouco, J. F., Navarro, J., Montávez, J. P., &amp; García-Bustamante, E. (2012). A Revised Scheme for the WRF Surface Layer Formulation. </w:t>
      </w:r>
      <w:r>
        <w:rPr>
          <w:i/>
          <w:iCs/>
        </w:rPr>
        <w:t>Monthly Weather Review</w:t>
      </w:r>
      <w:r>
        <w:t xml:space="preserve">, </w:t>
      </w:r>
      <w:r>
        <w:rPr>
          <w:i/>
          <w:iCs/>
        </w:rPr>
        <w:t>140</w:t>
      </w:r>
      <w:r>
        <w:t>(3), 898–918. https://doi.org/10.1175/MWR-D-11-00056.1</w:t>
      </w:r>
    </w:p>
    <w:p w14:paraId="5AE24119" w14:textId="77777777" w:rsidR="00C62A9A" w:rsidRDefault="00C62A9A" w:rsidP="00C62A9A">
      <w:pPr>
        <w:pStyle w:val="Bibliography"/>
      </w:pPr>
      <w:r>
        <w:t xml:space="preserve">Kain, J. S. (2004). The Kain–Fritsch Convective Parameterization: An Update. </w:t>
      </w:r>
      <w:r>
        <w:rPr>
          <w:i/>
          <w:iCs/>
        </w:rPr>
        <w:t>Journal of Applied Meteorology and Climatology</w:t>
      </w:r>
      <w:r>
        <w:t xml:space="preserve">, </w:t>
      </w:r>
      <w:r>
        <w:rPr>
          <w:i/>
          <w:iCs/>
        </w:rPr>
        <w:t>43</w:t>
      </w:r>
      <w:r>
        <w:t>(1), 170–181. https://doi.org/10.1175/1520-0450(2004)043&lt;0170:TKCPAU&gt;2.0.CO;2</w:t>
      </w:r>
    </w:p>
    <w:p w14:paraId="34E8426F" w14:textId="77777777" w:rsidR="00C62A9A" w:rsidRDefault="00C62A9A" w:rsidP="00C62A9A">
      <w:pPr>
        <w:pStyle w:val="Bibliography"/>
      </w:pPr>
      <w:r w:rsidRPr="00C62A9A">
        <w:rPr>
          <w:lang w:val="fr-FR"/>
        </w:rPr>
        <w:t xml:space="preserve">Kane, R. L., &amp; Klein, D. E. (2005). </w:t>
      </w:r>
      <w:r>
        <w:t xml:space="preserve">Carbon Sequestration. In L. K. Wang, N. C. Pereira, &amp; Y.-T. Hung (Eds.), </w:t>
      </w:r>
      <w:r>
        <w:rPr>
          <w:i/>
          <w:iCs/>
        </w:rPr>
        <w:t>Advanced Air and Noise Pollution Control</w:t>
      </w:r>
      <w:r>
        <w:t xml:space="preserve"> (pp. 97–112). Totowa, NJ: Humana Press. https://doi.org/10.1007/978-1-59259-779-6_3</w:t>
      </w:r>
    </w:p>
    <w:p w14:paraId="4D497ACF" w14:textId="77777777" w:rsidR="00C62A9A" w:rsidRDefault="00C62A9A" w:rsidP="00C62A9A">
      <w:pPr>
        <w:pStyle w:val="Bibliography"/>
      </w:pPr>
      <w:r>
        <w:t xml:space="preserve">Kotthaus, S., &amp; Grimmond, C. S. B. (2018). Atmospheric boundary-layer characteristics from ceilometer measurements. Part 1: A new method to track mixed layer height and classify clouds. </w:t>
      </w:r>
      <w:r>
        <w:rPr>
          <w:i/>
          <w:iCs/>
        </w:rPr>
        <w:t>Quarterly Journal of the Royal Meteorological Society</w:t>
      </w:r>
      <w:r>
        <w:t xml:space="preserve">, </w:t>
      </w:r>
      <w:r>
        <w:rPr>
          <w:i/>
          <w:iCs/>
        </w:rPr>
        <w:t>144</w:t>
      </w:r>
      <w:r>
        <w:t>(714), 1525–1538. https://doi.org/10.1002/qj.3299</w:t>
      </w:r>
    </w:p>
    <w:p w14:paraId="16F932EA" w14:textId="77777777" w:rsidR="00C62A9A" w:rsidRDefault="00C62A9A" w:rsidP="00C62A9A">
      <w:pPr>
        <w:pStyle w:val="Bibliography"/>
      </w:pPr>
      <w:r>
        <w:t xml:space="preserve">Krueger, S. K. (1988). Numerical Simulation of Tropical Cumulus Clouds and Their Interaction with the Subcloud Layer. </w:t>
      </w:r>
      <w:r>
        <w:rPr>
          <w:i/>
          <w:iCs/>
        </w:rPr>
        <w:t>Journal of the Atmospheric Sciences</w:t>
      </w:r>
      <w:r>
        <w:t xml:space="preserve">, </w:t>
      </w:r>
      <w:r>
        <w:rPr>
          <w:i/>
          <w:iCs/>
        </w:rPr>
        <w:t>45</w:t>
      </w:r>
      <w:r>
        <w:t>(16), 2221–2250. https://doi.org/10.1175/1520-0469(1988)045&lt;2221:NSOTCC&gt;2.0.CO;2</w:t>
      </w:r>
    </w:p>
    <w:p w14:paraId="7122FB12" w14:textId="77777777" w:rsidR="00C62A9A" w:rsidRDefault="00C62A9A" w:rsidP="00C62A9A">
      <w:pPr>
        <w:pStyle w:val="Bibliography"/>
      </w:pPr>
      <w:r>
        <w:lastRenderedPageBreak/>
        <w:t xml:space="preserve">Larson, K., Hartmann, D. L., &amp; Klein, S. A. (1999). The Role of Clouds, Water Vapor, Circulation, and Boundary Layer Structure in the Sensitivity of the Tropical Climate. </w:t>
      </w:r>
      <w:r>
        <w:rPr>
          <w:i/>
          <w:iCs/>
        </w:rPr>
        <w:t>Journal of Climate</w:t>
      </w:r>
      <w:r>
        <w:t xml:space="preserve">, </w:t>
      </w:r>
      <w:r>
        <w:rPr>
          <w:i/>
          <w:iCs/>
        </w:rPr>
        <w:t>12</w:t>
      </w:r>
      <w:r>
        <w:t>(8), 2359–2374. https://doi.org/10.1175/1520-0442(1999)012&lt;2359:TROCWV&gt;2.0.CO;2</w:t>
      </w:r>
    </w:p>
    <w:p w14:paraId="6606C6FD" w14:textId="77777777" w:rsidR="00C62A9A" w:rsidRDefault="00C62A9A" w:rsidP="00C62A9A">
      <w:pPr>
        <w:pStyle w:val="Bibliography"/>
      </w:pPr>
      <w:r>
        <w:t xml:space="preserve">Lei, Y., Shi, J., Xiong, C., &amp; Ji, D. (2021). Tracking the Atmospheric–Terrestrial Water Cycle over the Tibetan Plateau Based on ERA5 and GRACE. </w:t>
      </w:r>
      <w:r>
        <w:rPr>
          <w:i/>
          <w:iCs/>
        </w:rPr>
        <w:t>Journal of Climate</w:t>
      </w:r>
      <w:r>
        <w:t xml:space="preserve">, </w:t>
      </w:r>
      <w:r>
        <w:rPr>
          <w:i/>
          <w:iCs/>
        </w:rPr>
        <w:t>34</w:t>
      </w:r>
      <w:r>
        <w:t>(15), 6459–6471. https://doi.org/10.1175/JCLI-D-20-0692.1</w:t>
      </w:r>
    </w:p>
    <w:p w14:paraId="2D0CD604" w14:textId="77777777" w:rsidR="00C62A9A" w:rsidRDefault="00C62A9A" w:rsidP="00C62A9A">
      <w:pPr>
        <w:pStyle w:val="Bibliography"/>
      </w:pPr>
      <w:r>
        <w:t xml:space="preserve">Li, G., Tingyang, D., Jun, W., Yuanfa, G., Haginoya, S., Longxun, C., &amp; Weiliang, L. (1996). Determination of the Drag Coefficient over the Tibetan Plateau. </w:t>
      </w:r>
      <w:r>
        <w:rPr>
          <w:i/>
          <w:iCs/>
        </w:rPr>
        <w:t>Advances in Atmospheric Sciences</w:t>
      </w:r>
      <w:r>
        <w:t xml:space="preserve">, </w:t>
      </w:r>
      <w:r>
        <w:rPr>
          <w:i/>
          <w:iCs/>
        </w:rPr>
        <w:t>13</w:t>
      </w:r>
      <w:r>
        <w:t>(4), 511–518. https://doi.org/10.1007/BF03342041</w:t>
      </w:r>
    </w:p>
    <w:p w14:paraId="607B25D4" w14:textId="77777777" w:rsidR="00C62A9A" w:rsidRDefault="00C62A9A" w:rsidP="00C62A9A">
      <w:pPr>
        <w:pStyle w:val="Bibliography"/>
      </w:pPr>
      <w:r w:rsidRPr="00C62A9A">
        <w:rPr>
          <w:lang w:val="fr-FR"/>
        </w:rPr>
        <w:t xml:space="preserve">Li, L., Yang, S., Wang, Z., Zhu, X., &amp; Tang, H. (2010). </w:t>
      </w:r>
      <w:r>
        <w:t xml:space="preserve">Evidence of Warming and Wetting Climate over the Qinghai-Tibet Plateau. </w:t>
      </w:r>
      <w:r>
        <w:rPr>
          <w:i/>
          <w:iCs/>
        </w:rPr>
        <w:t>Arctic, Antarctic, and Alpine Research</w:t>
      </w:r>
      <w:r>
        <w:t xml:space="preserve">, </w:t>
      </w:r>
      <w:r>
        <w:rPr>
          <w:i/>
          <w:iCs/>
        </w:rPr>
        <w:t>42</w:t>
      </w:r>
      <w:r>
        <w:t>(4), 449–457. https://doi.org/10.1657/1938-4246-42.4.449</w:t>
      </w:r>
    </w:p>
    <w:p w14:paraId="6F670FB4" w14:textId="77777777" w:rsidR="00C62A9A" w:rsidRDefault="00C62A9A" w:rsidP="00C62A9A">
      <w:pPr>
        <w:pStyle w:val="Bibliography"/>
      </w:pPr>
      <w:r>
        <w:t xml:space="preserve">Li, Y., &amp; Gao, W. (2007). Atmospheric Boundary Layer Circulation on the Eastern Edge of the Tibetan Plateau, China, in Summer. </w:t>
      </w:r>
      <w:r>
        <w:rPr>
          <w:i/>
          <w:iCs/>
        </w:rPr>
        <w:t>Arctic, Antarctic, and Alpine Research</w:t>
      </w:r>
      <w:r>
        <w:t xml:space="preserve">, </w:t>
      </w:r>
      <w:r>
        <w:rPr>
          <w:i/>
          <w:iCs/>
        </w:rPr>
        <w:t>39</w:t>
      </w:r>
      <w:r>
        <w:t>(4), 708–713. https://doi.org/10.1657/1523-0430(07-504)[LI]2.0.CO;2</w:t>
      </w:r>
    </w:p>
    <w:p w14:paraId="5FD2567D" w14:textId="77777777" w:rsidR="00C62A9A" w:rsidRDefault="00C62A9A" w:rsidP="00C62A9A">
      <w:pPr>
        <w:pStyle w:val="Bibliography"/>
      </w:pPr>
      <w:r w:rsidRPr="00C62A9A">
        <w:rPr>
          <w:lang w:val="fr-FR"/>
        </w:rPr>
        <w:t xml:space="preserve">Liu, L., Zheng, J., Ruan, Z., Cui, Z., Hu, Z., Wu, S., et al. </w:t>
      </w:r>
      <w:r>
        <w:t xml:space="preserve">(2015). Comprehensive radar observations of clouds and precipitation over the Tibetan Plateau and preliminary analysis of cloud properties. </w:t>
      </w:r>
      <w:r>
        <w:rPr>
          <w:i/>
          <w:iCs/>
        </w:rPr>
        <w:t>Journal of Meteorological Research</w:t>
      </w:r>
      <w:r>
        <w:t xml:space="preserve">, </w:t>
      </w:r>
      <w:r>
        <w:rPr>
          <w:i/>
          <w:iCs/>
        </w:rPr>
        <w:t>29</w:t>
      </w:r>
      <w:r>
        <w:t>(4), 546–561. https://doi.org/10.1007/s13351-015-4208-6</w:t>
      </w:r>
    </w:p>
    <w:p w14:paraId="234CDB0B" w14:textId="77777777" w:rsidR="00C62A9A" w:rsidRDefault="00C62A9A" w:rsidP="00C62A9A">
      <w:pPr>
        <w:pStyle w:val="Bibliography"/>
      </w:pPr>
      <w:r>
        <w:t xml:space="preserve">Liu, X., Yin, Z.-Y., Shao, X., &amp; Qin, N. (2006). Temporal trends and variability of daily maximum and minimum, extreme temperature events, and growing season length over the eastern </w:t>
      </w:r>
      <w:r>
        <w:lastRenderedPageBreak/>
        <w:t xml:space="preserve">and central Tibetan Plateau during 1961–2003. </w:t>
      </w:r>
      <w:r>
        <w:rPr>
          <w:i/>
          <w:iCs/>
        </w:rPr>
        <w:t>Journal of Geophysical Research: Atmospheres</w:t>
      </w:r>
      <w:r>
        <w:t xml:space="preserve">, </w:t>
      </w:r>
      <w:r>
        <w:rPr>
          <w:i/>
          <w:iCs/>
        </w:rPr>
        <w:t>111</w:t>
      </w:r>
      <w:r>
        <w:t>(D19). https://doi.org/10.1029/2005JD006915</w:t>
      </w:r>
    </w:p>
    <w:p w14:paraId="567C0279" w14:textId="77777777" w:rsidR="00C62A9A" w:rsidRDefault="00C62A9A" w:rsidP="00C62A9A">
      <w:pPr>
        <w:pStyle w:val="Bibliography"/>
      </w:pPr>
      <w:r>
        <w:t xml:space="preserve">Liu, Y., Warner, T., Liu, Y., Vincent, C., Wu, W., Mahoney, B., et al. (2011). Simultaneous nested modeling from the synoptic scale to the LES scale for wind energy applications. </w:t>
      </w:r>
      <w:r>
        <w:rPr>
          <w:i/>
          <w:iCs/>
        </w:rPr>
        <w:t>Journal of Wind Engineering and Industrial Aerodynamics</w:t>
      </w:r>
      <w:r>
        <w:t xml:space="preserve">, </w:t>
      </w:r>
      <w:r>
        <w:rPr>
          <w:i/>
          <w:iCs/>
        </w:rPr>
        <w:t>99</w:t>
      </w:r>
      <w:r>
        <w:t>(4), 308–319. https://doi.org/10.1016/j.jweia.2011.01.013</w:t>
      </w:r>
    </w:p>
    <w:p w14:paraId="6E77AEC0" w14:textId="77777777" w:rsidR="00C62A9A" w:rsidRDefault="00C62A9A" w:rsidP="00C62A9A">
      <w:pPr>
        <w:pStyle w:val="Bibliography"/>
      </w:pPr>
      <w:r>
        <w:t xml:space="preserve">Liu, Y., Muñoz-Esparza, D., Hu, F., Yan, C., &amp; Miao, S. (2020). Simulation of Flow Fields in Complex Terrain with WRF-LES: Sensitivity Assessment of Different PBL Treatments. </w:t>
      </w:r>
      <w:r>
        <w:rPr>
          <w:i/>
          <w:iCs/>
        </w:rPr>
        <w:t>Journal of Applied Meteorology and Climatology</w:t>
      </w:r>
      <w:r>
        <w:t xml:space="preserve">, </w:t>
      </w:r>
      <w:r>
        <w:rPr>
          <w:i/>
          <w:iCs/>
        </w:rPr>
        <w:t>59</w:t>
      </w:r>
      <w:r>
        <w:t>(9), 1481–1501. https://doi.org/10.1175/JAMC-D-19-0304.1</w:t>
      </w:r>
    </w:p>
    <w:p w14:paraId="0077F0F1" w14:textId="77777777" w:rsidR="00C62A9A" w:rsidRDefault="00C62A9A" w:rsidP="00C62A9A">
      <w:pPr>
        <w:pStyle w:val="Bibliography"/>
      </w:pPr>
      <w:r w:rsidRPr="00C62A9A">
        <w:rPr>
          <w:lang w:val="fr-FR"/>
        </w:rPr>
        <w:t xml:space="preserve">Luo, Y., Zhang, R., Qian, W., Luo, Z., &amp; Hu, X. (2011). </w:t>
      </w:r>
      <w:r>
        <w:t xml:space="preserve">Intercomparison of Deep Convection over the Tibetan Plateau–Asian Monsoon Region and Subtropical North America in Boreal Summer Using CloudSat/CALIPSO Data. </w:t>
      </w:r>
      <w:r>
        <w:rPr>
          <w:i/>
          <w:iCs/>
        </w:rPr>
        <w:t>Journal of Climate</w:t>
      </w:r>
      <w:r>
        <w:t xml:space="preserve">, </w:t>
      </w:r>
      <w:r>
        <w:rPr>
          <w:i/>
          <w:iCs/>
        </w:rPr>
        <w:t>24</w:t>
      </w:r>
      <w:r>
        <w:t>(8), 2164–2177. https://doi.org/10.1175/2010JCLI4032.1</w:t>
      </w:r>
    </w:p>
    <w:p w14:paraId="14630454" w14:textId="77777777" w:rsidR="00C62A9A" w:rsidRDefault="00C62A9A" w:rsidP="00C62A9A">
      <w:pPr>
        <w:pStyle w:val="Bibliography"/>
      </w:pPr>
      <w:r>
        <w:t xml:space="preserve">Margulis, S. A., &amp; Entekhabi, D. (2004). Boundary-Layer Entrainment Estimation Through Assimilation of Radiosonde and Micrometeorological Data into a Mixed-Layer Model. </w:t>
      </w:r>
      <w:r>
        <w:rPr>
          <w:i/>
          <w:iCs/>
        </w:rPr>
        <w:t>Boundary-Layer Meteorology</w:t>
      </w:r>
      <w:r>
        <w:t xml:space="preserve">, </w:t>
      </w:r>
      <w:r>
        <w:rPr>
          <w:i/>
          <w:iCs/>
        </w:rPr>
        <w:t>110</w:t>
      </w:r>
      <w:r>
        <w:t>(3), 405–433. https://doi.org/10.1023/B:BOUN.0000007221.53446.46</w:t>
      </w:r>
    </w:p>
    <w:p w14:paraId="35A9B587" w14:textId="77777777" w:rsidR="00C62A9A" w:rsidRDefault="00C62A9A" w:rsidP="00C62A9A">
      <w:pPr>
        <w:pStyle w:val="Bibliography"/>
      </w:pPr>
      <w:r>
        <w:t xml:space="preserve">Mechem, D. B., &amp; Oberthaler, A. J. (2013). Numerical simulation of tropical cumulus congestus during TOGA COARE. </w:t>
      </w:r>
      <w:r>
        <w:rPr>
          <w:i/>
          <w:iCs/>
        </w:rPr>
        <w:t>Journal of Advances in Modeling Earth Systems</w:t>
      </w:r>
      <w:r>
        <w:t xml:space="preserve">, </w:t>
      </w:r>
      <w:r>
        <w:rPr>
          <w:i/>
          <w:iCs/>
        </w:rPr>
        <w:t>5</w:t>
      </w:r>
      <w:r>
        <w:t>(3), 623–637. https://doi.org/10.1002/jame.20043</w:t>
      </w:r>
    </w:p>
    <w:p w14:paraId="4AA5C50F" w14:textId="77777777" w:rsidR="00C62A9A" w:rsidRDefault="00C62A9A" w:rsidP="00C62A9A">
      <w:pPr>
        <w:pStyle w:val="Bibliography"/>
      </w:pPr>
      <w:r w:rsidRPr="00C62A9A">
        <w:rPr>
          <w:lang w:val="fr-FR"/>
        </w:rPr>
        <w:t xml:space="preserve">Mirocha, J. D., Lundquist, J. K., &amp; Kosović, B. (2010). </w:t>
      </w:r>
      <w:r>
        <w:t xml:space="preserve">Implementation of a Nonlinear Subfilter Turbulence Stress Model for Large-Eddy Simulation in the Advanced Research WRF </w:t>
      </w:r>
      <w:r>
        <w:lastRenderedPageBreak/>
        <w:t xml:space="preserve">Model. </w:t>
      </w:r>
      <w:r>
        <w:rPr>
          <w:i/>
          <w:iCs/>
        </w:rPr>
        <w:t>Monthly Weather Review</w:t>
      </w:r>
      <w:r>
        <w:t xml:space="preserve">, </w:t>
      </w:r>
      <w:r>
        <w:rPr>
          <w:i/>
          <w:iCs/>
        </w:rPr>
        <w:t>138</w:t>
      </w:r>
      <w:r>
        <w:t>(11), 4212–4228. https://doi.org/10.1175/2010MWR3286.1</w:t>
      </w:r>
    </w:p>
    <w:p w14:paraId="5485BDD8" w14:textId="77777777" w:rsidR="00C62A9A" w:rsidRDefault="00C62A9A" w:rsidP="00C62A9A">
      <w:pPr>
        <w:pStyle w:val="Bibliography"/>
      </w:pPr>
      <w:r>
        <w:t xml:space="preserve">Mlawer, E. J., Taubman, S. J., Brown, P. D., Iacono, M. J., &amp; Clough, S. A. (1997). Radiative transfer for inhomogeneous atmospheres: RRTM, a validated correlated-k model for the longwave. </w:t>
      </w:r>
      <w:r>
        <w:rPr>
          <w:i/>
          <w:iCs/>
        </w:rPr>
        <w:t>Journal of Geophysical Research: Atmospheres</w:t>
      </w:r>
      <w:r>
        <w:t xml:space="preserve">, </w:t>
      </w:r>
      <w:r>
        <w:rPr>
          <w:i/>
          <w:iCs/>
        </w:rPr>
        <w:t>102</w:t>
      </w:r>
      <w:r>
        <w:t>(D14), 16663–16682. https://doi.org/10.1029/97JD00237</w:t>
      </w:r>
    </w:p>
    <w:p w14:paraId="29D0E8CD" w14:textId="77777777" w:rsidR="00C62A9A" w:rsidRDefault="00C62A9A" w:rsidP="00C62A9A">
      <w:pPr>
        <w:pStyle w:val="Bibliography"/>
      </w:pPr>
      <w:r>
        <w:t xml:space="preserve">Moeng, C.-H., &amp; Wyngaard, J. C. (1989). Evaluation of Turbulent Transport and Dissipation Closures in Second-Order Modeling. </w:t>
      </w:r>
      <w:r>
        <w:rPr>
          <w:i/>
          <w:iCs/>
        </w:rPr>
        <w:t>Journal of the Atmospheric Sciences</w:t>
      </w:r>
      <w:r>
        <w:t xml:space="preserve">, </w:t>
      </w:r>
      <w:r>
        <w:rPr>
          <w:i/>
          <w:iCs/>
        </w:rPr>
        <w:t>46</w:t>
      </w:r>
      <w:r>
        <w:t>(14), 2311–2330. https://doi.org/10.1175/1520-0469(1989)046&lt;2311:EOTTAD&gt;2.0.CO;2</w:t>
      </w:r>
    </w:p>
    <w:p w14:paraId="4E7FD870" w14:textId="77777777" w:rsidR="00C62A9A" w:rsidRDefault="00C62A9A" w:rsidP="00C62A9A">
      <w:pPr>
        <w:pStyle w:val="Bibliography"/>
      </w:pPr>
      <w:r>
        <w:t xml:space="preserve">Niu, G.-Y., Yang, Z.-L., Mitchell, K. E., Chen, F., Ek, M. B., Barlage, M., et al. (2011). The community Noah land surface model with multiparameterization options (Noah-MP): 1. Model description and evaluation with local-scale measurements. </w:t>
      </w:r>
      <w:r>
        <w:rPr>
          <w:i/>
          <w:iCs/>
        </w:rPr>
        <w:t>Journal of Geophysical Research</w:t>
      </w:r>
      <w:r>
        <w:t xml:space="preserve">, </w:t>
      </w:r>
      <w:r>
        <w:rPr>
          <w:i/>
          <w:iCs/>
        </w:rPr>
        <w:t>116</w:t>
      </w:r>
      <w:r>
        <w:t>(D12), D12109. https://doi.org/10.1029/2010JD015139</w:t>
      </w:r>
    </w:p>
    <w:p w14:paraId="199F23F8" w14:textId="77777777" w:rsidR="00C62A9A" w:rsidRDefault="00C62A9A" w:rsidP="00C62A9A">
      <w:pPr>
        <w:pStyle w:val="Bibliography"/>
      </w:pPr>
      <w:r>
        <w:t xml:space="preserve">Powers, J. G., Klemp, J. B., Skamarock, W. C., Davis, C. A., Dudhia, J., Gill, D. O., et al. (2017). The Weather Research and Forecasting Model: Overview, System Efforts, and Future Directions. </w:t>
      </w:r>
      <w:r>
        <w:rPr>
          <w:i/>
          <w:iCs/>
        </w:rPr>
        <w:t>Bulletin of the American Meteorological Society</w:t>
      </w:r>
      <w:r>
        <w:t xml:space="preserve">, </w:t>
      </w:r>
      <w:r>
        <w:rPr>
          <w:i/>
          <w:iCs/>
        </w:rPr>
        <w:t>98</w:t>
      </w:r>
      <w:r>
        <w:t>(8), 1717–1737. https://doi.org/10.1175/BAMS-D-15-00308.1</w:t>
      </w:r>
    </w:p>
    <w:p w14:paraId="0933AE6C" w14:textId="77777777" w:rsidR="00C62A9A" w:rsidRDefault="00C62A9A" w:rsidP="00C62A9A">
      <w:pPr>
        <w:pStyle w:val="Bibliography"/>
      </w:pPr>
      <w:r>
        <w:t xml:space="preserve">Ravichandran, S., &amp; Narasimha, R. (2020). Non-Precipitating Shallow Cumulus Clouds: Theory and Direct Numerical Simulation. </w:t>
      </w:r>
      <w:r>
        <w:rPr>
          <w:i/>
          <w:iCs/>
        </w:rPr>
        <w:t>ArXiv:2004.09631 [Physics]</w:t>
      </w:r>
      <w:r>
        <w:t>. Retrieved from http://arxiv.org/abs/2004.09631</w:t>
      </w:r>
    </w:p>
    <w:p w14:paraId="1EB72A19" w14:textId="77777777" w:rsidR="00C62A9A" w:rsidRDefault="00C62A9A" w:rsidP="00C62A9A">
      <w:pPr>
        <w:pStyle w:val="Bibliography"/>
      </w:pPr>
      <w:r>
        <w:t xml:space="preserve">Ray, P. (2015). </w:t>
      </w:r>
      <w:r>
        <w:rPr>
          <w:i/>
          <w:iCs/>
        </w:rPr>
        <w:t>Mesoscale Meteorology and Forecasting</w:t>
      </w:r>
      <w:r>
        <w:t>. Springer.</w:t>
      </w:r>
    </w:p>
    <w:p w14:paraId="73D6B1C8" w14:textId="77777777" w:rsidR="00C62A9A" w:rsidRDefault="00C62A9A" w:rsidP="00C62A9A">
      <w:pPr>
        <w:pStyle w:val="Bibliography"/>
      </w:pPr>
      <w:r w:rsidRPr="00C62A9A">
        <w:rPr>
          <w:lang w:val="fr-FR"/>
        </w:rPr>
        <w:lastRenderedPageBreak/>
        <w:t xml:space="preserve">Reen, B. P., Dumais, R. E., &amp; Passner, J. E. (2016). </w:t>
      </w:r>
      <w:r>
        <w:t xml:space="preserve">Mitigating Excessive Drying from the Use of Observations in Mesoscale Modeling. </w:t>
      </w:r>
      <w:r>
        <w:rPr>
          <w:i/>
          <w:iCs/>
        </w:rPr>
        <w:t>Journal of Applied Meteorology and Climatology</w:t>
      </w:r>
      <w:r>
        <w:t xml:space="preserve">, </w:t>
      </w:r>
      <w:r>
        <w:rPr>
          <w:i/>
          <w:iCs/>
        </w:rPr>
        <w:t>55</w:t>
      </w:r>
      <w:r>
        <w:t>(2), 365–388. https://doi.org/10.1175/JAMC-D-14-0301.1</w:t>
      </w:r>
    </w:p>
    <w:p w14:paraId="0E6F4869" w14:textId="77777777" w:rsidR="00C62A9A" w:rsidRDefault="00C62A9A" w:rsidP="00C62A9A">
      <w:pPr>
        <w:pStyle w:val="Bibliography"/>
      </w:pPr>
      <w:r>
        <w:t xml:space="preserve">Sato, T. (2009). Influences of subtropical jet and Tibetan Plateau on precipitation pattern in Asia: Insights from regional climate modeling. </w:t>
      </w:r>
      <w:r>
        <w:rPr>
          <w:i/>
          <w:iCs/>
        </w:rPr>
        <w:t>Quaternary International</w:t>
      </w:r>
      <w:r>
        <w:t xml:space="preserve">, </w:t>
      </w:r>
      <w:r>
        <w:rPr>
          <w:i/>
          <w:iCs/>
        </w:rPr>
        <w:t>194</w:t>
      </w:r>
      <w:r>
        <w:t>(1–2), 148–158. https://doi.org/10.1016/j.quaint.2008.07.008</w:t>
      </w:r>
    </w:p>
    <w:p w14:paraId="5E399645" w14:textId="77777777" w:rsidR="00C62A9A" w:rsidRDefault="00C62A9A" w:rsidP="00C62A9A">
      <w:pPr>
        <w:pStyle w:val="Bibliography"/>
      </w:pPr>
      <w:r>
        <w:t xml:space="preserve">Sertel, E., Robock, A., &amp; Ormeci, C. (2010). Impacts of land cover data quality on regional climate simulations. </w:t>
      </w:r>
      <w:r>
        <w:rPr>
          <w:i/>
          <w:iCs/>
        </w:rPr>
        <w:t>International Journal of Climatology</w:t>
      </w:r>
      <w:r>
        <w:t xml:space="preserve">, </w:t>
      </w:r>
      <w:r>
        <w:rPr>
          <w:i/>
          <w:iCs/>
        </w:rPr>
        <w:t>30</w:t>
      </w:r>
      <w:r>
        <w:t>(13), 1942–1953. https://doi.org/10.1002/joc.2036</w:t>
      </w:r>
    </w:p>
    <w:p w14:paraId="6246C2C2" w14:textId="77777777" w:rsidR="00C62A9A" w:rsidRDefault="00C62A9A" w:rsidP="00C62A9A">
      <w:pPr>
        <w:pStyle w:val="Bibliography"/>
      </w:pPr>
      <w:r>
        <w:t xml:space="preserve">Shin, H. H., &amp; Dudhia, J. (2016). Evaluation of PBL Parameterizations in WRF at Subkilometer Grid Spacings: Turbulence Statistics in the Dry Convective Boundary Layer. </w:t>
      </w:r>
      <w:r>
        <w:rPr>
          <w:i/>
          <w:iCs/>
        </w:rPr>
        <w:t>Monthly Weather Review</w:t>
      </w:r>
      <w:r>
        <w:t xml:space="preserve">, </w:t>
      </w:r>
      <w:r>
        <w:rPr>
          <w:i/>
          <w:iCs/>
        </w:rPr>
        <w:t>144</w:t>
      </w:r>
      <w:r>
        <w:t>(3), 1161–1177. https://doi.org/10.1175/MWR-D-15-0208.1</w:t>
      </w:r>
    </w:p>
    <w:p w14:paraId="4FAA89AE" w14:textId="77777777" w:rsidR="00C62A9A" w:rsidRDefault="00C62A9A" w:rsidP="00C62A9A">
      <w:pPr>
        <w:pStyle w:val="Bibliography"/>
      </w:pPr>
      <w:r>
        <w:t xml:space="preserve">Skamarock, W., Klemp, J., Dudhia, J., Gill, D., Barker, D., Wang, W., et al. (2008). </w:t>
      </w:r>
      <w:r>
        <w:rPr>
          <w:i/>
          <w:iCs/>
        </w:rPr>
        <w:t>A Description of the Advanced Research WRF Version 3</w:t>
      </w:r>
      <w:r>
        <w:t xml:space="preserve"> [Application/pdf] (p. 1002 KB). UCAR/NCAR. https://doi.org/10.5065/D68S4MVH</w:t>
      </w:r>
    </w:p>
    <w:p w14:paraId="5C70C60E" w14:textId="77777777" w:rsidR="00C62A9A" w:rsidRDefault="00C62A9A" w:rsidP="00C62A9A">
      <w:pPr>
        <w:pStyle w:val="Bibliography"/>
      </w:pPr>
      <w:r>
        <w:t xml:space="preserve">Slättberg, N., &amp; Chen, D. (2020). </w:t>
      </w:r>
      <w:r>
        <w:rPr>
          <w:i/>
          <w:iCs/>
        </w:rPr>
        <w:t>A long-term Climatology of Planetary Boundary Layer Height over the Tibetan Plateau revealed by ERA5</w:t>
      </w:r>
      <w:r>
        <w:t xml:space="preserve"> (No. EGU2020-5517). Presented at the EGU2020, Copernicus Meetings. https://doi.org/10.5194/egusphere-egu2020-5517</w:t>
      </w:r>
    </w:p>
    <w:p w14:paraId="6D6AEBDD" w14:textId="77777777" w:rsidR="00C62A9A" w:rsidRDefault="00C62A9A" w:rsidP="00C62A9A">
      <w:pPr>
        <w:pStyle w:val="Bibliography"/>
      </w:pPr>
      <w:r>
        <w:t xml:space="preserve">Sokół, P., Stachlewska, I. S., Ungureanu, I., &amp; Stefan, S. (2014). Evaluation of the boundary layer morning transition using the CL-31 ceilometer signals. </w:t>
      </w:r>
      <w:r>
        <w:rPr>
          <w:i/>
          <w:iCs/>
        </w:rPr>
        <w:t>Acta Geophysica</w:t>
      </w:r>
      <w:r>
        <w:t xml:space="preserve">, </w:t>
      </w:r>
      <w:r>
        <w:rPr>
          <w:i/>
          <w:iCs/>
        </w:rPr>
        <w:t>62</w:t>
      </w:r>
      <w:r>
        <w:t>(2), 367–380. https://doi.org/10.2478/s11600-013-0158-5</w:t>
      </w:r>
    </w:p>
    <w:p w14:paraId="39E762E3" w14:textId="77777777" w:rsidR="00C62A9A" w:rsidRDefault="00C62A9A" w:rsidP="00C62A9A">
      <w:pPr>
        <w:pStyle w:val="Bibliography"/>
      </w:pPr>
      <w:r>
        <w:t xml:space="preserve">Soriano, C., Jorba, O., &amp; Baldasano, J. M. (2004). One-Way Nesting Versus Two-Way Nesting: Does It Really Make a Difference? In C. Borrego &amp; G. Schayes (Eds.), </w:t>
      </w:r>
      <w:r>
        <w:rPr>
          <w:i/>
          <w:iCs/>
        </w:rPr>
        <w:t xml:space="preserve">Air Pollution </w:t>
      </w:r>
      <w:r>
        <w:rPr>
          <w:i/>
          <w:iCs/>
        </w:rPr>
        <w:lastRenderedPageBreak/>
        <w:t>Modeling and Its Application XV</w:t>
      </w:r>
      <w:r>
        <w:t xml:space="preserve"> (pp. 177–185). Boston: Kluwer Academic Publishers. https://doi.org/10.1007/0-306-47813-7_18</w:t>
      </w:r>
    </w:p>
    <w:p w14:paraId="7CC983FD" w14:textId="77777777" w:rsidR="00C62A9A" w:rsidRDefault="00C62A9A" w:rsidP="00C62A9A">
      <w:pPr>
        <w:pStyle w:val="Bibliography"/>
      </w:pPr>
      <w:r>
        <w:t xml:space="preserve">Stanski, H. R., Wilson, L. J., Burrows, W. R., &amp; Organization (WMO), W. M. (1989). </w:t>
      </w:r>
      <w:r>
        <w:rPr>
          <w:i/>
          <w:iCs/>
        </w:rPr>
        <w:t>WWW Technical report, 08. Survey of common verification methods in meteorology</w:t>
      </w:r>
      <w:r>
        <w:t>. Geneva: WMO.</w:t>
      </w:r>
    </w:p>
    <w:p w14:paraId="59D985D5" w14:textId="77777777" w:rsidR="00C62A9A" w:rsidRDefault="00C62A9A" w:rsidP="00C62A9A">
      <w:pPr>
        <w:pStyle w:val="Bibliography"/>
      </w:pPr>
      <w:r>
        <w:t xml:space="preserve">Takemi, T., &amp; Rotunno, R. (2003). The Effects of Subgrid Model Mixing and Numerical Filtering in Simulations of Mesoscale Cloud Systems. </w:t>
      </w:r>
      <w:r>
        <w:rPr>
          <w:i/>
          <w:iCs/>
        </w:rPr>
        <w:t>Monthly Weather Review</w:t>
      </w:r>
      <w:r>
        <w:t xml:space="preserve">, </w:t>
      </w:r>
      <w:r>
        <w:rPr>
          <w:i/>
          <w:iCs/>
        </w:rPr>
        <w:t>131</w:t>
      </w:r>
      <w:r>
        <w:t>(9), 2085–2101. https://doi.org/10.1175/1520-0493(2003)131&lt;2085:TEOSMM&gt;2.0.CO;2</w:t>
      </w:r>
    </w:p>
    <w:p w14:paraId="08F01F37" w14:textId="77777777" w:rsidR="00C62A9A" w:rsidRDefault="00C62A9A" w:rsidP="00C62A9A">
      <w:pPr>
        <w:pStyle w:val="Bibliography"/>
      </w:pPr>
      <w:r>
        <w:t xml:space="preserve">Talbot, C., Bou-Zeid, E., &amp; Smith, J. (2012). Nested Mesoscale Large-Eddy Simulations with WRF: Performance in Real Test Cases. </w:t>
      </w:r>
      <w:r>
        <w:rPr>
          <w:i/>
          <w:iCs/>
        </w:rPr>
        <w:t>Journal of Hydrometeorology</w:t>
      </w:r>
      <w:r>
        <w:t xml:space="preserve">, </w:t>
      </w:r>
      <w:r>
        <w:rPr>
          <w:i/>
          <w:iCs/>
        </w:rPr>
        <w:t>13</w:t>
      </w:r>
      <w:r>
        <w:t>(5), 1421–1441. https://doi.org/10.1175/JHM-D-11-048.1</w:t>
      </w:r>
    </w:p>
    <w:p w14:paraId="7EEA247E" w14:textId="77777777" w:rsidR="00C62A9A" w:rsidRDefault="00C62A9A" w:rsidP="00C62A9A">
      <w:pPr>
        <w:pStyle w:val="Bibliography"/>
      </w:pPr>
      <w:r>
        <w:t xml:space="preserve">Tingyang, D., &amp; Reiter, E. R. (1990). Some characteristics of cumulus convection over the Tibetan Plateau. </w:t>
      </w:r>
      <w:r>
        <w:rPr>
          <w:i/>
          <w:iCs/>
        </w:rPr>
        <w:t>Advances in Atmospheric Sciences</w:t>
      </w:r>
      <w:r>
        <w:t xml:space="preserve">, </w:t>
      </w:r>
      <w:r>
        <w:rPr>
          <w:i/>
          <w:iCs/>
        </w:rPr>
        <w:t>7</w:t>
      </w:r>
      <w:r>
        <w:t>(1), 87–97. https://doi.org/10.1007/BF02919171</w:t>
      </w:r>
    </w:p>
    <w:p w14:paraId="7786F9B8" w14:textId="77777777" w:rsidR="00C62A9A" w:rsidRDefault="00C62A9A" w:rsidP="00C62A9A">
      <w:pPr>
        <w:pStyle w:val="Bibliography"/>
      </w:pPr>
      <w:r>
        <w:t xml:space="preserve">Verma, S. B., Baldocchi, D. D., Anderson, D. E., Matt, D. R., &amp; Clement, R. J. (1986). Eddy fluxes of CO2, water vapor, and sensible heat over a deciduous forest. </w:t>
      </w:r>
      <w:r>
        <w:rPr>
          <w:i/>
          <w:iCs/>
        </w:rPr>
        <w:t>Boundary-Layer Meteorology</w:t>
      </w:r>
      <w:r>
        <w:t xml:space="preserve">, </w:t>
      </w:r>
      <w:r>
        <w:rPr>
          <w:i/>
          <w:iCs/>
        </w:rPr>
        <w:t>36</w:t>
      </w:r>
      <w:r>
        <w:t>(1–2), 71–91. https://doi.org/10.1007/BF00117459</w:t>
      </w:r>
    </w:p>
    <w:p w14:paraId="1027031B" w14:textId="77777777" w:rsidR="00C62A9A" w:rsidRDefault="00C62A9A" w:rsidP="00C62A9A">
      <w:pPr>
        <w:pStyle w:val="Bibliography"/>
      </w:pPr>
      <w:r>
        <w:t xml:space="preserve">Wang, J., Chen, X., Hu, Q., &amp; Liu, J. (2020). Responses of Terrestrial Water Storage to Climate Variation in the Tibetan Plateau. </w:t>
      </w:r>
      <w:r>
        <w:rPr>
          <w:i/>
          <w:iCs/>
        </w:rPr>
        <w:t>Journal of Hydrology</w:t>
      </w:r>
      <w:r>
        <w:t xml:space="preserve">, </w:t>
      </w:r>
      <w:r>
        <w:rPr>
          <w:i/>
          <w:iCs/>
        </w:rPr>
        <w:t>584</w:t>
      </w:r>
      <w:r>
        <w:t>, 124652. https://doi.org/10.1016/j.jhydrol.2020.124652</w:t>
      </w:r>
    </w:p>
    <w:p w14:paraId="43AECEA4" w14:textId="77777777" w:rsidR="00C62A9A" w:rsidRDefault="00C62A9A" w:rsidP="00C62A9A">
      <w:pPr>
        <w:pStyle w:val="Bibliography"/>
      </w:pPr>
      <w:r>
        <w:t xml:space="preserve">Wang, T., Hu, C., Li, N., &amp; Hou, Z. (2002). Numerical analysis of ground temperature in Qinghai-Tibet Plateau. </w:t>
      </w:r>
      <w:r>
        <w:rPr>
          <w:i/>
          <w:iCs/>
        </w:rPr>
        <w:t>Science in China Series E: Technolgical Science</w:t>
      </w:r>
      <w:r>
        <w:t xml:space="preserve">, </w:t>
      </w:r>
      <w:r>
        <w:rPr>
          <w:i/>
          <w:iCs/>
        </w:rPr>
        <w:t>45</w:t>
      </w:r>
      <w:r>
        <w:t>(4), 433–443. https://doi.org/10.1360/02ye9050</w:t>
      </w:r>
    </w:p>
    <w:p w14:paraId="243A4D62" w14:textId="77777777" w:rsidR="00C62A9A" w:rsidRDefault="00C62A9A" w:rsidP="00C62A9A">
      <w:pPr>
        <w:pStyle w:val="Bibliography"/>
      </w:pPr>
      <w:r>
        <w:lastRenderedPageBreak/>
        <w:t xml:space="preserve">Willmott, C. J., Ackleson, S. G., Davis, R. E., Feddema, J. J., Klink, K. M., Legates, D. R., et al. (1985). Statistics for the evaluation and comparison of models. </w:t>
      </w:r>
      <w:r>
        <w:rPr>
          <w:i/>
          <w:iCs/>
        </w:rPr>
        <w:t>Journal of Geophysical Research: Oceans</w:t>
      </w:r>
      <w:r>
        <w:t xml:space="preserve">, </w:t>
      </w:r>
      <w:r>
        <w:rPr>
          <w:i/>
          <w:iCs/>
        </w:rPr>
        <w:t>90</w:t>
      </w:r>
      <w:r>
        <w:t>(C5), 8995–9005. https://doi.org/10.1029/JC090iC05p08995</w:t>
      </w:r>
    </w:p>
    <w:p w14:paraId="6BB78057" w14:textId="77777777" w:rsidR="00C62A9A" w:rsidRDefault="00C62A9A" w:rsidP="00C62A9A">
      <w:pPr>
        <w:pStyle w:val="Bibliography"/>
      </w:pPr>
      <w:r>
        <w:t xml:space="preserve">Wu, G., Liu, Y., Zhang, Q., Duan, A., Wang, T., Wan, R., et al. (2007). The Influence of Mechanical and Thermal Forcing by the Tibetan Plateau on Asian Climate. </w:t>
      </w:r>
      <w:r>
        <w:rPr>
          <w:i/>
          <w:iCs/>
        </w:rPr>
        <w:t>Journal of Hydrometeorology</w:t>
      </w:r>
      <w:r>
        <w:t xml:space="preserve">, </w:t>
      </w:r>
      <w:r>
        <w:rPr>
          <w:i/>
          <w:iCs/>
        </w:rPr>
        <w:t>8</w:t>
      </w:r>
      <w:r>
        <w:t>(4), 770–789. https://doi.org/10.1175/JHM609.1</w:t>
      </w:r>
    </w:p>
    <w:p w14:paraId="79C37E57" w14:textId="77777777" w:rsidR="00C62A9A" w:rsidRDefault="00C62A9A" w:rsidP="00C62A9A">
      <w:pPr>
        <w:pStyle w:val="Bibliography"/>
      </w:pPr>
      <w:r>
        <w:t xml:space="preserve">Yanai, M., &amp; Li, C. (1994). Mechanism of Heating and the Boundary Layer over the Tibetan Plateau. </w:t>
      </w:r>
      <w:r>
        <w:rPr>
          <w:i/>
          <w:iCs/>
        </w:rPr>
        <w:t>Monthly Weather Review</w:t>
      </w:r>
      <w:r>
        <w:t xml:space="preserve">, </w:t>
      </w:r>
      <w:r>
        <w:rPr>
          <w:i/>
          <w:iCs/>
        </w:rPr>
        <w:t>122</w:t>
      </w:r>
      <w:r>
        <w:t>(2), 305–323. https://doi.org/10.1175/1520-0493(1994)122&lt;0305:MOHATB&gt;2.0.CO;2</w:t>
      </w:r>
    </w:p>
    <w:p w14:paraId="5BD2CFCE" w14:textId="77777777" w:rsidR="00C62A9A" w:rsidRDefault="00C62A9A" w:rsidP="00C62A9A">
      <w:pPr>
        <w:pStyle w:val="Bibliography"/>
      </w:pPr>
      <w:r>
        <w:t xml:space="preserve">Yang, K., Koike, T., Fujii, H., Tamura, T., Xu, X., Bian, L., &amp; Zhou, M. (2004). The Daytime Evolution of the Atmospheric Boundary Layer and Convection over the Tibetan Plateau: Observations and Simulations. </w:t>
      </w:r>
      <w:r>
        <w:rPr>
          <w:i/>
          <w:iCs/>
        </w:rPr>
        <w:t>Journal of the Meteorological Society of Japan</w:t>
      </w:r>
      <w:r>
        <w:t xml:space="preserve">, </w:t>
      </w:r>
      <w:r>
        <w:rPr>
          <w:i/>
          <w:iCs/>
        </w:rPr>
        <w:t>82</w:t>
      </w:r>
      <w:r>
        <w:t>(6), 1777–1792. https://doi.org/10.2151/jmsj.82.1777</w:t>
      </w:r>
    </w:p>
    <w:p w14:paraId="417B09F2" w14:textId="77777777" w:rsidR="00C62A9A" w:rsidRDefault="00C62A9A" w:rsidP="00C62A9A">
      <w:pPr>
        <w:pStyle w:val="Bibliography"/>
      </w:pPr>
      <w:r>
        <w:t xml:space="preserve">Yang, Z.-L., Niu, G.-Y., Mitchell, K. E., Chen, F., Ek, M. B., Barlage, M., et al. (2011). The community Noah land surface model with multiparameterization options (Noah-MP): 2. Evaluation over global river basins. </w:t>
      </w:r>
      <w:r>
        <w:rPr>
          <w:i/>
          <w:iCs/>
        </w:rPr>
        <w:t>Journal of Geophysical Research</w:t>
      </w:r>
      <w:r>
        <w:t xml:space="preserve">, </w:t>
      </w:r>
      <w:r>
        <w:rPr>
          <w:i/>
          <w:iCs/>
        </w:rPr>
        <w:t>116</w:t>
      </w:r>
      <w:r>
        <w:t>(D12), D12110. https://doi.org/10.1029/2010JD015140</w:t>
      </w:r>
    </w:p>
    <w:p w14:paraId="28396946" w14:textId="77777777" w:rsidR="00C62A9A" w:rsidRDefault="00C62A9A" w:rsidP="00C62A9A">
      <w:pPr>
        <w:pStyle w:val="Bibliography"/>
      </w:pPr>
      <w:r>
        <w:t xml:space="preserve">Yesubabu, V., Srinivas, C. V., Ramakrishna, S. S. V. S., &amp; Hari Prasad, K. B. R. R. (2014). Impact of period and timescale of FDDA analysis nudging on the numerical simulation of tropical cyclones in the Bay of Bengal. </w:t>
      </w:r>
      <w:r>
        <w:rPr>
          <w:i/>
          <w:iCs/>
        </w:rPr>
        <w:t>Natural Hazards</w:t>
      </w:r>
      <w:r>
        <w:t xml:space="preserve">, </w:t>
      </w:r>
      <w:r>
        <w:rPr>
          <w:i/>
          <w:iCs/>
        </w:rPr>
        <w:t>74</w:t>
      </w:r>
      <w:r>
        <w:t>(3), 2109–2128. https://doi.org/10.1007/s11069-014-1293-2</w:t>
      </w:r>
    </w:p>
    <w:p w14:paraId="3D886C89" w14:textId="77777777" w:rsidR="00C62A9A" w:rsidRDefault="00C62A9A" w:rsidP="00C62A9A">
      <w:pPr>
        <w:pStyle w:val="Bibliography"/>
      </w:pPr>
      <w:r>
        <w:t xml:space="preserve">Zhao, P., Xu, X., Chen, F., Guo, X., Zheng, X., Liu, L., et al. (2018). The Third Atmospheric Scientific Experiment for Understanding the Earth–Atmosphere Coupled System over the </w:t>
      </w:r>
      <w:r>
        <w:lastRenderedPageBreak/>
        <w:t xml:space="preserve">Tibetan Plateau and Its Effects. </w:t>
      </w:r>
      <w:r>
        <w:rPr>
          <w:i/>
          <w:iCs/>
        </w:rPr>
        <w:t>Bulletin of the American Meteorological Society</w:t>
      </w:r>
      <w:r>
        <w:t xml:space="preserve">, </w:t>
      </w:r>
      <w:r>
        <w:rPr>
          <w:i/>
          <w:iCs/>
        </w:rPr>
        <w:t>99</w:t>
      </w:r>
      <w:r>
        <w:t>(4), 757–776. https://doi.org/10.1175/BAMS-D-16-0050.1</w:t>
      </w:r>
    </w:p>
    <w:p w14:paraId="35B88FE6" w14:textId="77777777" w:rsidR="00C62A9A" w:rsidRDefault="00C62A9A" w:rsidP="00C62A9A">
      <w:pPr>
        <w:pStyle w:val="Bibliography"/>
      </w:pPr>
      <w:r w:rsidRPr="00C62A9A">
        <w:rPr>
          <w:lang w:val="fr-FR"/>
        </w:rPr>
        <w:t xml:space="preserve">Zhao, P., Li, Y., Guo, X., Xu, X., Liu, Y., Tang, S., et al. </w:t>
      </w:r>
      <w:r>
        <w:t xml:space="preserve">(2019). The Tibetan Plateau Surface-Atmosphere Coupling System and Its Weather and Climate Effects: The Third Tibetan Plateau Atmospheric Science Experiment. </w:t>
      </w:r>
      <w:r>
        <w:rPr>
          <w:i/>
          <w:iCs/>
        </w:rPr>
        <w:t>Journal of Meteorological Research</w:t>
      </w:r>
      <w:r>
        <w:t xml:space="preserve">, </w:t>
      </w:r>
      <w:r>
        <w:rPr>
          <w:i/>
          <w:iCs/>
        </w:rPr>
        <w:t>33</w:t>
      </w:r>
      <w:r>
        <w:t>(3), 375–399. https://doi.org/10.1007/s13351-019-8602-3</w:t>
      </w:r>
    </w:p>
    <w:p w14:paraId="04753304" w14:textId="77777777" w:rsidR="00C62A9A" w:rsidRDefault="00C62A9A" w:rsidP="00C62A9A">
      <w:pPr>
        <w:pStyle w:val="Bibliography"/>
      </w:pPr>
      <w:r>
        <w:t xml:space="preserve">Zheng, D., Velde, R. V. der, Su, Z., Wen, J., Booij, M. J., Hoekstra, A. Y., &amp; Wang, X. (2015). Under-canopy turbulence and root water uptake of a Tibetan meadow ecosystem modeled by Noah-MP. </w:t>
      </w:r>
      <w:r>
        <w:rPr>
          <w:i/>
          <w:iCs/>
        </w:rPr>
        <w:t>Water Resources Research</w:t>
      </w:r>
      <w:r>
        <w:t xml:space="preserve">, </w:t>
      </w:r>
      <w:r>
        <w:rPr>
          <w:i/>
          <w:iCs/>
        </w:rPr>
        <w:t>51</w:t>
      </w:r>
      <w:r>
        <w:t>(7), 5735–5755. https://doi.org/10.1002/2015WR017115</w:t>
      </w:r>
    </w:p>
    <w:p w14:paraId="1F32C65F" w14:textId="77777777" w:rsidR="00C62A9A" w:rsidRDefault="00C62A9A" w:rsidP="00C62A9A">
      <w:pPr>
        <w:pStyle w:val="Bibliography"/>
      </w:pPr>
      <w:r>
        <w:t xml:space="preserve">Zheng, D., Velde, R. V. der, Su, Z., Wen, J., Wang, X., Booij, M. J., et al. (2016). Impacts of Noah model physics on catchment-scale runoff simulations. </w:t>
      </w:r>
      <w:r>
        <w:rPr>
          <w:i/>
          <w:iCs/>
        </w:rPr>
        <w:t>Journal of Geophysical Research: Atmospheres</w:t>
      </w:r>
      <w:r>
        <w:t xml:space="preserve">, </w:t>
      </w:r>
      <w:r>
        <w:rPr>
          <w:i/>
          <w:iCs/>
        </w:rPr>
        <w:t>121</w:t>
      </w:r>
      <w:r>
        <w:t>(2), 807–832. https://doi.org/10.1002/2015JD023695</w:t>
      </w:r>
    </w:p>
    <w:p w14:paraId="79F0DA8A" w14:textId="77777777" w:rsidR="00C62A9A" w:rsidRDefault="00C62A9A" w:rsidP="00C62A9A">
      <w:pPr>
        <w:pStyle w:val="Bibliography"/>
      </w:pPr>
      <w:r>
        <w:t xml:space="preserve">Zhu, P., Albrecht, B. A., Ghate, V. P., &amp; Zhu, Z. (2010). Multiple-scale simulations of stratocumulus clouds. </w:t>
      </w:r>
      <w:r>
        <w:rPr>
          <w:i/>
          <w:iCs/>
        </w:rPr>
        <w:t>Journal of Geophysical Research</w:t>
      </w:r>
      <w:r>
        <w:t xml:space="preserve">, </w:t>
      </w:r>
      <w:r>
        <w:rPr>
          <w:i/>
          <w:iCs/>
        </w:rPr>
        <w:t>115</w:t>
      </w:r>
      <w:r>
        <w:t>(D23), D23201. https://doi.org/10.1029/2010JD014400</w:t>
      </w:r>
    </w:p>
    <w:p w14:paraId="2B7C9A8E" w14:textId="27F29A8D" w:rsidR="00BF0028" w:rsidRPr="00D00A15" w:rsidRDefault="00A44B66" w:rsidP="00D30DD3">
      <w:r>
        <w:fldChar w:fldCharType="end"/>
      </w:r>
    </w:p>
    <w:sectPr w:rsidR="00BF0028" w:rsidRPr="00D00A15" w:rsidSect="00BD47BB">
      <w:headerReference w:type="default" r:id="rId28"/>
      <w:headerReference w:type="first" r:id="rId29"/>
      <w:type w:val="continuous"/>
      <w:pgSz w:w="12240" w:h="15840"/>
      <w:pgMar w:top="1440" w:right="1440" w:bottom="1440" w:left="1440" w:header="432"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EBA01A" w14:textId="77777777" w:rsidR="00AC7A1F" w:rsidRDefault="00AC7A1F" w:rsidP="00D85BF9">
      <w:r>
        <w:separator/>
      </w:r>
    </w:p>
  </w:endnote>
  <w:endnote w:type="continuationSeparator" w:id="0">
    <w:p w14:paraId="3BAB2798" w14:textId="77777777" w:rsidR="00AC7A1F" w:rsidRDefault="00AC7A1F" w:rsidP="00D85B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44255E" w14:textId="77777777" w:rsidR="00AC7A1F" w:rsidRDefault="00AC7A1F" w:rsidP="00D85BF9">
      <w:r>
        <w:separator/>
      </w:r>
    </w:p>
  </w:footnote>
  <w:footnote w:type="continuationSeparator" w:id="0">
    <w:p w14:paraId="1E5B3826" w14:textId="77777777" w:rsidR="00AC7A1F" w:rsidRDefault="00AC7A1F" w:rsidP="00D85B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25FE63" w14:textId="5B9036EC" w:rsidR="00B93534" w:rsidRDefault="00B93534" w:rsidP="00D85BF9">
    <w:pPr>
      <w:pStyle w:val="Header"/>
    </w:pPr>
    <w:r>
      <w:t xml:space="preserve">manuscript submitted to </w:t>
    </w:r>
    <w:r>
      <w:rPr>
        <w:i/>
      </w:rPr>
      <w:t>Atmosphere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75CCC" w14:textId="2816AD77" w:rsidR="00B93534" w:rsidRDefault="00B93534" w:rsidP="00D85BF9">
    <w:pPr>
      <w:pStyle w:val="Header"/>
    </w:pPr>
    <w:r>
      <w:t xml:space="preserve">Confidential manuscript submitted to replace this text with name of </w:t>
    </w:r>
    <w:r w:rsidRPr="007778ED">
      <w:t>AGU journal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D472D"/>
    <w:multiLevelType w:val="hybridMultilevel"/>
    <w:tmpl w:val="880A865A"/>
    <w:lvl w:ilvl="0" w:tplc="04090001">
      <w:start w:val="1"/>
      <w:numFmt w:val="bullet"/>
      <w:lvlText w:val=""/>
      <w:lvlJc w:val="left"/>
      <w:pPr>
        <w:ind w:left="1080" w:hanging="360"/>
      </w:pPr>
      <w:rPr>
        <w:rFonts w:ascii="Symbol" w:hAnsi="Symbol"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7684F37"/>
    <w:multiLevelType w:val="multilevel"/>
    <w:tmpl w:val="12CEF088"/>
    <w:lvl w:ilvl="0">
      <w:start w:val="1"/>
      <w:numFmt w:val="decimal"/>
      <w:lvlText w:val="%1."/>
      <w:lvlJc w:val="right"/>
      <w:pPr>
        <w:ind w:left="3328" w:hanging="360"/>
      </w:pPr>
      <w:rPr>
        <w:rFonts w:hint="default"/>
      </w:rPr>
    </w:lvl>
    <w:lvl w:ilvl="1">
      <w:start w:val="1"/>
      <w:numFmt w:val="decimal"/>
      <w:isLgl/>
      <w:lvlText w:val="%1.%2."/>
      <w:lvlJc w:val="left"/>
      <w:pPr>
        <w:ind w:left="3328" w:hanging="360"/>
      </w:pPr>
      <w:rPr>
        <w:rFonts w:hint="default"/>
      </w:rPr>
    </w:lvl>
    <w:lvl w:ilvl="2">
      <w:start w:val="1"/>
      <w:numFmt w:val="decimal"/>
      <w:isLgl/>
      <w:lvlText w:val="%1.%2.%3."/>
      <w:lvlJc w:val="left"/>
      <w:pPr>
        <w:ind w:left="3688" w:hanging="720"/>
      </w:pPr>
      <w:rPr>
        <w:rFonts w:hint="default"/>
      </w:rPr>
    </w:lvl>
    <w:lvl w:ilvl="3">
      <w:start w:val="1"/>
      <w:numFmt w:val="decimal"/>
      <w:isLgl/>
      <w:lvlText w:val="%1.%2.%3.%4."/>
      <w:lvlJc w:val="left"/>
      <w:pPr>
        <w:ind w:left="3688" w:hanging="720"/>
      </w:pPr>
      <w:rPr>
        <w:rFonts w:hint="default"/>
      </w:rPr>
    </w:lvl>
    <w:lvl w:ilvl="4">
      <w:start w:val="1"/>
      <w:numFmt w:val="decimal"/>
      <w:isLgl/>
      <w:lvlText w:val="%1.%2.%3.%4.%5."/>
      <w:lvlJc w:val="left"/>
      <w:pPr>
        <w:ind w:left="4048" w:hanging="1080"/>
      </w:pPr>
      <w:rPr>
        <w:rFonts w:hint="default"/>
      </w:rPr>
    </w:lvl>
    <w:lvl w:ilvl="5">
      <w:start w:val="1"/>
      <w:numFmt w:val="decimal"/>
      <w:isLgl/>
      <w:lvlText w:val="%1.%2.%3.%4.%5.%6."/>
      <w:lvlJc w:val="left"/>
      <w:pPr>
        <w:ind w:left="4048" w:hanging="1080"/>
      </w:pPr>
      <w:rPr>
        <w:rFonts w:hint="default"/>
      </w:rPr>
    </w:lvl>
    <w:lvl w:ilvl="6">
      <w:start w:val="1"/>
      <w:numFmt w:val="decimal"/>
      <w:isLgl/>
      <w:lvlText w:val="%1.%2.%3.%4.%5.%6.%7."/>
      <w:lvlJc w:val="left"/>
      <w:pPr>
        <w:ind w:left="4048" w:hanging="1080"/>
      </w:pPr>
      <w:rPr>
        <w:rFonts w:hint="default"/>
      </w:rPr>
    </w:lvl>
    <w:lvl w:ilvl="7">
      <w:start w:val="1"/>
      <w:numFmt w:val="decimal"/>
      <w:isLgl/>
      <w:lvlText w:val="%1.%2.%3.%4.%5.%6.%7.%8."/>
      <w:lvlJc w:val="left"/>
      <w:pPr>
        <w:ind w:left="4408" w:hanging="1440"/>
      </w:pPr>
      <w:rPr>
        <w:rFonts w:hint="default"/>
      </w:rPr>
    </w:lvl>
    <w:lvl w:ilvl="8">
      <w:start w:val="1"/>
      <w:numFmt w:val="decimal"/>
      <w:isLgl/>
      <w:lvlText w:val="%1.%2.%3.%4.%5.%6.%7.%8.%9."/>
      <w:lvlJc w:val="left"/>
      <w:pPr>
        <w:ind w:left="4408" w:hanging="1440"/>
      </w:pPr>
      <w:rPr>
        <w:rFonts w:hint="default"/>
      </w:rPr>
    </w:lvl>
  </w:abstractNum>
  <w:abstractNum w:abstractNumId="2" w15:restartNumberingAfterBreak="0">
    <w:nsid w:val="0C664D64"/>
    <w:multiLevelType w:val="multilevel"/>
    <w:tmpl w:val="12CEF088"/>
    <w:lvl w:ilvl="0">
      <w:start w:val="1"/>
      <w:numFmt w:val="decimal"/>
      <w:lvlText w:val="%1."/>
      <w:lvlJc w:val="right"/>
      <w:pPr>
        <w:ind w:left="3328" w:hanging="360"/>
      </w:pPr>
      <w:rPr>
        <w:rFonts w:hint="default"/>
      </w:rPr>
    </w:lvl>
    <w:lvl w:ilvl="1">
      <w:start w:val="1"/>
      <w:numFmt w:val="decimal"/>
      <w:isLgl/>
      <w:lvlText w:val="%1.%2."/>
      <w:lvlJc w:val="left"/>
      <w:pPr>
        <w:ind w:left="3328" w:hanging="360"/>
      </w:pPr>
      <w:rPr>
        <w:rFonts w:hint="default"/>
      </w:rPr>
    </w:lvl>
    <w:lvl w:ilvl="2">
      <w:start w:val="1"/>
      <w:numFmt w:val="decimal"/>
      <w:isLgl/>
      <w:lvlText w:val="%1.%2.%3."/>
      <w:lvlJc w:val="left"/>
      <w:pPr>
        <w:ind w:left="3688" w:hanging="720"/>
      </w:pPr>
      <w:rPr>
        <w:rFonts w:hint="default"/>
      </w:rPr>
    </w:lvl>
    <w:lvl w:ilvl="3">
      <w:start w:val="1"/>
      <w:numFmt w:val="decimal"/>
      <w:isLgl/>
      <w:lvlText w:val="%1.%2.%3.%4."/>
      <w:lvlJc w:val="left"/>
      <w:pPr>
        <w:ind w:left="3688" w:hanging="720"/>
      </w:pPr>
      <w:rPr>
        <w:rFonts w:hint="default"/>
      </w:rPr>
    </w:lvl>
    <w:lvl w:ilvl="4">
      <w:start w:val="1"/>
      <w:numFmt w:val="decimal"/>
      <w:isLgl/>
      <w:lvlText w:val="%1.%2.%3.%4.%5."/>
      <w:lvlJc w:val="left"/>
      <w:pPr>
        <w:ind w:left="4048" w:hanging="1080"/>
      </w:pPr>
      <w:rPr>
        <w:rFonts w:hint="default"/>
      </w:rPr>
    </w:lvl>
    <w:lvl w:ilvl="5">
      <w:start w:val="1"/>
      <w:numFmt w:val="decimal"/>
      <w:isLgl/>
      <w:lvlText w:val="%1.%2.%3.%4.%5.%6."/>
      <w:lvlJc w:val="left"/>
      <w:pPr>
        <w:ind w:left="4048" w:hanging="1080"/>
      </w:pPr>
      <w:rPr>
        <w:rFonts w:hint="default"/>
      </w:rPr>
    </w:lvl>
    <w:lvl w:ilvl="6">
      <w:start w:val="1"/>
      <w:numFmt w:val="decimal"/>
      <w:isLgl/>
      <w:lvlText w:val="%1.%2.%3.%4.%5.%6.%7."/>
      <w:lvlJc w:val="left"/>
      <w:pPr>
        <w:ind w:left="4048" w:hanging="1080"/>
      </w:pPr>
      <w:rPr>
        <w:rFonts w:hint="default"/>
      </w:rPr>
    </w:lvl>
    <w:lvl w:ilvl="7">
      <w:start w:val="1"/>
      <w:numFmt w:val="decimal"/>
      <w:isLgl/>
      <w:lvlText w:val="%1.%2.%3.%4.%5.%6.%7.%8."/>
      <w:lvlJc w:val="left"/>
      <w:pPr>
        <w:ind w:left="4408" w:hanging="1440"/>
      </w:pPr>
      <w:rPr>
        <w:rFonts w:hint="default"/>
      </w:rPr>
    </w:lvl>
    <w:lvl w:ilvl="8">
      <w:start w:val="1"/>
      <w:numFmt w:val="decimal"/>
      <w:isLgl/>
      <w:lvlText w:val="%1.%2.%3.%4.%5.%6.%7.%8.%9."/>
      <w:lvlJc w:val="left"/>
      <w:pPr>
        <w:ind w:left="4408" w:hanging="1440"/>
      </w:pPr>
      <w:rPr>
        <w:rFonts w:hint="default"/>
      </w:rPr>
    </w:lvl>
  </w:abstractNum>
  <w:abstractNum w:abstractNumId="3" w15:restartNumberingAfterBreak="0">
    <w:nsid w:val="125E64BC"/>
    <w:multiLevelType w:val="hybridMultilevel"/>
    <w:tmpl w:val="A4B06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1ED92440"/>
    <w:multiLevelType w:val="multilevel"/>
    <w:tmpl w:val="12CEF088"/>
    <w:lvl w:ilvl="0">
      <w:start w:val="1"/>
      <w:numFmt w:val="decimal"/>
      <w:lvlText w:val="%1."/>
      <w:lvlJc w:val="right"/>
      <w:pPr>
        <w:ind w:left="3328" w:hanging="360"/>
      </w:pPr>
      <w:rPr>
        <w:rFonts w:hint="default"/>
      </w:rPr>
    </w:lvl>
    <w:lvl w:ilvl="1">
      <w:start w:val="1"/>
      <w:numFmt w:val="decimal"/>
      <w:isLgl/>
      <w:lvlText w:val="%1.%2."/>
      <w:lvlJc w:val="left"/>
      <w:pPr>
        <w:ind w:left="3328" w:hanging="360"/>
      </w:pPr>
      <w:rPr>
        <w:rFonts w:hint="default"/>
      </w:rPr>
    </w:lvl>
    <w:lvl w:ilvl="2">
      <w:start w:val="1"/>
      <w:numFmt w:val="decimal"/>
      <w:isLgl/>
      <w:lvlText w:val="%1.%2.%3."/>
      <w:lvlJc w:val="left"/>
      <w:pPr>
        <w:ind w:left="3688" w:hanging="720"/>
      </w:pPr>
      <w:rPr>
        <w:rFonts w:hint="default"/>
      </w:rPr>
    </w:lvl>
    <w:lvl w:ilvl="3">
      <w:start w:val="1"/>
      <w:numFmt w:val="decimal"/>
      <w:isLgl/>
      <w:lvlText w:val="%1.%2.%3.%4."/>
      <w:lvlJc w:val="left"/>
      <w:pPr>
        <w:ind w:left="3688" w:hanging="720"/>
      </w:pPr>
      <w:rPr>
        <w:rFonts w:hint="default"/>
      </w:rPr>
    </w:lvl>
    <w:lvl w:ilvl="4">
      <w:start w:val="1"/>
      <w:numFmt w:val="decimal"/>
      <w:isLgl/>
      <w:lvlText w:val="%1.%2.%3.%4.%5."/>
      <w:lvlJc w:val="left"/>
      <w:pPr>
        <w:ind w:left="4048" w:hanging="1080"/>
      </w:pPr>
      <w:rPr>
        <w:rFonts w:hint="default"/>
      </w:rPr>
    </w:lvl>
    <w:lvl w:ilvl="5">
      <w:start w:val="1"/>
      <w:numFmt w:val="decimal"/>
      <w:isLgl/>
      <w:lvlText w:val="%1.%2.%3.%4.%5.%6."/>
      <w:lvlJc w:val="left"/>
      <w:pPr>
        <w:ind w:left="4048" w:hanging="1080"/>
      </w:pPr>
      <w:rPr>
        <w:rFonts w:hint="default"/>
      </w:rPr>
    </w:lvl>
    <w:lvl w:ilvl="6">
      <w:start w:val="1"/>
      <w:numFmt w:val="decimal"/>
      <w:isLgl/>
      <w:lvlText w:val="%1.%2.%3.%4.%5.%6.%7."/>
      <w:lvlJc w:val="left"/>
      <w:pPr>
        <w:ind w:left="4048" w:hanging="1080"/>
      </w:pPr>
      <w:rPr>
        <w:rFonts w:hint="default"/>
      </w:rPr>
    </w:lvl>
    <w:lvl w:ilvl="7">
      <w:start w:val="1"/>
      <w:numFmt w:val="decimal"/>
      <w:isLgl/>
      <w:lvlText w:val="%1.%2.%3.%4.%5.%6.%7.%8."/>
      <w:lvlJc w:val="left"/>
      <w:pPr>
        <w:ind w:left="4408" w:hanging="1440"/>
      </w:pPr>
      <w:rPr>
        <w:rFonts w:hint="default"/>
      </w:rPr>
    </w:lvl>
    <w:lvl w:ilvl="8">
      <w:start w:val="1"/>
      <w:numFmt w:val="decimal"/>
      <w:isLgl/>
      <w:lvlText w:val="%1.%2.%3.%4.%5.%6.%7.%8.%9."/>
      <w:lvlJc w:val="left"/>
      <w:pPr>
        <w:ind w:left="4408" w:hanging="1440"/>
      </w:pPr>
      <w:rPr>
        <w:rFonts w:hint="default"/>
      </w:rPr>
    </w:lvl>
  </w:abstractNum>
  <w:abstractNum w:abstractNumId="6" w15:restartNumberingAfterBreak="0">
    <w:nsid w:val="22A005FB"/>
    <w:multiLevelType w:val="multilevel"/>
    <w:tmpl w:val="12CEF088"/>
    <w:lvl w:ilvl="0">
      <w:start w:val="1"/>
      <w:numFmt w:val="decimal"/>
      <w:lvlText w:val="%1."/>
      <w:lvlJc w:val="right"/>
      <w:pPr>
        <w:ind w:left="3328" w:hanging="360"/>
      </w:pPr>
      <w:rPr>
        <w:rFonts w:hint="default"/>
      </w:rPr>
    </w:lvl>
    <w:lvl w:ilvl="1">
      <w:start w:val="1"/>
      <w:numFmt w:val="decimal"/>
      <w:isLgl/>
      <w:lvlText w:val="%1.%2."/>
      <w:lvlJc w:val="left"/>
      <w:pPr>
        <w:ind w:left="3328" w:hanging="360"/>
      </w:pPr>
      <w:rPr>
        <w:rFonts w:hint="default"/>
      </w:rPr>
    </w:lvl>
    <w:lvl w:ilvl="2">
      <w:start w:val="1"/>
      <w:numFmt w:val="decimal"/>
      <w:isLgl/>
      <w:lvlText w:val="%1.%2.%3."/>
      <w:lvlJc w:val="left"/>
      <w:pPr>
        <w:ind w:left="3688" w:hanging="720"/>
      </w:pPr>
      <w:rPr>
        <w:rFonts w:hint="default"/>
      </w:rPr>
    </w:lvl>
    <w:lvl w:ilvl="3">
      <w:start w:val="1"/>
      <w:numFmt w:val="decimal"/>
      <w:isLgl/>
      <w:lvlText w:val="%1.%2.%3.%4."/>
      <w:lvlJc w:val="left"/>
      <w:pPr>
        <w:ind w:left="3688" w:hanging="720"/>
      </w:pPr>
      <w:rPr>
        <w:rFonts w:hint="default"/>
      </w:rPr>
    </w:lvl>
    <w:lvl w:ilvl="4">
      <w:start w:val="1"/>
      <w:numFmt w:val="decimal"/>
      <w:isLgl/>
      <w:lvlText w:val="%1.%2.%3.%4.%5."/>
      <w:lvlJc w:val="left"/>
      <w:pPr>
        <w:ind w:left="4048" w:hanging="1080"/>
      </w:pPr>
      <w:rPr>
        <w:rFonts w:hint="default"/>
      </w:rPr>
    </w:lvl>
    <w:lvl w:ilvl="5">
      <w:start w:val="1"/>
      <w:numFmt w:val="decimal"/>
      <w:isLgl/>
      <w:lvlText w:val="%1.%2.%3.%4.%5.%6."/>
      <w:lvlJc w:val="left"/>
      <w:pPr>
        <w:ind w:left="4048" w:hanging="1080"/>
      </w:pPr>
      <w:rPr>
        <w:rFonts w:hint="default"/>
      </w:rPr>
    </w:lvl>
    <w:lvl w:ilvl="6">
      <w:start w:val="1"/>
      <w:numFmt w:val="decimal"/>
      <w:isLgl/>
      <w:lvlText w:val="%1.%2.%3.%4.%5.%6.%7."/>
      <w:lvlJc w:val="left"/>
      <w:pPr>
        <w:ind w:left="4048" w:hanging="1080"/>
      </w:pPr>
      <w:rPr>
        <w:rFonts w:hint="default"/>
      </w:rPr>
    </w:lvl>
    <w:lvl w:ilvl="7">
      <w:start w:val="1"/>
      <w:numFmt w:val="decimal"/>
      <w:isLgl/>
      <w:lvlText w:val="%1.%2.%3.%4.%5.%6.%7.%8."/>
      <w:lvlJc w:val="left"/>
      <w:pPr>
        <w:ind w:left="4408" w:hanging="1440"/>
      </w:pPr>
      <w:rPr>
        <w:rFonts w:hint="default"/>
      </w:rPr>
    </w:lvl>
    <w:lvl w:ilvl="8">
      <w:start w:val="1"/>
      <w:numFmt w:val="decimal"/>
      <w:isLgl/>
      <w:lvlText w:val="%1.%2.%3.%4.%5.%6.%7.%8.%9."/>
      <w:lvlJc w:val="left"/>
      <w:pPr>
        <w:ind w:left="4408" w:hanging="1440"/>
      </w:pPr>
      <w:rPr>
        <w:rFonts w:hint="default"/>
      </w:rPr>
    </w:lvl>
  </w:abstractNum>
  <w:abstractNum w:abstractNumId="7" w15:restartNumberingAfterBreak="0">
    <w:nsid w:val="24004C1D"/>
    <w:multiLevelType w:val="multilevel"/>
    <w:tmpl w:val="12CEF088"/>
    <w:lvl w:ilvl="0">
      <w:start w:val="1"/>
      <w:numFmt w:val="decimal"/>
      <w:lvlText w:val="%1."/>
      <w:lvlJc w:val="right"/>
      <w:pPr>
        <w:ind w:left="3328" w:hanging="360"/>
      </w:pPr>
      <w:rPr>
        <w:rFonts w:hint="default"/>
      </w:rPr>
    </w:lvl>
    <w:lvl w:ilvl="1">
      <w:start w:val="1"/>
      <w:numFmt w:val="decimal"/>
      <w:isLgl/>
      <w:lvlText w:val="%1.%2."/>
      <w:lvlJc w:val="left"/>
      <w:pPr>
        <w:ind w:left="3328" w:hanging="360"/>
      </w:pPr>
      <w:rPr>
        <w:rFonts w:hint="default"/>
      </w:rPr>
    </w:lvl>
    <w:lvl w:ilvl="2">
      <w:start w:val="1"/>
      <w:numFmt w:val="decimal"/>
      <w:isLgl/>
      <w:lvlText w:val="%1.%2.%3."/>
      <w:lvlJc w:val="left"/>
      <w:pPr>
        <w:ind w:left="3688" w:hanging="720"/>
      </w:pPr>
      <w:rPr>
        <w:rFonts w:hint="default"/>
      </w:rPr>
    </w:lvl>
    <w:lvl w:ilvl="3">
      <w:start w:val="1"/>
      <w:numFmt w:val="decimal"/>
      <w:isLgl/>
      <w:lvlText w:val="%1.%2.%3.%4."/>
      <w:lvlJc w:val="left"/>
      <w:pPr>
        <w:ind w:left="3688" w:hanging="720"/>
      </w:pPr>
      <w:rPr>
        <w:rFonts w:hint="default"/>
      </w:rPr>
    </w:lvl>
    <w:lvl w:ilvl="4">
      <w:start w:val="1"/>
      <w:numFmt w:val="decimal"/>
      <w:isLgl/>
      <w:lvlText w:val="%1.%2.%3.%4.%5."/>
      <w:lvlJc w:val="left"/>
      <w:pPr>
        <w:ind w:left="4048" w:hanging="1080"/>
      </w:pPr>
      <w:rPr>
        <w:rFonts w:hint="default"/>
      </w:rPr>
    </w:lvl>
    <w:lvl w:ilvl="5">
      <w:start w:val="1"/>
      <w:numFmt w:val="decimal"/>
      <w:isLgl/>
      <w:lvlText w:val="%1.%2.%3.%4.%5.%6."/>
      <w:lvlJc w:val="left"/>
      <w:pPr>
        <w:ind w:left="4048" w:hanging="1080"/>
      </w:pPr>
      <w:rPr>
        <w:rFonts w:hint="default"/>
      </w:rPr>
    </w:lvl>
    <w:lvl w:ilvl="6">
      <w:start w:val="1"/>
      <w:numFmt w:val="decimal"/>
      <w:isLgl/>
      <w:lvlText w:val="%1.%2.%3.%4.%5.%6.%7."/>
      <w:lvlJc w:val="left"/>
      <w:pPr>
        <w:ind w:left="4048" w:hanging="1080"/>
      </w:pPr>
      <w:rPr>
        <w:rFonts w:hint="default"/>
      </w:rPr>
    </w:lvl>
    <w:lvl w:ilvl="7">
      <w:start w:val="1"/>
      <w:numFmt w:val="decimal"/>
      <w:isLgl/>
      <w:lvlText w:val="%1.%2.%3.%4.%5.%6.%7.%8."/>
      <w:lvlJc w:val="left"/>
      <w:pPr>
        <w:ind w:left="4408" w:hanging="1440"/>
      </w:pPr>
      <w:rPr>
        <w:rFonts w:hint="default"/>
      </w:rPr>
    </w:lvl>
    <w:lvl w:ilvl="8">
      <w:start w:val="1"/>
      <w:numFmt w:val="decimal"/>
      <w:isLgl/>
      <w:lvlText w:val="%1.%2.%3.%4.%5.%6.%7.%8.%9."/>
      <w:lvlJc w:val="left"/>
      <w:pPr>
        <w:ind w:left="4408" w:hanging="1440"/>
      </w:pPr>
      <w:rPr>
        <w:rFonts w:hint="default"/>
      </w:rPr>
    </w:lvl>
  </w:abstractNum>
  <w:abstractNum w:abstractNumId="8" w15:restartNumberingAfterBreak="0">
    <w:nsid w:val="24A61D63"/>
    <w:multiLevelType w:val="hybridMultilevel"/>
    <w:tmpl w:val="36769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F047978"/>
    <w:multiLevelType w:val="hybridMultilevel"/>
    <w:tmpl w:val="7E889D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30EC169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39164D7D"/>
    <w:multiLevelType w:val="multilevel"/>
    <w:tmpl w:val="12CEF088"/>
    <w:lvl w:ilvl="0">
      <w:start w:val="1"/>
      <w:numFmt w:val="decimal"/>
      <w:lvlText w:val="%1."/>
      <w:lvlJc w:val="right"/>
      <w:pPr>
        <w:ind w:left="3328" w:hanging="360"/>
      </w:pPr>
      <w:rPr>
        <w:rFonts w:hint="default"/>
      </w:rPr>
    </w:lvl>
    <w:lvl w:ilvl="1">
      <w:start w:val="1"/>
      <w:numFmt w:val="decimal"/>
      <w:isLgl/>
      <w:lvlText w:val="%1.%2."/>
      <w:lvlJc w:val="left"/>
      <w:pPr>
        <w:ind w:left="3328" w:hanging="360"/>
      </w:pPr>
      <w:rPr>
        <w:rFonts w:hint="default"/>
      </w:rPr>
    </w:lvl>
    <w:lvl w:ilvl="2">
      <w:start w:val="1"/>
      <w:numFmt w:val="decimal"/>
      <w:isLgl/>
      <w:lvlText w:val="%1.%2.%3."/>
      <w:lvlJc w:val="left"/>
      <w:pPr>
        <w:ind w:left="3688" w:hanging="720"/>
      </w:pPr>
      <w:rPr>
        <w:rFonts w:hint="default"/>
      </w:rPr>
    </w:lvl>
    <w:lvl w:ilvl="3">
      <w:start w:val="1"/>
      <w:numFmt w:val="decimal"/>
      <w:isLgl/>
      <w:lvlText w:val="%1.%2.%3.%4."/>
      <w:lvlJc w:val="left"/>
      <w:pPr>
        <w:ind w:left="3688" w:hanging="720"/>
      </w:pPr>
      <w:rPr>
        <w:rFonts w:hint="default"/>
      </w:rPr>
    </w:lvl>
    <w:lvl w:ilvl="4">
      <w:start w:val="1"/>
      <w:numFmt w:val="decimal"/>
      <w:isLgl/>
      <w:lvlText w:val="%1.%2.%3.%4.%5."/>
      <w:lvlJc w:val="left"/>
      <w:pPr>
        <w:ind w:left="4048" w:hanging="1080"/>
      </w:pPr>
      <w:rPr>
        <w:rFonts w:hint="default"/>
      </w:rPr>
    </w:lvl>
    <w:lvl w:ilvl="5">
      <w:start w:val="1"/>
      <w:numFmt w:val="decimal"/>
      <w:isLgl/>
      <w:lvlText w:val="%1.%2.%3.%4.%5.%6."/>
      <w:lvlJc w:val="left"/>
      <w:pPr>
        <w:ind w:left="4048" w:hanging="1080"/>
      </w:pPr>
      <w:rPr>
        <w:rFonts w:hint="default"/>
      </w:rPr>
    </w:lvl>
    <w:lvl w:ilvl="6">
      <w:start w:val="1"/>
      <w:numFmt w:val="decimal"/>
      <w:isLgl/>
      <w:lvlText w:val="%1.%2.%3.%4.%5.%6.%7."/>
      <w:lvlJc w:val="left"/>
      <w:pPr>
        <w:ind w:left="4048" w:hanging="1080"/>
      </w:pPr>
      <w:rPr>
        <w:rFonts w:hint="default"/>
      </w:rPr>
    </w:lvl>
    <w:lvl w:ilvl="7">
      <w:start w:val="1"/>
      <w:numFmt w:val="decimal"/>
      <w:isLgl/>
      <w:lvlText w:val="%1.%2.%3.%4.%5.%6.%7.%8."/>
      <w:lvlJc w:val="left"/>
      <w:pPr>
        <w:ind w:left="4408" w:hanging="1440"/>
      </w:pPr>
      <w:rPr>
        <w:rFonts w:hint="default"/>
      </w:rPr>
    </w:lvl>
    <w:lvl w:ilvl="8">
      <w:start w:val="1"/>
      <w:numFmt w:val="decimal"/>
      <w:isLgl/>
      <w:lvlText w:val="%1.%2.%3.%4.%5.%6.%7.%8.%9."/>
      <w:lvlJc w:val="left"/>
      <w:pPr>
        <w:ind w:left="4408" w:hanging="1440"/>
      </w:pPr>
      <w:rPr>
        <w:rFonts w:hint="default"/>
      </w:rPr>
    </w:lvl>
  </w:abstractNum>
  <w:abstractNum w:abstractNumId="12" w15:restartNumberingAfterBreak="0">
    <w:nsid w:val="3AF63529"/>
    <w:multiLevelType w:val="multilevel"/>
    <w:tmpl w:val="5D3067A4"/>
    <w:lvl w:ilvl="0">
      <w:start w:val="1"/>
      <w:numFmt w:val="decimal"/>
      <w:lvlText w:val="%1."/>
      <w:lvlJc w:val="righ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C9B5536"/>
    <w:multiLevelType w:val="hybridMultilevel"/>
    <w:tmpl w:val="CBCCF77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04E3973"/>
    <w:multiLevelType w:val="hybridMultilevel"/>
    <w:tmpl w:val="8C6689B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1EC2A2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4C8D7E5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4EF26E73"/>
    <w:multiLevelType w:val="hybridMultilevel"/>
    <w:tmpl w:val="025E36FC"/>
    <w:lvl w:ilvl="0" w:tplc="80D87E5C">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0FD43D8"/>
    <w:multiLevelType w:val="hybridMultilevel"/>
    <w:tmpl w:val="00E46F2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9" w15:restartNumberingAfterBreak="0">
    <w:nsid w:val="558B102F"/>
    <w:multiLevelType w:val="multilevel"/>
    <w:tmpl w:val="12CEF088"/>
    <w:lvl w:ilvl="0">
      <w:start w:val="1"/>
      <w:numFmt w:val="decimal"/>
      <w:lvlText w:val="%1."/>
      <w:lvlJc w:val="right"/>
      <w:pPr>
        <w:ind w:left="3328" w:hanging="360"/>
      </w:pPr>
      <w:rPr>
        <w:rFonts w:hint="default"/>
      </w:rPr>
    </w:lvl>
    <w:lvl w:ilvl="1">
      <w:start w:val="1"/>
      <w:numFmt w:val="decimal"/>
      <w:isLgl/>
      <w:lvlText w:val="%1.%2."/>
      <w:lvlJc w:val="left"/>
      <w:pPr>
        <w:ind w:left="3328" w:hanging="360"/>
      </w:pPr>
      <w:rPr>
        <w:rFonts w:hint="default"/>
      </w:rPr>
    </w:lvl>
    <w:lvl w:ilvl="2">
      <w:start w:val="1"/>
      <w:numFmt w:val="decimal"/>
      <w:isLgl/>
      <w:lvlText w:val="%1.%2.%3."/>
      <w:lvlJc w:val="left"/>
      <w:pPr>
        <w:ind w:left="3688" w:hanging="720"/>
      </w:pPr>
      <w:rPr>
        <w:rFonts w:hint="default"/>
      </w:rPr>
    </w:lvl>
    <w:lvl w:ilvl="3">
      <w:start w:val="1"/>
      <w:numFmt w:val="decimal"/>
      <w:isLgl/>
      <w:lvlText w:val="%1.%2.%3.%4."/>
      <w:lvlJc w:val="left"/>
      <w:pPr>
        <w:ind w:left="3688" w:hanging="720"/>
      </w:pPr>
      <w:rPr>
        <w:rFonts w:hint="default"/>
      </w:rPr>
    </w:lvl>
    <w:lvl w:ilvl="4">
      <w:start w:val="1"/>
      <w:numFmt w:val="decimal"/>
      <w:isLgl/>
      <w:lvlText w:val="%1.%2.%3.%4.%5."/>
      <w:lvlJc w:val="left"/>
      <w:pPr>
        <w:ind w:left="4048" w:hanging="1080"/>
      </w:pPr>
      <w:rPr>
        <w:rFonts w:hint="default"/>
      </w:rPr>
    </w:lvl>
    <w:lvl w:ilvl="5">
      <w:start w:val="1"/>
      <w:numFmt w:val="decimal"/>
      <w:isLgl/>
      <w:lvlText w:val="%1.%2.%3.%4.%5.%6."/>
      <w:lvlJc w:val="left"/>
      <w:pPr>
        <w:ind w:left="4048" w:hanging="1080"/>
      </w:pPr>
      <w:rPr>
        <w:rFonts w:hint="default"/>
      </w:rPr>
    </w:lvl>
    <w:lvl w:ilvl="6">
      <w:start w:val="1"/>
      <w:numFmt w:val="decimal"/>
      <w:isLgl/>
      <w:lvlText w:val="%1.%2.%3.%4.%5.%6.%7."/>
      <w:lvlJc w:val="left"/>
      <w:pPr>
        <w:ind w:left="4048" w:hanging="1080"/>
      </w:pPr>
      <w:rPr>
        <w:rFonts w:hint="default"/>
      </w:rPr>
    </w:lvl>
    <w:lvl w:ilvl="7">
      <w:start w:val="1"/>
      <w:numFmt w:val="decimal"/>
      <w:isLgl/>
      <w:lvlText w:val="%1.%2.%3.%4.%5.%6.%7.%8."/>
      <w:lvlJc w:val="left"/>
      <w:pPr>
        <w:ind w:left="4408" w:hanging="1440"/>
      </w:pPr>
      <w:rPr>
        <w:rFonts w:hint="default"/>
      </w:rPr>
    </w:lvl>
    <w:lvl w:ilvl="8">
      <w:start w:val="1"/>
      <w:numFmt w:val="decimal"/>
      <w:isLgl/>
      <w:lvlText w:val="%1.%2.%3.%4.%5.%6.%7.%8.%9."/>
      <w:lvlJc w:val="left"/>
      <w:pPr>
        <w:ind w:left="4408" w:hanging="1440"/>
      </w:pPr>
      <w:rPr>
        <w:rFonts w:hint="default"/>
      </w:rPr>
    </w:lvl>
  </w:abstractNum>
  <w:abstractNum w:abstractNumId="20" w15:restartNumberingAfterBreak="0">
    <w:nsid w:val="5C811597"/>
    <w:multiLevelType w:val="hybridMultilevel"/>
    <w:tmpl w:val="4E48B8C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3976D7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640D0A31"/>
    <w:multiLevelType w:val="multilevel"/>
    <w:tmpl w:val="65BEA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4351C9F"/>
    <w:multiLevelType w:val="multilevel"/>
    <w:tmpl w:val="8196B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4EF7FF3"/>
    <w:multiLevelType w:val="hybridMultilevel"/>
    <w:tmpl w:val="D1286E8C"/>
    <w:lvl w:ilvl="0" w:tplc="302419E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72D79E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6B5208B2"/>
    <w:multiLevelType w:val="hybridMultilevel"/>
    <w:tmpl w:val="EF94B784"/>
    <w:lvl w:ilvl="0" w:tplc="9B9AD5D6">
      <w:start w:val="1"/>
      <w:numFmt w:val="upperLetter"/>
      <w:lvlText w:val="%1t"/>
      <w:lvlJc w:val="left"/>
      <w:pPr>
        <w:ind w:left="440" w:hanging="360"/>
      </w:pPr>
      <w:rPr>
        <w:rFonts w:hint="default"/>
      </w:rPr>
    </w:lvl>
    <w:lvl w:ilvl="1" w:tplc="04090019" w:tentative="1">
      <w:start w:val="1"/>
      <w:numFmt w:val="lowerLetter"/>
      <w:lvlText w:val="%2."/>
      <w:lvlJc w:val="left"/>
      <w:pPr>
        <w:ind w:left="1160" w:hanging="360"/>
      </w:pPr>
    </w:lvl>
    <w:lvl w:ilvl="2" w:tplc="0409001B" w:tentative="1">
      <w:start w:val="1"/>
      <w:numFmt w:val="lowerRoman"/>
      <w:lvlText w:val="%3."/>
      <w:lvlJc w:val="right"/>
      <w:pPr>
        <w:ind w:left="1880" w:hanging="180"/>
      </w:pPr>
    </w:lvl>
    <w:lvl w:ilvl="3" w:tplc="0409000F" w:tentative="1">
      <w:start w:val="1"/>
      <w:numFmt w:val="decimal"/>
      <w:lvlText w:val="%4."/>
      <w:lvlJc w:val="left"/>
      <w:pPr>
        <w:ind w:left="2600" w:hanging="360"/>
      </w:pPr>
    </w:lvl>
    <w:lvl w:ilvl="4" w:tplc="04090019" w:tentative="1">
      <w:start w:val="1"/>
      <w:numFmt w:val="lowerLetter"/>
      <w:lvlText w:val="%5."/>
      <w:lvlJc w:val="left"/>
      <w:pPr>
        <w:ind w:left="3320" w:hanging="360"/>
      </w:pPr>
    </w:lvl>
    <w:lvl w:ilvl="5" w:tplc="0409001B" w:tentative="1">
      <w:start w:val="1"/>
      <w:numFmt w:val="lowerRoman"/>
      <w:lvlText w:val="%6."/>
      <w:lvlJc w:val="right"/>
      <w:pPr>
        <w:ind w:left="4040" w:hanging="180"/>
      </w:pPr>
    </w:lvl>
    <w:lvl w:ilvl="6" w:tplc="0409000F" w:tentative="1">
      <w:start w:val="1"/>
      <w:numFmt w:val="decimal"/>
      <w:lvlText w:val="%7."/>
      <w:lvlJc w:val="left"/>
      <w:pPr>
        <w:ind w:left="4760" w:hanging="360"/>
      </w:pPr>
    </w:lvl>
    <w:lvl w:ilvl="7" w:tplc="04090019" w:tentative="1">
      <w:start w:val="1"/>
      <w:numFmt w:val="lowerLetter"/>
      <w:lvlText w:val="%8."/>
      <w:lvlJc w:val="left"/>
      <w:pPr>
        <w:ind w:left="5480" w:hanging="360"/>
      </w:pPr>
    </w:lvl>
    <w:lvl w:ilvl="8" w:tplc="0409001B" w:tentative="1">
      <w:start w:val="1"/>
      <w:numFmt w:val="lowerRoman"/>
      <w:lvlText w:val="%9."/>
      <w:lvlJc w:val="right"/>
      <w:pPr>
        <w:ind w:left="6200" w:hanging="180"/>
      </w:pPr>
    </w:lvl>
  </w:abstractNum>
  <w:abstractNum w:abstractNumId="27" w15:restartNumberingAfterBreak="0">
    <w:nsid w:val="6E0C23C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6F92733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7318304F"/>
    <w:multiLevelType w:val="multilevel"/>
    <w:tmpl w:val="12CEF088"/>
    <w:lvl w:ilvl="0">
      <w:start w:val="1"/>
      <w:numFmt w:val="decimal"/>
      <w:lvlText w:val="%1."/>
      <w:lvlJc w:val="right"/>
      <w:pPr>
        <w:ind w:left="3328" w:hanging="360"/>
      </w:pPr>
      <w:rPr>
        <w:rFonts w:hint="default"/>
      </w:rPr>
    </w:lvl>
    <w:lvl w:ilvl="1">
      <w:start w:val="1"/>
      <w:numFmt w:val="decimal"/>
      <w:isLgl/>
      <w:lvlText w:val="%1.%2."/>
      <w:lvlJc w:val="left"/>
      <w:pPr>
        <w:ind w:left="3328" w:hanging="360"/>
      </w:pPr>
      <w:rPr>
        <w:rFonts w:hint="default"/>
      </w:rPr>
    </w:lvl>
    <w:lvl w:ilvl="2">
      <w:start w:val="1"/>
      <w:numFmt w:val="decimal"/>
      <w:isLgl/>
      <w:lvlText w:val="%1.%2.%3."/>
      <w:lvlJc w:val="left"/>
      <w:pPr>
        <w:ind w:left="3688" w:hanging="720"/>
      </w:pPr>
      <w:rPr>
        <w:rFonts w:hint="default"/>
      </w:rPr>
    </w:lvl>
    <w:lvl w:ilvl="3">
      <w:start w:val="1"/>
      <w:numFmt w:val="decimal"/>
      <w:isLgl/>
      <w:lvlText w:val="%1.%2.%3.%4."/>
      <w:lvlJc w:val="left"/>
      <w:pPr>
        <w:ind w:left="3688" w:hanging="720"/>
      </w:pPr>
      <w:rPr>
        <w:rFonts w:hint="default"/>
      </w:rPr>
    </w:lvl>
    <w:lvl w:ilvl="4">
      <w:start w:val="1"/>
      <w:numFmt w:val="decimal"/>
      <w:isLgl/>
      <w:lvlText w:val="%1.%2.%3.%4.%5."/>
      <w:lvlJc w:val="left"/>
      <w:pPr>
        <w:ind w:left="4048" w:hanging="1080"/>
      </w:pPr>
      <w:rPr>
        <w:rFonts w:hint="default"/>
      </w:rPr>
    </w:lvl>
    <w:lvl w:ilvl="5">
      <w:start w:val="1"/>
      <w:numFmt w:val="decimal"/>
      <w:isLgl/>
      <w:lvlText w:val="%1.%2.%3.%4.%5.%6."/>
      <w:lvlJc w:val="left"/>
      <w:pPr>
        <w:ind w:left="4048" w:hanging="1080"/>
      </w:pPr>
      <w:rPr>
        <w:rFonts w:hint="default"/>
      </w:rPr>
    </w:lvl>
    <w:lvl w:ilvl="6">
      <w:start w:val="1"/>
      <w:numFmt w:val="decimal"/>
      <w:isLgl/>
      <w:lvlText w:val="%1.%2.%3.%4.%5.%6.%7."/>
      <w:lvlJc w:val="left"/>
      <w:pPr>
        <w:ind w:left="4048" w:hanging="1080"/>
      </w:pPr>
      <w:rPr>
        <w:rFonts w:hint="default"/>
      </w:rPr>
    </w:lvl>
    <w:lvl w:ilvl="7">
      <w:start w:val="1"/>
      <w:numFmt w:val="decimal"/>
      <w:isLgl/>
      <w:lvlText w:val="%1.%2.%3.%4.%5.%6.%7.%8."/>
      <w:lvlJc w:val="left"/>
      <w:pPr>
        <w:ind w:left="4408" w:hanging="1440"/>
      </w:pPr>
      <w:rPr>
        <w:rFonts w:hint="default"/>
      </w:rPr>
    </w:lvl>
    <w:lvl w:ilvl="8">
      <w:start w:val="1"/>
      <w:numFmt w:val="decimal"/>
      <w:isLgl/>
      <w:lvlText w:val="%1.%2.%3.%4.%5.%6.%7.%8.%9."/>
      <w:lvlJc w:val="left"/>
      <w:pPr>
        <w:ind w:left="4408" w:hanging="1440"/>
      </w:pPr>
      <w:rPr>
        <w:rFonts w:hint="default"/>
      </w:rPr>
    </w:lvl>
  </w:abstractNum>
  <w:abstractNum w:abstractNumId="30" w15:restartNumberingAfterBreak="0">
    <w:nsid w:val="7B44396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7B47206B"/>
    <w:multiLevelType w:val="hybridMultilevel"/>
    <w:tmpl w:val="058C0FC8"/>
    <w:lvl w:ilvl="0" w:tplc="EB9E9560">
      <w:numFmt w:val="bullet"/>
      <w:lvlText w:val="·"/>
      <w:lvlJc w:val="left"/>
      <w:pPr>
        <w:ind w:left="1080" w:hanging="360"/>
      </w:pPr>
      <w:rPr>
        <w:rFonts w:ascii="Times New Roman" w:eastAsia="Times New Roman" w:hAnsi="Times New Roman" w:cs="Times New Roman"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4"/>
  </w:num>
  <w:num w:numId="2">
    <w:abstractNumId w:val="3"/>
  </w:num>
  <w:num w:numId="3">
    <w:abstractNumId w:val="26"/>
  </w:num>
  <w:num w:numId="4">
    <w:abstractNumId w:val="13"/>
  </w:num>
  <w:num w:numId="5">
    <w:abstractNumId w:val="14"/>
  </w:num>
  <w:num w:numId="6">
    <w:abstractNumId w:val="20"/>
  </w:num>
  <w:num w:numId="7">
    <w:abstractNumId w:val="22"/>
  </w:num>
  <w:num w:numId="8">
    <w:abstractNumId w:val="23"/>
  </w:num>
  <w:num w:numId="9">
    <w:abstractNumId w:val="8"/>
  </w:num>
  <w:num w:numId="10">
    <w:abstractNumId w:val="18"/>
  </w:num>
  <w:num w:numId="11">
    <w:abstractNumId w:val="9"/>
  </w:num>
  <w:num w:numId="12">
    <w:abstractNumId w:val="31"/>
  </w:num>
  <w:num w:numId="13">
    <w:abstractNumId w:val="0"/>
  </w:num>
  <w:num w:numId="14">
    <w:abstractNumId w:val="5"/>
  </w:num>
  <w:num w:numId="15">
    <w:abstractNumId w:val="6"/>
  </w:num>
  <w:num w:numId="16">
    <w:abstractNumId w:val="11"/>
  </w:num>
  <w:num w:numId="17">
    <w:abstractNumId w:val="29"/>
  </w:num>
  <w:num w:numId="18">
    <w:abstractNumId w:val="1"/>
  </w:num>
  <w:num w:numId="19">
    <w:abstractNumId w:val="2"/>
  </w:num>
  <w:num w:numId="20">
    <w:abstractNumId w:val="7"/>
  </w:num>
  <w:num w:numId="21">
    <w:abstractNumId w:val="19"/>
  </w:num>
  <w:num w:numId="22">
    <w:abstractNumId w:val="17"/>
  </w:num>
  <w:num w:numId="23">
    <w:abstractNumId w:val="24"/>
  </w:num>
  <w:num w:numId="24">
    <w:abstractNumId w:val="10"/>
  </w:num>
  <w:num w:numId="25">
    <w:abstractNumId w:val="28"/>
  </w:num>
  <w:num w:numId="26">
    <w:abstractNumId w:val="12"/>
  </w:num>
  <w:num w:numId="27">
    <w:abstractNumId w:val="21"/>
  </w:num>
  <w:num w:numId="28">
    <w:abstractNumId w:val="27"/>
  </w:num>
  <w:num w:numId="29">
    <w:abstractNumId w:val="30"/>
  </w:num>
  <w:num w:numId="30">
    <w:abstractNumId w:val="15"/>
  </w:num>
  <w:num w:numId="31">
    <w:abstractNumId w:val="16"/>
  </w:num>
  <w:num w:numId="32">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LIwMDUzNzGztDAzMTFR0lEKTi0uzszPAykwMqoFAGpi8VktAAAA"/>
  </w:docVars>
  <w:rsids>
    <w:rsidRoot w:val="008A6077"/>
    <w:rsid w:val="000014CD"/>
    <w:rsid w:val="00001C2D"/>
    <w:rsid w:val="0001381A"/>
    <w:rsid w:val="00015874"/>
    <w:rsid w:val="00016D58"/>
    <w:rsid w:val="00020F70"/>
    <w:rsid w:val="00024CB4"/>
    <w:rsid w:val="00031829"/>
    <w:rsid w:val="000334DD"/>
    <w:rsid w:val="000336D6"/>
    <w:rsid w:val="00034901"/>
    <w:rsid w:val="000352F9"/>
    <w:rsid w:val="00035C16"/>
    <w:rsid w:val="00035D01"/>
    <w:rsid w:val="0003677C"/>
    <w:rsid w:val="000379AB"/>
    <w:rsid w:val="0004007E"/>
    <w:rsid w:val="00040E41"/>
    <w:rsid w:val="00051452"/>
    <w:rsid w:val="00052274"/>
    <w:rsid w:val="00052F10"/>
    <w:rsid w:val="00062D52"/>
    <w:rsid w:val="00063E18"/>
    <w:rsid w:val="000643C7"/>
    <w:rsid w:val="000644F2"/>
    <w:rsid w:val="0007070D"/>
    <w:rsid w:val="00071124"/>
    <w:rsid w:val="0007414F"/>
    <w:rsid w:val="00077047"/>
    <w:rsid w:val="00080C3B"/>
    <w:rsid w:val="0008367C"/>
    <w:rsid w:val="00083B47"/>
    <w:rsid w:val="00086407"/>
    <w:rsid w:val="00090648"/>
    <w:rsid w:val="00090F48"/>
    <w:rsid w:val="000969A2"/>
    <w:rsid w:val="000A01C2"/>
    <w:rsid w:val="000A15DE"/>
    <w:rsid w:val="000A20FE"/>
    <w:rsid w:val="000A430E"/>
    <w:rsid w:val="000B07C0"/>
    <w:rsid w:val="000B6C64"/>
    <w:rsid w:val="000B6D4E"/>
    <w:rsid w:val="000B7E98"/>
    <w:rsid w:val="000C1987"/>
    <w:rsid w:val="000C2BC8"/>
    <w:rsid w:val="000C44F4"/>
    <w:rsid w:val="000C6EA8"/>
    <w:rsid w:val="000D01C3"/>
    <w:rsid w:val="000D160C"/>
    <w:rsid w:val="000D4CDF"/>
    <w:rsid w:val="000F09DA"/>
    <w:rsid w:val="000F20C8"/>
    <w:rsid w:val="000F63A9"/>
    <w:rsid w:val="0010038F"/>
    <w:rsid w:val="001015A3"/>
    <w:rsid w:val="00104863"/>
    <w:rsid w:val="0011018C"/>
    <w:rsid w:val="001144EA"/>
    <w:rsid w:val="00116458"/>
    <w:rsid w:val="00121511"/>
    <w:rsid w:val="00121DE4"/>
    <w:rsid w:val="00124706"/>
    <w:rsid w:val="00126D95"/>
    <w:rsid w:val="0012772C"/>
    <w:rsid w:val="00133060"/>
    <w:rsid w:val="001345CF"/>
    <w:rsid w:val="00135910"/>
    <w:rsid w:val="0013649F"/>
    <w:rsid w:val="00150B60"/>
    <w:rsid w:val="00152C7E"/>
    <w:rsid w:val="0015617F"/>
    <w:rsid w:val="00156245"/>
    <w:rsid w:val="0016481F"/>
    <w:rsid w:val="00170C74"/>
    <w:rsid w:val="001738DA"/>
    <w:rsid w:val="00175286"/>
    <w:rsid w:val="00185387"/>
    <w:rsid w:val="00187767"/>
    <w:rsid w:val="001940EA"/>
    <w:rsid w:val="001A097F"/>
    <w:rsid w:val="001A1982"/>
    <w:rsid w:val="001A74EF"/>
    <w:rsid w:val="001B25C0"/>
    <w:rsid w:val="001B400C"/>
    <w:rsid w:val="001B494F"/>
    <w:rsid w:val="001B70A3"/>
    <w:rsid w:val="001B74DE"/>
    <w:rsid w:val="001B7C30"/>
    <w:rsid w:val="001B7D95"/>
    <w:rsid w:val="001C0BA1"/>
    <w:rsid w:val="001C2655"/>
    <w:rsid w:val="001C2B0D"/>
    <w:rsid w:val="001C4661"/>
    <w:rsid w:val="001D028A"/>
    <w:rsid w:val="001D4069"/>
    <w:rsid w:val="001D7A0A"/>
    <w:rsid w:val="001E1C65"/>
    <w:rsid w:val="001E2F2E"/>
    <w:rsid w:val="001E33EF"/>
    <w:rsid w:val="001E6EDA"/>
    <w:rsid w:val="001F563C"/>
    <w:rsid w:val="001F5D1C"/>
    <w:rsid w:val="001F6346"/>
    <w:rsid w:val="00201B74"/>
    <w:rsid w:val="00204532"/>
    <w:rsid w:val="00205265"/>
    <w:rsid w:val="0020692A"/>
    <w:rsid w:val="002112B8"/>
    <w:rsid w:val="00215497"/>
    <w:rsid w:val="00222D5C"/>
    <w:rsid w:val="00225307"/>
    <w:rsid w:val="0022650E"/>
    <w:rsid w:val="002352E7"/>
    <w:rsid w:val="00236F14"/>
    <w:rsid w:val="00240493"/>
    <w:rsid w:val="00241DF3"/>
    <w:rsid w:val="00242A6C"/>
    <w:rsid w:val="00250087"/>
    <w:rsid w:val="00252E15"/>
    <w:rsid w:val="002530B2"/>
    <w:rsid w:val="00253A73"/>
    <w:rsid w:val="00254EBD"/>
    <w:rsid w:val="0025665A"/>
    <w:rsid w:val="00256671"/>
    <w:rsid w:val="002668B1"/>
    <w:rsid w:val="002763F4"/>
    <w:rsid w:val="002773B5"/>
    <w:rsid w:val="00277AFE"/>
    <w:rsid w:val="00285A47"/>
    <w:rsid w:val="00291D77"/>
    <w:rsid w:val="002965A3"/>
    <w:rsid w:val="002A1503"/>
    <w:rsid w:val="002A193E"/>
    <w:rsid w:val="002A3EA5"/>
    <w:rsid w:val="002A4175"/>
    <w:rsid w:val="002A4B23"/>
    <w:rsid w:val="002A4C4D"/>
    <w:rsid w:val="002B2C8F"/>
    <w:rsid w:val="002B31C7"/>
    <w:rsid w:val="002B31D7"/>
    <w:rsid w:val="002B6F74"/>
    <w:rsid w:val="002B6F8D"/>
    <w:rsid w:val="002C1742"/>
    <w:rsid w:val="002C3263"/>
    <w:rsid w:val="002C5621"/>
    <w:rsid w:val="002C5C9C"/>
    <w:rsid w:val="002C6FBF"/>
    <w:rsid w:val="002C7DEC"/>
    <w:rsid w:val="002D4322"/>
    <w:rsid w:val="002D50DA"/>
    <w:rsid w:val="002E1384"/>
    <w:rsid w:val="002E140C"/>
    <w:rsid w:val="002E7898"/>
    <w:rsid w:val="002F2289"/>
    <w:rsid w:val="002F2C54"/>
    <w:rsid w:val="002F33A7"/>
    <w:rsid w:val="002F3B11"/>
    <w:rsid w:val="002F3D1D"/>
    <w:rsid w:val="00302225"/>
    <w:rsid w:val="00303F8F"/>
    <w:rsid w:val="00305B5E"/>
    <w:rsid w:val="00310BD5"/>
    <w:rsid w:val="00312728"/>
    <w:rsid w:val="003137C3"/>
    <w:rsid w:val="00313DCE"/>
    <w:rsid w:val="00313DE6"/>
    <w:rsid w:val="003154F9"/>
    <w:rsid w:val="00316DB7"/>
    <w:rsid w:val="00321596"/>
    <w:rsid w:val="0032410B"/>
    <w:rsid w:val="0032696E"/>
    <w:rsid w:val="003360CF"/>
    <w:rsid w:val="00337582"/>
    <w:rsid w:val="00342007"/>
    <w:rsid w:val="00344686"/>
    <w:rsid w:val="00344691"/>
    <w:rsid w:val="00355658"/>
    <w:rsid w:val="003573D0"/>
    <w:rsid w:val="003625BA"/>
    <w:rsid w:val="00366917"/>
    <w:rsid w:val="0037466A"/>
    <w:rsid w:val="00375201"/>
    <w:rsid w:val="0037770F"/>
    <w:rsid w:val="00377FB7"/>
    <w:rsid w:val="00380F77"/>
    <w:rsid w:val="00381BD2"/>
    <w:rsid w:val="003832B3"/>
    <w:rsid w:val="003836F8"/>
    <w:rsid w:val="003852EF"/>
    <w:rsid w:val="00392247"/>
    <w:rsid w:val="003A3408"/>
    <w:rsid w:val="003A4542"/>
    <w:rsid w:val="003A700A"/>
    <w:rsid w:val="003B1377"/>
    <w:rsid w:val="003B5702"/>
    <w:rsid w:val="003B5CB9"/>
    <w:rsid w:val="003B6553"/>
    <w:rsid w:val="003C1A8D"/>
    <w:rsid w:val="003C1D17"/>
    <w:rsid w:val="003C560E"/>
    <w:rsid w:val="003D1A83"/>
    <w:rsid w:val="003D1D85"/>
    <w:rsid w:val="003D6FD3"/>
    <w:rsid w:val="003E57B0"/>
    <w:rsid w:val="003E617F"/>
    <w:rsid w:val="003E660A"/>
    <w:rsid w:val="003E710F"/>
    <w:rsid w:val="003F199B"/>
    <w:rsid w:val="003F41F2"/>
    <w:rsid w:val="003F64C8"/>
    <w:rsid w:val="00400425"/>
    <w:rsid w:val="004009A6"/>
    <w:rsid w:val="00401E6F"/>
    <w:rsid w:val="00403885"/>
    <w:rsid w:val="00403BFE"/>
    <w:rsid w:val="00404701"/>
    <w:rsid w:val="00404AB0"/>
    <w:rsid w:val="00412687"/>
    <w:rsid w:val="00415F1B"/>
    <w:rsid w:val="004163B2"/>
    <w:rsid w:val="0041722A"/>
    <w:rsid w:val="00425BD7"/>
    <w:rsid w:val="00425C3B"/>
    <w:rsid w:val="004302F1"/>
    <w:rsid w:val="004359B7"/>
    <w:rsid w:val="00436A8D"/>
    <w:rsid w:val="00440A22"/>
    <w:rsid w:val="0045023B"/>
    <w:rsid w:val="00450F19"/>
    <w:rsid w:val="00451691"/>
    <w:rsid w:val="004535FF"/>
    <w:rsid w:val="004552DD"/>
    <w:rsid w:val="00457CEC"/>
    <w:rsid w:val="00457D4B"/>
    <w:rsid w:val="0046087C"/>
    <w:rsid w:val="004612A3"/>
    <w:rsid w:val="004623BE"/>
    <w:rsid w:val="0046739F"/>
    <w:rsid w:val="00472622"/>
    <w:rsid w:val="00473FBA"/>
    <w:rsid w:val="00477145"/>
    <w:rsid w:val="004921BF"/>
    <w:rsid w:val="004961EA"/>
    <w:rsid w:val="004970F7"/>
    <w:rsid w:val="004A0D1B"/>
    <w:rsid w:val="004A2926"/>
    <w:rsid w:val="004A3016"/>
    <w:rsid w:val="004A54F3"/>
    <w:rsid w:val="004A7469"/>
    <w:rsid w:val="004B20C0"/>
    <w:rsid w:val="004B7B5F"/>
    <w:rsid w:val="004C26DB"/>
    <w:rsid w:val="004C2EAE"/>
    <w:rsid w:val="004C44C0"/>
    <w:rsid w:val="004C484A"/>
    <w:rsid w:val="004C506E"/>
    <w:rsid w:val="004C57E5"/>
    <w:rsid w:val="004D01A3"/>
    <w:rsid w:val="004D7CE9"/>
    <w:rsid w:val="004E3CA0"/>
    <w:rsid w:val="004F3225"/>
    <w:rsid w:val="004F699A"/>
    <w:rsid w:val="00502BAF"/>
    <w:rsid w:val="005036A6"/>
    <w:rsid w:val="0050512D"/>
    <w:rsid w:val="00506B1C"/>
    <w:rsid w:val="00512013"/>
    <w:rsid w:val="00514B45"/>
    <w:rsid w:val="00516472"/>
    <w:rsid w:val="005167EA"/>
    <w:rsid w:val="0052024E"/>
    <w:rsid w:val="00521657"/>
    <w:rsid w:val="00527574"/>
    <w:rsid w:val="00533F6C"/>
    <w:rsid w:val="005358D5"/>
    <w:rsid w:val="005362CB"/>
    <w:rsid w:val="005412F7"/>
    <w:rsid w:val="00541AE1"/>
    <w:rsid w:val="00541AF1"/>
    <w:rsid w:val="00545B6C"/>
    <w:rsid w:val="0054751B"/>
    <w:rsid w:val="00547AC8"/>
    <w:rsid w:val="00551977"/>
    <w:rsid w:val="00552C27"/>
    <w:rsid w:val="005608E4"/>
    <w:rsid w:val="00562B98"/>
    <w:rsid w:val="00562C9F"/>
    <w:rsid w:val="00562D64"/>
    <w:rsid w:val="00565E45"/>
    <w:rsid w:val="005711A0"/>
    <w:rsid w:val="0057441D"/>
    <w:rsid w:val="00574EDF"/>
    <w:rsid w:val="00575C0B"/>
    <w:rsid w:val="0058130C"/>
    <w:rsid w:val="00581CB7"/>
    <w:rsid w:val="0058427B"/>
    <w:rsid w:val="0059080F"/>
    <w:rsid w:val="0059454C"/>
    <w:rsid w:val="00597E04"/>
    <w:rsid w:val="005A1257"/>
    <w:rsid w:val="005A16B1"/>
    <w:rsid w:val="005A34DF"/>
    <w:rsid w:val="005B275D"/>
    <w:rsid w:val="005B5282"/>
    <w:rsid w:val="005B6100"/>
    <w:rsid w:val="005C3A0B"/>
    <w:rsid w:val="005D7596"/>
    <w:rsid w:val="005E08F1"/>
    <w:rsid w:val="005E1969"/>
    <w:rsid w:val="005E4918"/>
    <w:rsid w:val="005E6753"/>
    <w:rsid w:val="005E7A15"/>
    <w:rsid w:val="005E7F41"/>
    <w:rsid w:val="005F4D6D"/>
    <w:rsid w:val="005F5A38"/>
    <w:rsid w:val="005F723E"/>
    <w:rsid w:val="005F7CB6"/>
    <w:rsid w:val="00600A06"/>
    <w:rsid w:val="00600E86"/>
    <w:rsid w:val="00603131"/>
    <w:rsid w:val="0060378A"/>
    <w:rsid w:val="00605660"/>
    <w:rsid w:val="00620A7C"/>
    <w:rsid w:val="00622710"/>
    <w:rsid w:val="00625B0F"/>
    <w:rsid w:val="006277A0"/>
    <w:rsid w:val="00627AE4"/>
    <w:rsid w:val="00632101"/>
    <w:rsid w:val="00633EF9"/>
    <w:rsid w:val="006349E0"/>
    <w:rsid w:val="00636DE8"/>
    <w:rsid w:val="00640BBA"/>
    <w:rsid w:val="006517C8"/>
    <w:rsid w:val="00663612"/>
    <w:rsid w:val="0066725A"/>
    <w:rsid w:val="006674E2"/>
    <w:rsid w:val="00667A5B"/>
    <w:rsid w:val="00667C7C"/>
    <w:rsid w:val="00667CE5"/>
    <w:rsid w:val="0067155C"/>
    <w:rsid w:val="00671614"/>
    <w:rsid w:val="00675FF5"/>
    <w:rsid w:val="00676359"/>
    <w:rsid w:val="00680B05"/>
    <w:rsid w:val="006842EE"/>
    <w:rsid w:val="006858C9"/>
    <w:rsid w:val="006913AA"/>
    <w:rsid w:val="00691D7D"/>
    <w:rsid w:val="00692766"/>
    <w:rsid w:val="00695277"/>
    <w:rsid w:val="006962D7"/>
    <w:rsid w:val="006A1D84"/>
    <w:rsid w:val="006A3503"/>
    <w:rsid w:val="006A3FAB"/>
    <w:rsid w:val="006A5861"/>
    <w:rsid w:val="006A60E1"/>
    <w:rsid w:val="006A6498"/>
    <w:rsid w:val="006B289D"/>
    <w:rsid w:val="006B3AA7"/>
    <w:rsid w:val="006B4C10"/>
    <w:rsid w:val="006B614B"/>
    <w:rsid w:val="006B6775"/>
    <w:rsid w:val="006C1B3E"/>
    <w:rsid w:val="006C4619"/>
    <w:rsid w:val="006C628B"/>
    <w:rsid w:val="006D19B4"/>
    <w:rsid w:val="006D257D"/>
    <w:rsid w:val="006D35FD"/>
    <w:rsid w:val="006D3F12"/>
    <w:rsid w:val="006D5419"/>
    <w:rsid w:val="006D5C25"/>
    <w:rsid w:val="006D7065"/>
    <w:rsid w:val="006D7519"/>
    <w:rsid w:val="006D7E10"/>
    <w:rsid w:val="006F662E"/>
    <w:rsid w:val="00701B1A"/>
    <w:rsid w:val="00703CEF"/>
    <w:rsid w:val="00715C24"/>
    <w:rsid w:val="00716ECD"/>
    <w:rsid w:val="007215BE"/>
    <w:rsid w:val="00722877"/>
    <w:rsid w:val="007256FD"/>
    <w:rsid w:val="0073151B"/>
    <w:rsid w:val="007322D2"/>
    <w:rsid w:val="0073436D"/>
    <w:rsid w:val="00735314"/>
    <w:rsid w:val="00735ED4"/>
    <w:rsid w:val="00736619"/>
    <w:rsid w:val="00741DDB"/>
    <w:rsid w:val="00741F93"/>
    <w:rsid w:val="00742BE7"/>
    <w:rsid w:val="00742DE9"/>
    <w:rsid w:val="00743F8B"/>
    <w:rsid w:val="00743FB0"/>
    <w:rsid w:val="00746F65"/>
    <w:rsid w:val="007508ED"/>
    <w:rsid w:val="00750C37"/>
    <w:rsid w:val="00751FC1"/>
    <w:rsid w:val="00752874"/>
    <w:rsid w:val="00752B21"/>
    <w:rsid w:val="00754811"/>
    <w:rsid w:val="00755011"/>
    <w:rsid w:val="007578E9"/>
    <w:rsid w:val="00772036"/>
    <w:rsid w:val="00772143"/>
    <w:rsid w:val="007766F8"/>
    <w:rsid w:val="00777353"/>
    <w:rsid w:val="007778ED"/>
    <w:rsid w:val="00784FA4"/>
    <w:rsid w:val="00784FC8"/>
    <w:rsid w:val="00796FB8"/>
    <w:rsid w:val="00797653"/>
    <w:rsid w:val="007978B0"/>
    <w:rsid w:val="007A496B"/>
    <w:rsid w:val="007A5902"/>
    <w:rsid w:val="007A6CFE"/>
    <w:rsid w:val="007A765C"/>
    <w:rsid w:val="007A76C6"/>
    <w:rsid w:val="007B139F"/>
    <w:rsid w:val="007B230F"/>
    <w:rsid w:val="007B355D"/>
    <w:rsid w:val="007B4B93"/>
    <w:rsid w:val="007C0077"/>
    <w:rsid w:val="007C1D42"/>
    <w:rsid w:val="007C1F6C"/>
    <w:rsid w:val="007C628B"/>
    <w:rsid w:val="007D1D39"/>
    <w:rsid w:val="007D5AC2"/>
    <w:rsid w:val="007E3B35"/>
    <w:rsid w:val="007E7DD0"/>
    <w:rsid w:val="007F5F38"/>
    <w:rsid w:val="008104B4"/>
    <w:rsid w:val="00813315"/>
    <w:rsid w:val="00814086"/>
    <w:rsid w:val="008178DC"/>
    <w:rsid w:val="0082079D"/>
    <w:rsid w:val="00823E3A"/>
    <w:rsid w:val="00830EAC"/>
    <w:rsid w:val="00831F8C"/>
    <w:rsid w:val="0083326C"/>
    <w:rsid w:val="00837F84"/>
    <w:rsid w:val="0084470B"/>
    <w:rsid w:val="00847F12"/>
    <w:rsid w:val="00854E89"/>
    <w:rsid w:val="00855B07"/>
    <w:rsid w:val="00856206"/>
    <w:rsid w:val="00860963"/>
    <w:rsid w:val="008632E2"/>
    <w:rsid w:val="008735AE"/>
    <w:rsid w:val="008818B9"/>
    <w:rsid w:val="0088194C"/>
    <w:rsid w:val="00885642"/>
    <w:rsid w:val="00886A19"/>
    <w:rsid w:val="00894A23"/>
    <w:rsid w:val="00896444"/>
    <w:rsid w:val="008975B4"/>
    <w:rsid w:val="008A1CDA"/>
    <w:rsid w:val="008A1FD7"/>
    <w:rsid w:val="008A5F9F"/>
    <w:rsid w:val="008A6077"/>
    <w:rsid w:val="008B057E"/>
    <w:rsid w:val="008B4296"/>
    <w:rsid w:val="008B5A44"/>
    <w:rsid w:val="008C1D1F"/>
    <w:rsid w:val="008C2037"/>
    <w:rsid w:val="008C5E15"/>
    <w:rsid w:val="008C7C75"/>
    <w:rsid w:val="008D3087"/>
    <w:rsid w:val="008D68D0"/>
    <w:rsid w:val="008E31C7"/>
    <w:rsid w:val="008E58E5"/>
    <w:rsid w:val="008F027E"/>
    <w:rsid w:val="008F0E9E"/>
    <w:rsid w:val="008F1380"/>
    <w:rsid w:val="008F3DC5"/>
    <w:rsid w:val="008F6B58"/>
    <w:rsid w:val="009026A7"/>
    <w:rsid w:val="0090530A"/>
    <w:rsid w:val="009079C4"/>
    <w:rsid w:val="009145E6"/>
    <w:rsid w:val="00915D14"/>
    <w:rsid w:val="0091798E"/>
    <w:rsid w:val="00917B93"/>
    <w:rsid w:val="00924836"/>
    <w:rsid w:val="00930557"/>
    <w:rsid w:val="00932477"/>
    <w:rsid w:val="009344C8"/>
    <w:rsid w:val="00934DEC"/>
    <w:rsid w:val="00935DC6"/>
    <w:rsid w:val="00937805"/>
    <w:rsid w:val="009471C4"/>
    <w:rsid w:val="00952323"/>
    <w:rsid w:val="00957CF9"/>
    <w:rsid w:val="00960DEC"/>
    <w:rsid w:val="009651C2"/>
    <w:rsid w:val="0097213C"/>
    <w:rsid w:val="00973025"/>
    <w:rsid w:val="0097368B"/>
    <w:rsid w:val="00975D9D"/>
    <w:rsid w:val="00981BE8"/>
    <w:rsid w:val="009855E6"/>
    <w:rsid w:val="00985D5B"/>
    <w:rsid w:val="00990789"/>
    <w:rsid w:val="009925CB"/>
    <w:rsid w:val="009927AD"/>
    <w:rsid w:val="00993181"/>
    <w:rsid w:val="00995896"/>
    <w:rsid w:val="00995CAA"/>
    <w:rsid w:val="00995DD4"/>
    <w:rsid w:val="009A011B"/>
    <w:rsid w:val="009A3755"/>
    <w:rsid w:val="009A745E"/>
    <w:rsid w:val="009B214F"/>
    <w:rsid w:val="009B518B"/>
    <w:rsid w:val="009B68DA"/>
    <w:rsid w:val="009B6F11"/>
    <w:rsid w:val="009C62E3"/>
    <w:rsid w:val="009C63D9"/>
    <w:rsid w:val="009D2D8E"/>
    <w:rsid w:val="009D31E9"/>
    <w:rsid w:val="009D71BB"/>
    <w:rsid w:val="009E2E1D"/>
    <w:rsid w:val="009E44A4"/>
    <w:rsid w:val="009E556A"/>
    <w:rsid w:val="009F7357"/>
    <w:rsid w:val="009F7E7A"/>
    <w:rsid w:val="00A007D9"/>
    <w:rsid w:val="00A01FE6"/>
    <w:rsid w:val="00A02747"/>
    <w:rsid w:val="00A02CE4"/>
    <w:rsid w:val="00A04352"/>
    <w:rsid w:val="00A05B6E"/>
    <w:rsid w:val="00A1073D"/>
    <w:rsid w:val="00A13961"/>
    <w:rsid w:val="00A144CE"/>
    <w:rsid w:val="00A156A1"/>
    <w:rsid w:val="00A177F9"/>
    <w:rsid w:val="00A25250"/>
    <w:rsid w:val="00A30064"/>
    <w:rsid w:val="00A30CFC"/>
    <w:rsid w:val="00A360CA"/>
    <w:rsid w:val="00A406DA"/>
    <w:rsid w:val="00A41C39"/>
    <w:rsid w:val="00A428CA"/>
    <w:rsid w:val="00A43075"/>
    <w:rsid w:val="00A44B66"/>
    <w:rsid w:val="00A46804"/>
    <w:rsid w:val="00A47B29"/>
    <w:rsid w:val="00A512AD"/>
    <w:rsid w:val="00A54F7E"/>
    <w:rsid w:val="00A5748C"/>
    <w:rsid w:val="00A6063D"/>
    <w:rsid w:val="00A632C1"/>
    <w:rsid w:val="00A64BB5"/>
    <w:rsid w:val="00A66569"/>
    <w:rsid w:val="00A668A2"/>
    <w:rsid w:val="00A8187E"/>
    <w:rsid w:val="00A8787F"/>
    <w:rsid w:val="00A957EA"/>
    <w:rsid w:val="00AA11F3"/>
    <w:rsid w:val="00AA225C"/>
    <w:rsid w:val="00AA2F78"/>
    <w:rsid w:val="00AB30D7"/>
    <w:rsid w:val="00AB46CF"/>
    <w:rsid w:val="00AC06C3"/>
    <w:rsid w:val="00AC7A1F"/>
    <w:rsid w:val="00AD0DEE"/>
    <w:rsid w:val="00AD206A"/>
    <w:rsid w:val="00AD4E76"/>
    <w:rsid w:val="00AD7B91"/>
    <w:rsid w:val="00AE3900"/>
    <w:rsid w:val="00AE512E"/>
    <w:rsid w:val="00AF142B"/>
    <w:rsid w:val="00AF33DA"/>
    <w:rsid w:val="00AF6849"/>
    <w:rsid w:val="00B01433"/>
    <w:rsid w:val="00B025F2"/>
    <w:rsid w:val="00B04FAE"/>
    <w:rsid w:val="00B054E4"/>
    <w:rsid w:val="00B06656"/>
    <w:rsid w:val="00B078F2"/>
    <w:rsid w:val="00B10313"/>
    <w:rsid w:val="00B120F3"/>
    <w:rsid w:val="00B12372"/>
    <w:rsid w:val="00B1645D"/>
    <w:rsid w:val="00B17AA7"/>
    <w:rsid w:val="00B20EA3"/>
    <w:rsid w:val="00B21653"/>
    <w:rsid w:val="00B230CC"/>
    <w:rsid w:val="00B255E2"/>
    <w:rsid w:val="00B32DBB"/>
    <w:rsid w:val="00B330C8"/>
    <w:rsid w:val="00B332E6"/>
    <w:rsid w:val="00B3605B"/>
    <w:rsid w:val="00B377D2"/>
    <w:rsid w:val="00B41BD6"/>
    <w:rsid w:val="00B46FC8"/>
    <w:rsid w:val="00B60CA6"/>
    <w:rsid w:val="00B65CFE"/>
    <w:rsid w:val="00B66AF1"/>
    <w:rsid w:val="00B67121"/>
    <w:rsid w:val="00B676C6"/>
    <w:rsid w:val="00B719C8"/>
    <w:rsid w:val="00B76C65"/>
    <w:rsid w:val="00B81C79"/>
    <w:rsid w:val="00B82556"/>
    <w:rsid w:val="00B828C4"/>
    <w:rsid w:val="00B84A13"/>
    <w:rsid w:val="00B87F1F"/>
    <w:rsid w:val="00B93534"/>
    <w:rsid w:val="00BA13AC"/>
    <w:rsid w:val="00BA7FE3"/>
    <w:rsid w:val="00BB1ABE"/>
    <w:rsid w:val="00BB4252"/>
    <w:rsid w:val="00BB4B77"/>
    <w:rsid w:val="00BB6C57"/>
    <w:rsid w:val="00BC1444"/>
    <w:rsid w:val="00BC3E65"/>
    <w:rsid w:val="00BD1A6F"/>
    <w:rsid w:val="00BD3B55"/>
    <w:rsid w:val="00BD3C52"/>
    <w:rsid w:val="00BD47BB"/>
    <w:rsid w:val="00BD7892"/>
    <w:rsid w:val="00BE0520"/>
    <w:rsid w:val="00BE72C0"/>
    <w:rsid w:val="00BF0028"/>
    <w:rsid w:val="00BF1276"/>
    <w:rsid w:val="00BF25E1"/>
    <w:rsid w:val="00BF690C"/>
    <w:rsid w:val="00BF6CBC"/>
    <w:rsid w:val="00C022A6"/>
    <w:rsid w:val="00C03CD4"/>
    <w:rsid w:val="00C053A8"/>
    <w:rsid w:val="00C141F5"/>
    <w:rsid w:val="00C148E6"/>
    <w:rsid w:val="00C14B4A"/>
    <w:rsid w:val="00C1513E"/>
    <w:rsid w:val="00C2083B"/>
    <w:rsid w:val="00C21712"/>
    <w:rsid w:val="00C3475A"/>
    <w:rsid w:val="00C3492A"/>
    <w:rsid w:val="00C37D47"/>
    <w:rsid w:val="00C515DE"/>
    <w:rsid w:val="00C551D4"/>
    <w:rsid w:val="00C617D3"/>
    <w:rsid w:val="00C62730"/>
    <w:rsid w:val="00C62A9A"/>
    <w:rsid w:val="00C63D06"/>
    <w:rsid w:val="00C64D27"/>
    <w:rsid w:val="00C679DB"/>
    <w:rsid w:val="00C70654"/>
    <w:rsid w:val="00C7772A"/>
    <w:rsid w:val="00C80CE9"/>
    <w:rsid w:val="00C81368"/>
    <w:rsid w:val="00C81692"/>
    <w:rsid w:val="00C8593F"/>
    <w:rsid w:val="00C85B14"/>
    <w:rsid w:val="00C87AD1"/>
    <w:rsid w:val="00C9390A"/>
    <w:rsid w:val="00C93AE5"/>
    <w:rsid w:val="00C949B5"/>
    <w:rsid w:val="00C94AA5"/>
    <w:rsid w:val="00C95745"/>
    <w:rsid w:val="00C9577B"/>
    <w:rsid w:val="00C95CCD"/>
    <w:rsid w:val="00C96F82"/>
    <w:rsid w:val="00CA486F"/>
    <w:rsid w:val="00CA549E"/>
    <w:rsid w:val="00CA6329"/>
    <w:rsid w:val="00CB1895"/>
    <w:rsid w:val="00CB7BED"/>
    <w:rsid w:val="00CC0829"/>
    <w:rsid w:val="00CC154F"/>
    <w:rsid w:val="00CC1C0B"/>
    <w:rsid w:val="00CC4CBE"/>
    <w:rsid w:val="00CC6E43"/>
    <w:rsid w:val="00CD5CBC"/>
    <w:rsid w:val="00CD6200"/>
    <w:rsid w:val="00CD622A"/>
    <w:rsid w:val="00CE20D6"/>
    <w:rsid w:val="00CE4984"/>
    <w:rsid w:val="00CE58ED"/>
    <w:rsid w:val="00CF3DEE"/>
    <w:rsid w:val="00D00A15"/>
    <w:rsid w:val="00D0112C"/>
    <w:rsid w:val="00D01FF7"/>
    <w:rsid w:val="00D06441"/>
    <w:rsid w:val="00D07094"/>
    <w:rsid w:val="00D07B1D"/>
    <w:rsid w:val="00D144A1"/>
    <w:rsid w:val="00D30C9F"/>
    <w:rsid w:val="00D30DD3"/>
    <w:rsid w:val="00D351F8"/>
    <w:rsid w:val="00D3656B"/>
    <w:rsid w:val="00D36AD8"/>
    <w:rsid w:val="00D4002A"/>
    <w:rsid w:val="00D43B81"/>
    <w:rsid w:val="00D44B73"/>
    <w:rsid w:val="00D4630B"/>
    <w:rsid w:val="00D509D9"/>
    <w:rsid w:val="00D50A01"/>
    <w:rsid w:val="00D55845"/>
    <w:rsid w:val="00D61C08"/>
    <w:rsid w:val="00D62AB8"/>
    <w:rsid w:val="00D64D95"/>
    <w:rsid w:val="00D6640D"/>
    <w:rsid w:val="00D66DAD"/>
    <w:rsid w:val="00D733B2"/>
    <w:rsid w:val="00D74CC1"/>
    <w:rsid w:val="00D77000"/>
    <w:rsid w:val="00D77537"/>
    <w:rsid w:val="00D810E5"/>
    <w:rsid w:val="00D85BF9"/>
    <w:rsid w:val="00D86656"/>
    <w:rsid w:val="00D90D87"/>
    <w:rsid w:val="00D91DB5"/>
    <w:rsid w:val="00D94839"/>
    <w:rsid w:val="00D9528F"/>
    <w:rsid w:val="00D95750"/>
    <w:rsid w:val="00D95963"/>
    <w:rsid w:val="00DA796E"/>
    <w:rsid w:val="00DB1172"/>
    <w:rsid w:val="00DB395E"/>
    <w:rsid w:val="00DB3DE2"/>
    <w:rsid w:val="00DB610A"/>
    <w:rsid w:val="00DB6F10"/>
    <w:rsid w:val="00DB7368"/>
    <w:rsid w:val="00DC2811"/>
    <w:rsid w:val="00DC7CA7"/>
    <w:rsid w:val="00DD17E9"/>
    <w:rsid w:val="00DD35AC"/>
    <w:rsid w:val="00DD5135"/>
    <w:rsid w:val="00DD552C"/>
    <w:rsid w:val="00DD635C"/>
    <w:rsid w:val="00DD6745"/>
    <w:rsid w:val="00DD6C70"/>
    <w:rsid w:val="00DD6E81"/>
    <w:rsid w:val="00DD76F2"/>
    <w:rsid w:val="00DE2288"/>
    <w:rsid w:val="00DE3C61"/>
    <w:rsid w:val="00DE3F91"/>
    <w:rsid w:val="00DE421E"/>
    <w:rsid w:val="00DE547F"/>
    <w:rsid w:val="00DE668E"/>
    <w:rsid w:val="00DE7F85"/>
    <w:rsid w:val="00DF2351"/>
    <w:rsid w:val="00DF2669"/>
    <w:rsid w:val="00DF332B"/>
    <w:rsid w:val="00DF3954"/>
    <w:rsid w:val="00E013E6"/>
    <w:rsid w:val="00E01DD7"/>
    <w:rsid w:val="00E1325A"/>
    <w:rsid w:val="00E25756"/>
    <w:rsid w:val="00E2655B"/>
    <w:rsid w:val="00E26E34"/>
    <w:rsid w:val="00E27266"/>
    <w:rsid w:val="00E300E8"/>
    <w:rsid w:val="00E31404"/>
    <w:rsid w:val="00E31513"/>
    <w:rsid w:val="00E34398"/>
    <w:rsid w:val="00E34BCF"/>
    <w:rsid w:val="00E37AD5"/>
    <w:rsid w:val="00E427F1"/>
    <w:rsid w:val="00E458FF"/>
    <w:rsid w:val="00E51340"/>
    <w:rsid w:val="00E51514"/>
    <w:rsid w:val="00E52A41"/>
    <w:rsid w:val="00E53290"/>
    <w:rsid w:val="00E539BF"/>
    <w:rsid w:val="00E54E4C"/>
    <w:rsid w:val="00E5691B"/>
    <w:rsid w:val="00E570E6"/>
    <w:rsid w:val="00E664DF"/>
    <w:rsid w:val="00E67B96"/>
    <w:rsid w:val="00E714E8"/>
    <w:rsid w:val="00E80A0C"/>
    <w:rsid w:val="00E8263F"/>
    <w:rsid w:val="00E84A7E"/>
    <w:rsid w:val="00E87809"/>
    <w:rsid w:val="00E87A76"/>
    <w:rsid w:val="00E94346"/>
    <w:rsid w:val="00E9642A"/>
    <w:rsid w:val="00E9745D"/>
    <w:rsid w:val="00EA6C35"/>
    <w:rsid w:val="00EA7D4B"/>
    <w:rsid w:val="00EB2C5F"/>
    <w:rsid w:val="00EB62F1"/>
    <w:rsid w:val="00EC2DB6"/>
    <w:rsid w:val="00EC3304"/>
    <w:rsid w:val="00EC590B"/>
    <w:rsid w:val="00EC6E09"/>
    <w:rsid w:val="00EC7396"/>
    <w:rsid w:val="00ED68F7"/>
    <w:rsid w:val="00EE433D"/>
    <w:rsid w:val="00EE62D8"/>
    <w:rsid w:val="00EF04CF"/>
    <w:rsid w:val="00EF05C8"/>
    <w:rsid w:val="00EF2DAA"/>
    <w:rsid w:val="00EF6CBF"/>
    <w:rsid w:val="00F02037"/>
    <w:rsid w:val="00F02AE4"/>
    <w:rsid w:val="00F04599"/>
    <w:rsid w:val="00F07035"/>
    <w:rsid w:val="00F10BDA"/>
    <w:rsid w:val="00F10DF4"/>
    <w:rsid w:val="00F13807"/>
    <w:rsid w:val="00F13ACC"/>
    <w:rsid w:val="00F21080"/>
    <w:rsid w:val="00F23A6E"/>
    <w:rsid w:val="00F25519"/>
    <w:rsid w:val="00F265BD"/>
    <w:rsid w:val="00F3063F"/>
    <w:rsid w:val="00F30ADA"/>
    <w:rsid w:val="00F37B18"/>
    <w:rsid w:val="00F41864"/>
    <w:rsid w:val="00F43FF4"/>
    <w:rsid w:val="00F45E57"/>
    <w:rsid w:val="00F5378C"/>
    <w:rsid w:val="00F54AE6"/>
    <w:rsid w:val="00F5759C"/>
    <w:rsid w:val="00F57F02"/>
    <w:rsid w:val="00F60D8F"/>
    <w:rsid w:val="00F62A34"/>
    <w:rsid w:val="00F672D1"/>
    <w:rsid w:val="00F677EB"/>
    <w:rsid w:val="00F7074C"/>
    <w:rsid w:val="00F71CD1"/>
    <w:rsid w:val="00F71D12"/>
    <w:rsid w:val="00F77DED"/>
    <w:rsid w:val="00F819CD"/>
    <w:rsid w:val="00F83D87"/>
    <w:rsid w:val="00F84A2B"/>
    <w:rsid w:val="00F86B8B"/>
    <w:rsid w:val="00F97220"/>
    <w:rsid w:val="00FA38B4"/>
    <w:rsid w:val="00FA7BAB"/>
    <w:rsid w:val="00FB0DBD"/>
    <w:rsid w:val="00FB2DAB"/>
    <w:rsid w:val="00FC1A08"/>
    <w:rsid w:val="00FC3EAC"/>
    <w:rsid w:val="00FC4620"/>
    <w:rsid w:val="00FC49C6"/>
    <w:rsid w:val="00FC5421"/>
    <w:rsid w:val="00FC7248"/>
    <w:rsid w:val="00FD255D"/>
    <w:rsid w:val="00FD40F3"/>
    <w:rsid w:val="00FD46B9"/>
    <w:rsid w:val="00FD5D8F"/>
    <w:rsid w:val="00FE08D9"/>
    <w:rsid w:val="00FE090F"/>
    <w:rsid w:val="00FE168E"/>
    <w:rsid w:val="00FE3BF1"/>
    <w:rsid w:val="00FF01D0"/>
    <w:rsid w:val="00FF0C4F"/>
    <w:rsid w:val="00FF37BF"/>
    <w:rsid w:val="00FF4EE0"/>
    <w:rsid w:val="00FF789A"/>
    <w:rsid w:val="1ACF987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609C9FC"/>
  <w15:docId w15:val="{E2CA13D9-00E8-4D05-A79F-E5A34D2E47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5BF9"/>
    <w:pPr>
      <w:spacing w:after="240"/>
      <w:jc w:val="both"/>
    </w:pPr>
    <w:rPr>
      <w:rFonts w:ascii="Times New Roman" w:eastAsia="Calibri" w:hAnsi="Times New Roman" w:cs="Times New Roman"/>
      <w:lang w:bidi="en-US"/>
    </w:rPr>
  </w:style>
  <w:style w:type="paragraph" w:styleId="Heading1">
    <w:name w:val="heading 1"/>
    <w:basedOn w:val="Note"/>
    <w:next w:val="Normal"/>
    <w:link w:val="Heading1Char"/>
    <w:uiPriority w:val="9"/>
    <w:qFormat/>
    <w:rsid w:val="008C7C75"/>
    <w:pPr>
      <w:outlineLvl w:val="0"/>
    </w:pPr>
    <w:rPr>
      <w:b/>
      <w:bCs/>
      <w:color w:val="auto"/>
    </w:rPr>
  </w:style>
  <w:style w:type="paragraph" w:styleId="Heading2">
    <w:name w:val="heading 2"/>
    <w:basedOn w:val="Normal"/>
    <w:next w:val="Normal"/>
    <w:link w:val="Heading2Char"/>
    <w:uiPriority w:val="9"/>
    <w:unhideWhenUsed/>
    <w:qFormat/>
    <w:rsid w:val="00C62730"/>
    <w:pPr>
      <w:keepNext/>
      <w:keepLines/>
      <w:spacing w:before="40"/>
      <w:outlineLvl w:val="1"/>
    </w:pPr>
    <w:rPr>
      <w:rFonts w:eastAsiaTheme="majorEastAsia"/>
      <w:b/>
      <w:bCs/>
    </w:rPr>
  </w:style>
  <w:style w:type="paragraph" w:styleId="Heading3">
    <w:name w:val="heading 3"/>
    <w:basedOn w:val="Normal"/>
    <w:next w:val="Normal"/>
    <w:link w:val="Heading3Char"/>
    <w:uiPriority w:val="9"/>
    <w:unhideWhenUsed/>
    <w:qFormat/>
    <w:rsid w:val="00C2083B"/>
    <w:pPr>
      <w:keepNext/>
      <w:keepLines/>
      <w:spacing w:before="40"/>
      <w:outlineLvl w:val="2"/>
    </w:pPr>
    <w:rPr>
      <w:rFonts w:eastAsiaTheme="majorEastAsia"/>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00425"/>
    <w:pPr>
      <w:contextualSpacing/>
      <w:jc w:val="center"/>
    </w:pPr>
    <w:rPr>
      <w:rFonts w:eastAsiaTheme="majorEastAsia" w:cstheme="majorBidi"/>
      <w:b/>
      <w:spacing w:val="-10"/>
      <w:kern w:val="28"/>
      <w:sz w:val="28"/>
      <w:szCs w:val="56"/>
    </w:rPr>
  </w:style>
  <w:style w:type="paragraph" w:customStyle="1" w:styleId="Reference">
    <w:name w:val="Reference"/>
    <w:basedOn w:val="Normal"/>
    <w:rsid w:val="008A6077"/>
    <w:pPr>
      <w:spacing w:before="120"/>
      <w:ind w:left="720" w:hanging="720"/>
    </w:pPr>
    <w:rPr>
      <w:rFonts w:eastAsia="Times New Roman"/>
    </w:rPr>
  </w:style>
  <w:style w:type="paragraph" w:styleId="Header">
    <w:name w:val="header"/>
    <w:basedOn w:val="Normal"/>
    <w:link w:val="HeaderChar"/>
    <w:uiPriority w:val="99"/>
    <w:unhideWhenUsed/>
    <w:rsid w:val="000379AB"/>
    <w:pPr>
      <w:tabs>
        <w:tab w:val="center" w:pos="4680"/>
        <w:tab w:val="right" w:pos="9360"/>
      </w:tabs>
    </w:pPr>
  </w:style>
  <w:style w:type="paragraph" w:customStyle="1" w:styleId="Heading-Secondary">
    <w:name w:val="Heading-Secondary"/>
    <w:basedOn w:val="Heading-Main"/>
    <w:qFormat/>
    <w:rsid w:val="00C81368"/>
    <w:pPr>
      <w:ind w:left="720"/>
    </w:pPr>
    <w:rPr>
      <w:b w:val="0"/>
    </w:rPr>
  </w:style>
  <w:style w:type="paragraph" w:customStyle="1" w:styleId="Authors">
    <w:name w:val="Authors"/>
    <w:basedOn w:val="Normal"/>
    <w:rsid w:val="00B120F3"/>
    <w:pPr>
      <w:spacing w:before="120" w:after="360"/>
    </w:pPr>
    <w:rPr>
      <w:rFonts w:eastAsia="Times New Roman"/>
      <w:b/>
    </w:rPr>
  </w:style>
  <w:style w:type="paragraph" w:customStyle="1" w:styleId="Text">
    <w:name w:val="Text"/>
    <w:basedOn w:val="Normal"/>
    <w:rsid w:val="008A6077"/>
    <w:pPr>
      <w:spacing w:before="120"/>
      <w:ind w:firstLine="720"/>
    </w:pPr>
    <w:rPr>
      <w:rFonts w:eastAsia="Times New Roman"/>
    </w:rPr>
  </w:style>
  <w:style w:type="paragraph" w:customStyle="1" w:styleId="FigureorTableCaption">
    <w:name w:val="Figure or Table Caption"/>
    <w:basedOn w:val="Normal"/>
    <w:rsid w:val="008A6077"/>
    <w:pPr>
      <w:keepNext/>
      <w:spacing w:before="240"/>
      <w:outlineLvl w:val="0"/>
    </w:pPr>
    <w:rPr>
      <w:rFonts w:eastAsia="Times New Roman"/>
      <w:kern w:val="28"/>
    </w:rPr>
  </w:style>
  <w:style w:type="character" w:customStyle="1" w:styleId="HeaderChar">
    <w:name w:val="Header Char"/>
    <w:basedOn w:val="DefaultParagraphFont"/>
    <w:link w:val="Header"/>
    <w:uiPriority w:val="99"/>
    <w:rsid w:val="000379AB"/>
    <w:rPr>
      <w:rFonts w:ascii="Times New Roman" w:eastAsia="Calibri" w:hAnsi="Times New Roman" w:cs="Times New Roman"/>
      <w:sz w:val="20"/>
      <w:szCs w:val="20"/>
    </w:rPr>
  </w:style>
  <w:style w:type="character" w:styleId="Hyperlink">
    <w:name w:val="Hyperlink"/>
    <w:rsid w:val="008A6077"/>
    <w:rPr>
      <w:color w:val="0000FF"/>
      <w:u w:val="single"/>
    </w:rPr>
  </w:style>
  <w:style w:type="paragraph" w:customStyle="1" w:styleId="Heading-Main">
    <w:name w:val="Heading-Main"/>
    <w:basedOn w:val="Normal"/>
    <w:rsid w:val="005358D5"/>
    <w:pPr>
      <w:keepNext/>
      <w:spacing w:before="240" w:after="120"/>
      <w:outlineLvl w:val="0"/>
    </w:pPr>
    <w:rPr>
      <w:rFonts w:eastAsia="Times New Roman"/>
      <w:b/>
      <w:bCs/>
      <w:kern w:val="28"/>
    </w:rPr>
  </w:style>
  <w:style w:type="paragraph" w:customStyle="1" w:styleId="Affiliation">
    <w:name w:val="Affiliation"/>
    <w:basedOn w:val="Text"/>
    <w:qFormat/>
    <w:rsid w:val="00B719C8"/>
    <w:pPr>
      <w:ind w:firstLine="0"/>
    </w:pPr>
  </w:style>
  <w:style w:type="paragraph" w:customStyle="1" w:styleId="KeyPoints">
    <w:name w:val="Key Points"/>
    <w:basedOn w:val="Normal"/>
    <w:rsid w:val="008A6077"/>
    <w:pPr>
      <w:spacing w:before="120"/>
    </w:pPr>
    <w:rPr>
      <w:rFonts w:eastAsia="Times New Roman"/>
    </w:rPr>
  </w:style>
  <w:style w:type="paragraph" w:customStyle="1" w:styleId="Abstract">
    <w:name w:val="Abstract"/>
    <w:basedOn w:val="Normal"/>
    <w:qFormat/>
    <w:rsid w:val="00400425"/>
    <w:pPr>
      <w:spacing w:before="120"/>
    </w:pPr>
    <w:rPr>
      <w:rFonts w:eastAsia="Times New Roman"/>
    </w:rPr>
  </w:style>
  <w:style w:type="character" w:customStyle="1" w:styleId="TitleChar">
    <w:name w:val="Title Char"/>
    <w:basedOn w:val="DefaultParagraphFont"/>
    <w:link w:val="Title"/>
    <w:uiPriority w:val="10"/>
    <w:rsid w:val="00400425"/>
    <w:rPr>
      <w:rFonts w:ascii="Times New Roman" w:eastAsiaTheme="majorEastAsia" w:hAnsi="Times New Roman" w:cstheme="majorBidi"/>
      <w:b/>
      <w:spacing w:val="-10"/>
      <w:kern w:val="28"/>
      <w:sz w:val="28"/>
      <w:szCs w:val="56"/>
    </w:rPr>
  </w:style>
  <w:style w:type="paragraph" w:customStyle="1" w:styleId="Note">
    <w:name w:val="Note"/>
    <w:basedOn w:val="Normal"/>
    <w:qFormat/>
    <w:rsid w:val="0037466A"/>
    <w:pPr>
      <w:spacing w:before="240"/>
    </w:pPr>
    <w:rPr>
      <w:color w:val="00B0F0"/>
    </w:rPr>
  </w:style>
  <w:style w:type="paragraph" w:styleId="NormalWeb">
    <w:name w:val="Normal (Web)"/>
    <w:basedOn w:val="Normal"/>
    <w:uiPriority w:val="99"/>
    <w:semiHidden/>
    <w:unhideWhenUsed/>
    <w:rsid w:val="002F3B11"/>
  </w:style>
  <w:style w:type="paragraph" w:styleId="Footer">
    <w:name w:val="footer"/>
    <w:basedOn w:val="Normal"/>
    <w:link w:val="FooterChar"/>
    <w:uiPriority w:val="99"/>
    <w:unhideWhenUsed/>
    <w:rsid w:val="000379AB"/>
    <w:pPr>
      <w:tabs>
        <w:tab w:val="center" w:pos="4680"/>
        <w:tab w:val="right" w:pos="9360"/>
      </w:tabs>
    </w:pPr>
  </w:style>
  <w:style w:type="character" w:customStyle="1" w:styleId="FooterChar">
    <w:name w:val="Footer Char"/>
    <w:basedOn w:val="DefaultParagraphFont"/>
    <w:link w:val="Footer"/>
    <w:uiPriority w:val="99"/>
    <w:rsid w:val="000379AB"/>
    <w:rPr>
      <w:rFonts w:ascii="Times New Roman" w:eastAsia="Calibri" w:hAnsi="Times New Roman" w:cs="Times New Roman"/>
      <w:sz w:val="20"/>
      <w:szCs w:val="20"/>
    </w:rPr>
  </w:style>
  <w:style w:type="paragraph" w:styleId="ListParagraph">
    <w:name w:val="List Paragraph"/>
    <w:basedOn w:val="Normal"/>
    <w:uiPriority w:val="34"/>
    <w:qFormat/>
    <w:rsid w:val="00D810E5"/>
    <w:pPr>
      <w:spacing w:after="200"/>
      <w:ind w:left="720"/>
      <w:contextualSpacing/>
    </w:pPr>
    <w:rPr>
      <w:rFonts w:asciiTheme="minorHAnsi" w:eastAsiaTheme="minorEastAsia" w:hAnsiTheme="minorHAnsi" w:cstheme="minorBidi"/>
      <w:lang w:eastAsia="ja-JP"/>
    </w:rPr>
  </w:style>
  <w:style w:type="character" w:customStyle="1" w:styleId="UnresolvedMention1">
    <w:name w:val="Unresolved Mention1"/>
    <w:basedOn w:val="DefaultParagraphFont"/>
    <w:uiPriority w:val="99"/>
    <w:rsid w:val="00B81C79"/>
    <w:rPr>
      <w:color w:val="808080"/>
      <w:shd w:val="clear" w:color="auto" w:fill="E6E6E6"/>
    </w:rPr>
  </w:style>
  <w:style w:type="paragraph" w:styleId="BalloonText">
    <w:name w:val="Balloon Text"/>
    <w:basedOn w:val="Normal"/>
    <w:link w:val="BalloonTextChar"/>
    <w:uiPriority w:val="99"/>
    <w:semiHidden/>
    <w:unhideWhenUsed/>
    <w:rsid w:val="007B4B9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B4B93"/>
    <w:rPr>
      <w:rFonts w:ascii="Segoe UI" w:eastAsia="Calibri" w:hAnsi="Segoe UI" w:cs="Segoe UI"/>
      <w:sz w:val="18"/>
      <w:szCs w:val="18"/>
    </w:rPr>
  </w:style>
  <w:style w:type="character" w:styleId="Emphasis">
    <w:name w:val="Emphasis"/>
    <w:basedOn w:val="DefaultParagraphFont"/>
    <w:uiPriority w:val="20"/>
    <w:qFormat/>
    <w:rsid w:val="007B4B93"/>
    <w:rPr>
      <w:i/>
      <w:iCs/>
    </w:rPr>
  </w:style>
  <w:style w:type="character" w:styleId="FollowedHyperlink">
    <w:name w:val="FollowedHyperlink"/>
    <w:basedOn w:val="DefaultParagraphFont"/>
    <w:uiPriority w:val="99"/>
    <w:semiHidden/>
    <w:unhideWhenUsed/>
    <w:rsid w:val="00F45E57"/>
    <w:rPr>
      <w:color w:val="954F72" w:themeColor="followedHyperlink"/>
      <w:u w:val="single"/>
    </w:rPr>
  </w:style>
  <w:style w:type="character" w:styleId="LineNumber">
    <w:name w:val="line number"/>
    <w:basedOn w:val="DefaultParagraphFont"/>
    <w:uiPriority w:val="99"/>
    <w:semiHidden/>
    <w:unhideWhenUsed/>
    <w:rsid w:val="00BD47BB"/>
  </w:style>
  <w:style w:type="table" w:customStyle="1" w:styleId="PlainTable41">
    <w:name w:val="Plain Table 41"/>
    <w:basedOn w:val="TableNormal"/>
    <w:uiPriority w:val="44"/>
    <w:rsid w:val="00FF0C4F"/>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Heading1Char">
    <w:name w:val="Heading 1 Char"/>
    <w:basedOn w:val="DefaultParagraphFont"/>
    <w:link w:val="Heading1"/>
    <w:uiPriority w:val="9"/>
    <w:rsid w:val="008C7C75"/>
    <w:rPr>
      <w:rFonts w:ascii="Times New Roman" w:eastAsia="Calibri" w:hAnsi="Times New Roman" w:cs="Times New Roman"/>
      <w:b/>
      <w:bCs/>
      <w:lang w:bidi="en-US"/>
    </w:rPr>
  </w:style>
  <w:style w:type="character" w:customStyle="1" w:styleId="Heading2Char">
    <w:name w:val="Heading 2 Char"/>
    <w:basedOn w:val="DefaultParagraphFont"/>
    <w:link w:val="Heading2"/>
    <w:uiPriority w:val="9"/>
    <w:rsid w:val="00C62730"/>
    <w:rPr>
      <w:rFonts w:ascii="Times New Roman" w:eastAsiaTheme="majorEastAsia" w:hAnsi="Times New Roman" w:cs="Times New Roman"/>
      <w:b/>
      <w:bCs/>
      <w:lang w:bidi="en-US"/>
    </w:rPr>
  </w:style>
  <w:style w:type="character" w:customStyle="1" w:styleId="Heading3Char">
    <w:name w:val="Heading 3 Char"/>
    <w:basedOn w:val="DefaultParagraphFont"/>
    <w:link w:val="Heading3"/>
    <w:uiPriority w:val="9"/>
    <w:rsid w:val="00C2083B"/>
    <w:rPr>
      <w:rFonts w:ascii="Times New Roman" w:eastAsiaTheme="majorEastAsia" w:hAnsi="Times New Roman" w:cs="Times New Roman"/>
      <w:b/>
      <w:bCs/>
      <w:lang w:bidi="en-US"/>
    </w:rPr>
  </w:style>
  <w:style w:type="paragraph" w:styleId="Bibliography">
    <w:name w:val="Bibliography"/>
    <w:basedOn w:val="Normal"/>
    <w:next w:val="Normal"/>
    <w:uiPriority w:val="37"/>
    <w:unhideWhenUsed/>
    <w:rsid w:val="008C1D1F"/>
    <w:pPr>
      <w:spacing w:after="0" w:line="480" w:lineRule="auto"/>
      <w:ind w:left="720" w:hanging="720"/>
    </w:pPr>
  </w:style>
  <w:style w:type="table" w:customStyle="1" w:styleId="Mdeck5tablebodythreelines">
    <w:name w:val="M_deck_5_table_body_three_lines"/>
    <w:basedOn w:val="TableNormal"/>
    <w:uiPriority w:val="99"/>
    <w:rsid w:val="00667CE5"/>
    <w:pPr>
      <w:adjustRightInd w:val="0"/>
      <w:snapToGrid w:val="0"/>
      <w:spacing w:line="300" w:lineRule="exact"/>
      <w:jc w:val="center"/>
    </w:pPr>
    <w:rPr>
      <w:rFonts w:ascii="Times New Roman" w:hAnsi="Times New Roman" w:cs="Times New Roman"/>
      <w:sz w:val="20"/>
      <w:szCs w:val="20"/>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paragraph" w:customStyle="1" w:styleId="MDPI42tablebody">
    <w:name w:val="MDPI_4.2_table_body"/>
    <w:rsid w:val="00667CE5"/>
    <w:pPr>
      <w:adjustRightInd w:val="0"/>
      <w:snapToGrid w:val="0"/>
      <w:spacing w:line="260" w:lineRule="atLeast"/>
      <w:jc w:val="center"/>
    </w:pPr>
    <w:rPr>
      <w:rFonts w:ascii="Palatino Linotype" w:eastAsia="Times New Roman" w:hAnsi="Palatino Linotype" w:cs="Times New Roman"/>
      <w:snapToGrid w:val="0"/>
      <w:color w:val="000000"/>
      <w:sz w:val="20"/>
      <w:szCs w:val="20"/>
      <w:lang w:eastAsia="de-DE" w:bidi="en-US"/>
    </w:rPr>
  </w:style>
  <w:style w:type="table" w:customStyle="1" w:styleId="TableGridLight1">
    <w:name w:val="Table Grid Light1"/>
    <w:basedOn w:val="TableNormal"/>
    <w:uiPriority w:val="40"/>
    <w:qFormat/>
    <w:rsid w:val="001F5D1C"/>
    <w:pPr>
      <w:jc w:val="center"/>
    </w:pPr>
    <w:rPr>
      <w:rFonts w:eastAsiaTheme="minorEastAsia"/>
      <w:sz w:val="20"/>
      <w:szCs w:val="20"/>
      <w:lang w:val="en-GB" w:eastAsia="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Light2">
    <w:name w:val="Table Grid Light2"/>
    <w:basedOn w:val="TableNormal"/>
    <w:uiPriority w:val="40"/>
    <w:rsid w:val="00741F93"/>
    <w:rPr>
      <w:rFonts w:ascii="Times New Roman" w:hAnsi="Times New Roman" w:cs="Times New Roman"/>
      <w:szCs w:val="20"/>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21">
    <w:name w:val="Plain Table 21"/>
    <w:basedOn w:val="TableNormal"/>
    <w:uiPriority w:val="42"/>
    <w:rsid w:val="00DC7CA7"/>
    <w:rPr>
      <w:rFonts w:ascii="Calibri" w:hAnsi="Calibri" w:cs="Times New Roman"/>
      <w:sz w:val="20"/>
      <w:szCs w:val="20"/>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Caption">
    <w:name w:val="caption"/>
    <w:basedOn w:val="Normal"/>
    <w:next w:val="Normal"/>
    <w:uiPriority w:val="35"/>
    <w:unhideWhenUsed/>
    <w:qFormat/>
    <w:rsid w:val="00632101"/>
    <w:pPr>
      <w:spacing w:after="200"/>
    </w:pPr>
    <w:rPr>
      <w:i/>
      <w:iCs/>
      <w:color w:val="44546A" w:themeColor="text2"/>
      <w:sz w:val="18"/>
      <w:szCs w:val="18"/>
    </w:rPr>
  </w:style>
  <w:style w:type="character" w:styleId="CommentReference">
    <w:name w:val="annotation reference"/>
    <w:basedOn w:val="DefaultParagraphFont"/>
    <w:uiPriority w:val="99"/>
    <w:semiHidden/>
    <w:unhideWhenUsed/>
    <w:rsid w:val="00DE3C61"/>
    <w:rPr>
      <w:sz w:val="21"/>
      <w:szCs w:val="21"/>
    </w:rPr>
  </w:style>
  <w:style w:type="paragraph" w:styleId="CommentText">
    <w:name w:val="annotation text"/>
    <w:basedOn w:val="Normal"/>
    <w:link w:val="CommentTextChar"/>
    <w:uiPriority w:val="99"/>
    <w:semiHidden/>
    <w:unhideWhenUsed/>
    <w:rsid w:val="00DE3C61"/>
    <w:pPr>
      <w:jc w:val="left"/>
    </w:pPr>
  </w:style>
  <w:style w:type="character" w:customStyle="1" w:styleId="CommentTextChar">
    <w:name w:val="Comment Text Char"/>
    <w:basedOn w:val="DefaultParagraphFont"/>
    <w:link w:val="CommentText"/>
    <w:uiPriority w:val="99"/>
    <w:semiHidden/>
    <w:rsid w:val="00DE3C61"/>
    <w:rPr>
      <w:rFonts w:ascii="Times New Roman" w:eastAsia="Calibri" w:hAnsi="Times New Roman" w:cs="Times New Roman"/>
      <w:lang w:bidi="en-US"/>
    </w:rPr>
  </w:style>
  <w:style w:type="paragraph" w:styleId="CommentSubject">
    <w:name w:val="annotation subject"/>
    <w:basedOn w:val="CommentText"/>
    <w:next w:val="CommentText"/>
    <w:link w:val="CommentSubjectChar"/>
    <w:uiPriority w:val="99"/>
    <w:semiHidden/>
    <w:unhideWhenUsed/>
    <w:rsid w:val="00DE3C61"/>
    <w:rPr>
      <w:b/>
      <w:bCs/>
    </w:rPr>
  </w:style>
  <w:style w:type="character" w:customStyle="1" w:styleId="CommentSubjectChar">
    <w:name w:val="Comment Subject Char"/>
    <w:basedOn w:val="CommentTextChar"/>
    <w:link w:val="CommentSubject"/>
    <w:uiPriority w:val="99"/>
    <w:semiHidden/>
    <w:rsid w:val="00DE3C61"/>
    <w:rPr>
      <w:rFonts w:ascii="Times New Roman" w:eastAsia="Calibri" w:hAnsi="Times New Roman" w:cs="Times New Roman"/>
      <w:b/>
      <w:bCs/>
      <w:lang w:bidi="en-US"/>
    </w:rPr>
  </w:style>
  <w:style w:type="paragraph" w:customStyle="1" w:styleId="MDPI62BackMatter">
    <w:name w:val="MDPI_6.2_BackMatter"/>
    <w:qFormat/>
    <w:rsid w:val="00D0112C"/>
    <w:pPr>
      <w:adjustRightInd w:val="0"/>
      <w:snapToGrid w:val="0"/>
      <w:spacing w:after="120" w:line="228" w:lineRule="auto"/>
      <w:ind w:left="2608"/>
      <w:jc w:val="both"/>
    </w:pPr>
    <w:rPr>
      <w:rFonts w:ascii="Palatino Linotype" w:eastAsia="Times New Roman" w:hAnsi="Palatino Linotype" w:cs="Times New Roman"/>
      <w:snapToGrid w:val="0"/>
      <w:color w:val="000000"/>
      <w:sz w:val="18"/>
      <w:szCs w:val="20"/>
      <w:lang w:bidi="en-US"/>
    </w:rPr>
  </w:style>
  <w:style w:type="paragraph" w:styleId="Revision">
    <w:name w:val="Revision"/>
    <w:hidden/>
    <w:uiPriority w:val="99"/>
    <w:semiHidden/>
    <w:rsid w:val="00671614"/>
    <w:rPr>
      <w:rFonts w:ascii="Times New Roman" w:eastAsia="Calibri" w:hAnsi="Times New Roman" w:cs="Times New Roman"/>
      <w:lang w:bidi="en-US"/>
    </w:rPr>
  </w:style>
  <w:style w:type="character" w:styleId="PlaceholderText">
    <w:name w:val="Placeholder Text"/>
    <w:basedOn w:val="DefaultParagraphFont"/>
    <w:uiPriority w:val="99"/>
    <w:semiHidden/>
    <w:rsid w:val="006913AA"/>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0844717">
      <w:bodyDiv w:val="1"/>
      <w:marLeft w:val="0"/>
      <w:marRight w:val="0"/>
      <w:marTop w:val="0"/>
      <w:marBottom w:val="0"/>
      <w:divBdr>
        <w:top w:val="none" w:sz="0" w:space="0" w:color="auto"/>
        <w:left w:val="none" w:sz="0" w:space="0" w:color="auto"/>
        <w:bottom w:val="none" w:sz="0" w:space="0" w:color="auto"/>
        <w:right w:val="none" w:sz="0" w:space="0" w:color="auto"/>
      </w:divBdr>
    </w:div>
    <w:div w:id="241108731">
      <w:bodyDiv w:val="1"/>
      <w:marLeft w:val="0"/>
      <w:marRight w:val="0"/>
      <w:marTop w:val="0"/>
      <w:marBottom w:val="0"/>
      <w:divBdr>
        <w:top w:val="none" w:sz="0" w:space="0" w:color="auto"/>
        <w:left w:val="none" w:sz="0" w:space="0" w:color="auto"/>
        <w:bottom w:val="none" w:sz="0" w:space="0" w:color="auto"/>
        <w:right w:val="none" w:sz="0" w:space="0" w:color="auto"/>
      </w:divBdr>
    </w:div>
    <w:div w:id="345134175">
      <w:bodyDiv w:val="1"/>
      <w:marLeft w:val="0"/>
      <w:marRight w:val="0"/>
      <w:marTop w:val="0"/>
      <w:marBottom w:val="0"/>
      <w:divBdr>
        <w:top w:val="none" w:sz="0" w:space="0" w:color="auto"/>
        <w:left w:val="none" w:sz="0" w:space="0" w:color="auto"/>
        <w:bottom w:val="none" w:sz="0" w:space="0" w:color="auto"/>
        <w:right w:val="none" w:sz="0" w:space="0" w:color="auto"/>
      </w:divBdr>
    </w:div>
    <w:div w:id="692389596">
      <w:bodyDiv w:val="1"/>
      <w:marLeft w:val="0"/>
      <w:marRight w:val="0"/>
      <w:marTop w:val="0"/>
      <w:marBottom w:val="0"/>
      <w:divBdr>
        <w:top w:val="none" w:sz="0" w:space="0" w:color="auto"/>
        <w:left w:val="none" w:sz="0" w:space="0" w:color="auto"/>
        <w:bottom w:val="none" w:sz="0" w:space="0" w:color="auto"/>
        <w:right w:val="none" w:sz="0" w:space="0" w:color="auto"/>
      </w:divBdr>
    </w:div>
    <w:div w:id="704406528">
      <w:bodyDiv w:val="1"/>
      <w:marLeft w:val="0"/>
      <w:marRight w:val="0"/>
      <w:marTop w:val="0"/>
      <w:marBottom w:val="0"/>
      <w:divBdr>
        <w:top w:val="none" w:sz="0" w:space="0" w:color="auto"/>
        <w:left w:val="none" w:sz="0" w:space="0" w:color="auto"/>
        <w:bottom w:val="none" w:sz="0" w:space="0" w:color="auto"/>
        <w:right w:val="none" w:sz="0" w:space="0" w:color="auto"/>
      </w:divBdr>
    </w:div>
    <w:div w:id="812676312">
      <w:bodyDiv w:val="1"/>
      <w:marLeft w:val="0"/>
      <w:marRight w:val="0"/>
      <w:marTop w:val="0"/>
      <w:marBottom w:val="0"/>
      <w:divBdr>
        <w:top w:val="none" w:sz="0" w:space="0" w:color="auto"/>
        <w:left w:val="none" w:sz="0" w:space="0" w:color="auto"/>
        <w:bottom w:val="none" w:sz="0" w:space="0" w:color="auto"/>
        <w:right w:val="none" w:sz="0" w:space="0" w:color="auto"/>
      </w:divBdr>
    </w:div>
    <w:div w:id="877201397">
      <w:bodyDiv w:val="1"/>
      <w:marLeft w:val="0"/>
      <w:marRight w:val="0"/>
      <w:marTop w:val="0"/>
      <w:marBottom w:val="0"/>
      <w:divBdr>
        <w:top w:val="none" w:sz="0" w:space="0" w:color="auto"/>
        <w:left w:val="none" w:sz="0" w:space="0" w:color="auto"/>
        <w:bottom w:val="none" w:sz="0" w:space="0" w:color="auto"/>
        <w:right w:val="none" w:sz="0" w:space="0" w:color="auto"/>
      </w:divBdr>
    </w:div>
    <w:div w:id="993794968">
      <w:bodyDiv w:val="1"/>
      <w:marLeft w:val="0"/>
      <w:marRight w:val="0"/>
      <w:marTop w:val="0"/>
      <w:marBottom w:val="0"/>
      <w:divBdr>
        <w:top w:val="none" w:sz="0" w:space="0" w:color="auto"/>
        <w:left w:val="none" w:sz="0" w:space="0" w:color="auto"/>
        <w:bottom w:val="none" w:sz="0" w:space="0" w:color="auto"/>
        <w:right w:val="none" w:sz="0" w:space="0" w:color="auto"/>
      </w:divBdr>
    </w:div>
    <w:div w:id="1017734784">
      <w:bodyDiv w:val="1"/>
      <w:marLeft w:val="0"/>
      <w:marRight w:val="0"/>
      <w:marTop w:val="0"/>
      <w:marBottom w:val="0"/>
      <w:divBdr>
        <w:top w:val="none" w:sz="0" w:space="0" w:color="auto"/>
        <w:left w:val="none" w:sz="0" w:space="0" w:color="auto"/>
        <w:bottom w:val="none" w:sz="0" w:space="0" w:color="auto"/>
        <w:right w:val="none" w:sz="0" w:space="0" w:color="auto"/>
      </w:divBdr>
    </w:div>
    <w:div w:id="1254120579">
      <w:bodyDiv w:val="1"/>
      <w:marLeft w:val="0"/>
      <w:marRight w:val="0"/>
      <w:marTop w:val="0"/>
      <w:marBottom w:val="0"/>
      <w:divBdr>
        <w:top w:val="none" w:sz="0" w:space="0" w:color="auto"/>
        <w:left w:val="none" w:sz="0" w:space="0" w:color="auto"/>
        <w:bottom w:val="none" w:sz="0" w:space="0" w:color="auto"/>
        <w:right w:val="none" w:sz="0" w:space="0" w:color="auto"/>
      </w:divBdr>
    </w:div>
    <w:div w:id="1326199967">
      <w:bodyDiv w:val="1"/>
      <w:marLeft w:val="0"/>
      <w:marRight w:val="0"/>
      <w:marTop w:val="0"/>
      <w:marBottom w:val="0"/>
      <w:divBdr>
        <w:top w:val="none" w:sz="0" w:space="0" w:color="auto"/>
        <w:left w:val="none" w:sz="0" w:space="0" w:color="auto"/>
        <w:bottom w:val="none" w:sz="0" w:space="0" w:color="auto"/>
        <w:right w:val="none" w:sz="0" w:space="0" w:color="auto"/>
      </w:divBdr>
    </w:div>
    <w:div w:id="1496415768">
      <w:bodyDiv w:val="1"/>
      <w:marLeft w:val="0"/>
      <w:marRight w:val="0"/>
      <w:marTop w:val="0"/>
      <w:marBottom w:val="0"/>
      <w:divBdr>
        <w:top w:val="none" w:sz="0" w:space="0" w:color="auto"/>
        <w:left w:val="none" w:sz="0" w:space="0" w:color="auto"/>
        <w:bottom w:val="none" w:sz="0" w:space="0" w:color="auto"/>
        <w:right w:val="none" w:sz="0" w:space="0" w:color="auto"/>
      </w:divBdr>
    </w:div>
    <w:div w:id="1524050897">
      <w:bodyDiv w:val="1"/>
      <w:marLeft w:val="0"/>
      <w:marRight w:val="0"/>
      <w:marTop w:val="0"/>
      <w:marBottom w:val="0"/>
      <w:divBdr>
        <w:top w:val="none" w:sz="0" w:space="0" w:color="auto"/>
        <w:left w:val="none" w:sz="0" w:space="0" w:color="auto"/>
        <w:bottom w:val="none" w:sz="0" w:space="0" w:color="auto"/>
        <w:right w:val="none" w:sz="0" w:space="0" w:color="auto"/>
      </w:divBdr>
    </w:div>
    <w:div w:id="1572689984">
      <w:bodyDiv w:val="1"/>
      <w:marLeft w:val="0"/>
      <w:marRight w:val="0"/>
      <w:marTop w:val="0"/>
      <w:marBottom w:val="0"/>
      <w:divBdr>
        <w:top w:val="none" w:sz="0" w:space="0" w:color="auto"/>
        <w:left w:val="none" w:sz="0" w:space="0" w:color="auto"/>
        <w:bottom w:val="none" w:sz="0" w:space="0" w:color="auto"/>
        <w:right w:val="none" w:sz="0" w:space="0" w:color="auto"/>
      </w:divBdr>
    </w:div>
    <w:div w:id="1653018542">
      <w:bodyDiv w:val="1"/>
      <w:marLeft w:val="0"/>
      <w:marRight w:val="0"/>
      <w:marTop w:val="0"/>
      <w:marBottom w:val="0"/>
      <w:divBdr>
        <w:top w:val="none" w:sz="0" w:space="0" w:color="auto"/>
        <w:left w:val="none" w:sz="0" w:space="0" w:color="auto"/>
        <w:bottom w:val="none" w:sz="0" w:space="0" w:color="auto"/>
        <w:right w:val="none" w:sz="0" w:space="0" w:color="auto"/>
      </w:divBdr>
    </w:div>
    <w:div w:id="1699696663">
      <w:bodyDiv w:val="1"/>
      <w:marLeft w:val="0"/>
      <w:marRight w:val="0"/>
      <w:marTop w:val="0"/>
      <w:marBottom w:val="0"/>
      <w:divBdr>
        <w:top w:val="none" w:sz="0" w:space="0" w:color="auto"/>
        <w:left w:val="none" w:sz="0" w:space="0" w:color="auto"/>
        <w:bottom w:val="none" w:sz="0" w:space="0" w:color="auto"/>
        <w:right w:val="none" w:sz="0" w:space="0" w:color="auto"/>
      </w:divBdr>
    </w:div>
    <w:div w:id="1739398924">
      <w:bodyDiv w:val="1"/>
      <w:marLeft w:val="0"/>
      <w:marRight w:val="0"/>
      <w:marTop w:val="0"/>
      <w:marBottom w:val="0"/>
      <w:divBdr>
        <w:top w:val="none" w:sz="0" w:space="0" w:color="auto"/>
        <w:left w:val="none" w:sz="0" w:space="0" w:color="auto"/>
        <w:bottom w:val="none" w:sz="0" w:space="0" w:color="auto"/>
        <w:right w:val="none" w:sz="0" w:space="0" w:color="auto"/>
      </w:divBdr>
    </w:div>
    <w:div w:id="1858538578">
      <w:bodyDiv w:val="1"/>
      <w:marLeft w:val="0"/>
      <w:marRight w:val="0"/>
      <w:marTop w:val="0"/>
      <w:marBottom w:val="0"/>
      <w:divBdr>
        <w:top w:val="none" w:sz="0" w:space="0" w:color="auto"/>
        <w:left w:val="none" w:sz="0" w:space="0" w:color="auto"/>
        <w:bottom w:val="none" w:sz="0" w:space="0" w:color="auto"/>
        <w:right w:val="none" w:sz="0" w:space="0" w:color="auto"/>
      </w:divBdr>
    </w:div>
    <w:div w:id="208668407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emilkpaikpai@mails.ucas.ac.cn" TargetMode="External"/><Relationship Id="rId13" Type="http://schemas.openxmlformats.org/officeDocument/2006/relationships/hyperlink" Target="mailto:emilkpaikpai@mails.ucas.ac.cn" TargetMode="External"/><Relationship Id="rId18" Type="http://schemas.openxmlformats.org/officeDocument/2006/relationships/hyperlink" Target="mailto:jimings@mail.iap.ac.cn" TargetMode="External"/><Relationship Id="rId26" Type="http://schemas.openxmlformats.org/officeDocument/2006/relationships/image" Target="media/image4.png"/><Relationship Id="rId3" Type="http://schemas.openxmlformats.org/officeDocument/2006/relationships/styles" Target="styles.xml"/><Relationship Id="rId21" Type="http://schemas.openxmlformats.org/officeDocument/2006/relationships/hyperlink" Target="http://www2.jpl.nasa.gov/srtm/" TargetMode="External"/><Relationship Id="rId7" Type="http://schemas.openxmlformats.org/officeDocument/2006/relationships/endnotes" Target="endnotes.xml"/><Relationship Id="rId12" Type="http://schemas.openxmlformats.org/officeDocument/2006/relationships/hyperlink" Target="mailto:emilkpaikpai@mails.ucas.ac.cn" TargetMode="External"/><Relationship Id="rId17" Type="http://schemas.openxmlformats.org/officeDocument/2006/relationships/hyperlink" Target="mailto:vfloribert@nuist.edu.cn" TargetMode="External"/><Relationship Id="rId25"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hyperlink" Target="mailto:emilkpaikpai@yahoo.fr" TargetMode="External"/><Relationship Id="rId20" Type="http://schemas.openxmlformats.org/officeDocument/2006/relationships/hyperlink" Target="http://www.usgs.gov/" TargetMode="External"/><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jzhu@mail.iap.ac.cn" TargetMode="External"/><Relationship Id="rId24"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hyperlink" Target="mailto:huaixw@foxmail.com" TargetMode="External"/><Relationship Id="rId23" Type="http://schemas.openxmlformats.org/officeDocument/2006/relationships/image" Target="media/image2.emf"/><Relationship Id="rId28" Type="http://schemas.openxmlformats.org/officeDocument/2006/relationships/header" Target="header1.xml"/><Relationship Id="rId10" Type="http://schemas.openxmlformats.org/officeDocument/2006/relationships/hyperlink" Target="mailto:jzhu@mail.iap.ac.cn" TargetMode="External"/><Relationship Id="rId19" Type="http://schemas.openxmlformats.org/officeDocument/2006/relationships/image" Target="media/image1.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jimings@mail.iap.ac.cn" TargetMode="External"/><Relationship Id="rId14" Type="http://schemas.openxmlformats.org/officeDocument/2006/relationships/hyperlink" Target="mailto:jzhu@mail.iap.ac.cn" TargetMode="External"/><Relationship Id="rId22" Type="http://schemas.openxmlformats.org/officeDocument/2006/relationships/hyperlink" Target="https://doi.org/10.5065/D6M043C6" TargetMode="External"/><Relationship Id="rId27" Type="http://schemas.openxmlformats.org/officeDocument/2006/relationships/image" Target="media/image5.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Version="1987"/>
</file>

<file path=customXml/itemProps1.xml><?xml version="1.0" encoding="utf-8"?>
<ds:datastoreItem xmlns:ds="http://schemas.openxmlformats.org/officeDocument/2006/customXml" ds:itemID="{60175A46-040B-4A51-8852-8686A3FDFD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1234</TotalTime>
  <Pages>34</Pages>
  <Words>58330</Words>
  <Characters>320820</Characters>
  <Application>Microsoft Office Word</Application>
  <DocSecurity>0</DocSecurity>
  <Lines>2673</Lines>
  <Paragraphs>756</Paragraphs>
  <ScaleCrop>false</ScaleCrop>
  <HeadingPairs>
    <vt:vector size="2" baseType="variant">
      <vt:variant>
        <vt:lpstr>Title</vt:lpstr>
      </vt:variant>
      <vt:variant>
        <vt:i4>1</vt:i4>
      </vt:variant>
    </vt:vector>
  </HeadingPairs>
  <TitlesOfParts>
    <vt:vector size="1" baseType="lpstr">
      <vt:lpstr/>
    </vt:vector>
  </TitlesOfParts>
  <Company>微软中国</Company>
  <LinksUpToDate>false</LinksUpToDate>
  <CharactersWithSpaces>378394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Brooks Hanson</dc:creator>
  <cp:keywords/>
  <dc:description/>
  <cp:lastModifiedBy>cas twas</cp:lastModifiedBy>
  <cp:revision>24</cp:revision>
  <dcterms:created xsi:type="dcterms:W3CDTF">2022-05-04T10:11:00Z</dcterms:created>
  <dcterms:modified xsi:type="dcterms:W3CDTF">2022-05-11T10:10:00Z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zotero-version="6.0.6"&gt;&lt;session id="j94seLCz"/&gt;&lt;style id="http://www.zotero.org/styles/american-geophysical-union" hasBibliography="1" bibliographyStyleHasBeenSet="1"/&gt;&lt;prefs&gt;&lt;pref name="fieldType" value="Field"/&gt;&lt;pref name="automat</vt:lpwstr>
  </property>
  <property fmtid="{D5CDD505-2E9C-101B-9397-08002B2CF9AE}" pid="3" name="ZOTERO_PREF_2">
    <vt:lpwstr>icJournalAbbreviations" value="true"/&gt;&lt;pref name="dontAskDelayCitationUpdates" value="true"/&gt;&lt;/prefs&gt;&lt;/data&gt;</vt:lpwstr>
  </property>
</Properties>
</file>