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media/rId25.png" ContentType="image/png"/>
  <Override PartName="/word/media/rId26.png" ContentType="image/png"/>
  <Override PartName="/word/media/rId27.png" ContentType="image/png"/>
  <Override PartName="/word/media/rId28.png" ContentType="image/png"/>
  <Override PartName="/word/media/rId29.png" ContentType="image/pn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Title"/>
      </w:pPr>
      <w:r>
        <w:t xml:space="preserve">Cu(II)Sulfate</w:t>
      </w:r>
      <w:r>
        <w:t xml:space="preserve"> </w:t>
      </w:r>
      <w:r>
        <w:t xml:space="preserve">Synthesis</w:t>
      </w:r>
      <w:r>
        <w:t xml:space="preserve"> </w:t>
      </w:r>
      <w:r>
        <w:t xml:space="preserve">From</w:t>
      </w:r>
      <w:r>
        <w:t xml:space="preserve"> </w:t>
      </w:r>
      <w:r>
        <w:t xml:space="preserve">MgSO</w:t>
      </w:r>
      <w:r>
        <w:rPr>
          <w:vertAlign w:val="subscript"/>
        </w:rPr>
        <w:t xml:space="preserve">4</w:t>
      </w:r>
      <w:r>
        <w:t xml:space="preserve"> </w:t>
      </w:r>
      <w:r>
        <w:t xml:space="preserve">For</w:t>
      </w:r>
      <w:r>
        <w:t xml:space="preserve"> </w:t>
      </w:r>
      <w:r>
        <w:t xml:space="preserve">Home</w:t>
      </w:r>
      <w:r>
        <w:t xml:space="preserve"> </w:t>
      </w:r>
      <w:r>
        <w:t xml:space="preserve">Chemistry</w:t>
      </w:r>
      <w:r>
        <w:t xml:space="preserve"> </w:t>
      </w:r>
      <w:r>
        <w:t xml:space="preserve">Laboratories</w:t>
      </w:r>
    </w:p>
    <w:p>
      <w:pPr>
        <w:pStyle w:val="Author"/>
      </w:pPr>
      <w:r>
        <w:t xml:space="preserve">Victor</w:t>
      </w:r>
      <w:r>
        <w:t xml:space="preserve"> </w:t>
      </w:r>
      <w:r>
        <w:t xml:space="preserve">M</w:t>
      </w:r>
      <w:r>
        <w:t xml:space="preserve"> </w:t>
      </w:r>
      <w:r>
        <w:t xml:space="preserve">Rodriguez</w:t>
      </w:r>
    </w:p>
    <w:p>
      <w:pPr>
        <w:pStyle w:val="Abstract"/>
      </w:pPr>
      <w:r>
        <w:t xml:space="preserve">The</w:t>
      </w:r>
      <w:r>
        <w:t xml:space="preserve"> </w:t>
      </w:r>
      <w:r>
        <w:t xml:space="preserve">global</w:t>
      </w:r>
      <w:r>
        <w:t xml:space="preserve"> </w:t>
      </w:r>
      <w:r>
        <w:t xml:space="preserve">pandemic</w:t>
      </w:r>
      <w:r>
        <w:t xml:space="preserve"> </w:t>
      </w:r>
      <w:r>
        <w:t xml:space="preserve">has</w:t>
      </w:r>
      <w:r>
        <w:t xml:space="preserve"> </w:t>
      </w:r>
      <w:r>
        <w:t xml:space="preserve">forced</w:t>
      </w:r>
      <w:r>
        <w:t xml:space="preserve"> </w:t>
      </w:r>
      <w:r>
        <w:t xml:space="preserve">many</w:t>
      </w:r>
      <w:r>
        <w:t xml:space="preserve"> </w:t>
      </w:r>
      <w:r>
        <w:t xml:space="preserve">educators</w:t>
      </w:r>
      <w:r>
        <w:t xml:space="preserve"> </w:t>
      </w:r>
      <w:r>
        <w:t xml:space="preserve">to</w:t>
      </w:r>
      <w:r>
        <w:t xml:space="preserve"> </w:t>
      </w:r>
      <w:r>
        <w:t xml:space="preserve">instruct</w:t>
      </w:r>
      <w:r>
        <w:t xml:space="preserve"> </w:t>
      </w:r>
      <w:r>
        <w:t xml:space="preserve">their</w:t>
      </w:r>
      <w:r>
        <w:t xml:space="preserve"> </w:t>
      </w:r>
      <w:r>
        <w:t xml:space="preserve">students</w:t>
      </w:r>
      <w:r>
        <w:t xml:space="preserve"> </w:t>
      </w:r>
      <w:r>
        <w:t xml:space="preserve">online</w:t>
      </w:r>
      <w:r>
        <w:t xml:space="preserve"> </w:t>
      </w:r>
      <w:r>
        <w:t xml:space="preserve">and</w:t>
      </w:r>
      <w:r>
        <w:t xml:space="preserve"> </w:t>
      </w:r>
      <w:r>
        <w:t xml:space="preserve">use</w:t>
      </w:r>
      <w:r>
        <w:t xml:space="preserve"> </w:t>
      </w:r>
      <w:r>
        <w:t xml:space="preserve">home</w:t>
      </w:r>
      <w:r>
        <w:t xml:space="preserve"> </w:t>
      </w:r>
      <w:r>
        <w:t xml:space="preserve">resources</w:t>
      </w:r>
      <w:r>
        <w:t xml:space="preserve"> </w:t>
      </w:r>
      <w:r>
        <w:t xml:space="preserve">to</w:t>
      </w:r>
      <w:r>
        <w:t xml:space="preserve"> </w:t>
      </w:r>
      <w:r>
        <w:t xml:space="preserve">continue</w:t>
      </w:r>
      <w:r>
        <w:t xml:space="preserve"> </w:t>
      </w:r>
      <w:r>
        <w:t xml:space="preserve">their</w:t>
      </w:r>
      <w:r>
        <w:t xml:space="preserve"> </w:t>
      </w:r>
      <w:r>
        <w:t xml:space="preserve">education.</w:t>
      </w:r>
      <w:r>
        <w:t xml:space="preserve"> </w:t>
      </w:r>
      <w:r>
        <w:t xml:space="preserve">Developing</w:t>
      </w:r>
      <w:r>
        <w:t xml:space="preserve"> </w:t>
      </w:r>
      <w:r>
        <w:t xml:space="preserve">chemistry</w:t>
      </w:r>
      <w:r>
        <w:t xml:space="preserve"> </w:t>
      </w:r>
      <w:r>
        <w:t xml:space="preserve">protocols</w:t>
      </w:r>
      <w:r>
        <w:t xml:space="preserve"> </w:t>
      </w:r>
      <w:r>
        <w:t xml:space="preserve">for</w:t>
      </w:r>
      <w:r>
        <w:t xml:space="preserve"> </w:t>
      </w:r>
      <w:r>
        <w:t xml:space="preserve">students</w:t>
      </w:r>
      <w:r>
        <w:t xml:space="preserve"> </w:t>
      </w:r>
      <w:r>
        <w:t xml:space="preserve">and</w:t>
      </w:r>
      <w:r>
        <w:t xml:space="preserve"> </w:t>
      </w:r>
      <w:r>
        <w:t xml:space="preserve">educators</w:t>
      </w:r>
      <w:r>
        <w:t xml:space="preserve"> </w:t>
      </w:r>
      <w:r>
        <w:t xml:space="preserve">that</w:t>
      </w:r>
      <w:r>
        <w:t xml:space="preserve"> </w:t>
      </w:r>
      <w:r>
        <w:t xml:space="preserve">can</w:t>
      </w:r>
      <w:r>
        <w:t xml:space="preserve"> </w:t>
      </w:r>
      <w:r>
        <w:t xml:space="preserve">be</w:t>
      </w:r>
      <w:r>
        <w:t xml:space="preserve"> </w:t>
      </w:r>
      <w:r>
        <w:t xml:space="preserve">performed</w:t>
      </w:r>
      <w:r>
        <w:t xml:space="preserve"> </w:t>
      </w:r>
      <w:r>
        <w:t xml:space="preserve">at</w:t>
      </w:r>
      <w:r>
        <w:t xml:space="preserve"> </w:t>
      </w:r>
      <w:r>
        <w:t xml:space="preserve">home</w:t>
      </w:r>
      <w:r>
        <w:t xml:space="preserve"> </w:t>
      </w:r>
      <w:r>
        <w:t xml:space="preserve">will</w:t>
      </w:r>
      <w:r>
        <w:t xml:space="preserve"> </w:t>
      </w:r>
      <w:r>
        <w:t xml:space="preserve">further</w:t>
      </w:r>
      <w:r>
        <w:t xml:space="preserve"> </w:t>
      </w:r>
      <w:r>
        <w:t xml:space="preserve">help</w:t>
      </w:r>
      <w:r>
        <w:t xml:space="preserve"> </w:t>
      </w:r>
      <w:r>
        <w:t xml:space="preserve">alleviate</w:t>
      </w:r>
      <w:r>
        <w:t xml:space="preserve"> </w:t>
      </w:r>
      <w:r>
        <w:t xml:space="preserve">the</w:t>
      </w:r>
      <w:r>
        <w:t xml:space="preserve"> </w:t>
      </w:r>
      <w:r>
        <w:t xml:space="preserve">pandemic’s</w:t>
      </w:r>
      <w:r>
        <w:t xml:space="preserve"> </w:t>
      </w:r>
      <w:r>
        <w:t xml:space="preserve">pressures</w:t>
      </w:r>
      <w:r>
        <w:t xml:space="preserve"> </w:t>
      </w:r>
      <w:r>
        <w:t xml:space="preserve">on</w:t>
      </w:r>
      <w:r>
        <w:t xml:space="preserve"> </w:t>
      </w:r>
      <w:r>
        <w:t xml:space="preserve">the</w:t>
      </w:r>
      <w:r>
        <w:t xml:space="preserve"> </w:t>
      </w:r>
      <w:r>
        <w:t xml:space="preserve">educational</w:t>
      </w:r>
      <w:r>
        <w:t xml:space="preserve"> </w:t>
      </w:r>
      <w:r>
        <w:t xml:space="preserve">process.</w:t>
      </w:r>
      <w:r>
        <w:t xml:space="preserve"> </w:t>
      </w:r>
      <w:r>
        <w:t xml:space="preserve">This</w:t>
      </w:r>
      <w:r>
        <w:t xml:space="preserve"> </w:t>
      </w:r>
      <w:r>
        <w:t xml:space="preserve">paper</w:t>
      </w:r>
      <w:r>
        <w:t xml:space="preserve"> </w:t>
      </w:r>
      <w:r>
        <w:t xml:space="preserve">explores</w:t>
      </w:r>
      <w:r>
        <w:t xml:space="preserve"> </w:t>
      </w:r>
      <w:r>
        <w:t xml:space="preserve">the</w:t>
      </w:r>
      <w:r>
        <w:t xml:space="preserve"> </w:t>
      </w:r>
      <w:r>
        <w:t xml:space="preserve">process</w:t>
      </w:r>
      <w:r>
        <w:t xml:space="preserve"> </w:t>
      </w:r>
      <w:r>
        <w:t xml:space="preserve">of</w:t>
      </w:r>
      <w:r>
        <w:t xml:space="preserve"> </w:t>
      </w:r>
      <w:r>
        <w:t xml:space="preserve">producing</w:t>
      </w:r>
      <w:r>
        <w:t xml:space="preserve"> </w:t>
      </w:r>
      <w:r>
        <w:t xml:space="preserve">CuSO</w:t>
      </w:r>
      <w:r>
        <w:rPr>
          <w:vertAlign w:val="subscript"/>
        </w:rPr>
        <w:t xml:space="preserve">4</w:t>
      </w:r>
      <w:r>
        <w:t xml:space="preserve"> </w:t>
      </w:r>
      <w:r>
        <w:t xml:space="preserve">using</w:t>
      </w:r>
      <w:r>
        <w:t xml:space="preserve"> </w:t>
      </w:r>
      <w:r>
        <w:t xml:space="preserve">products</w:t>
      </w:r>
      <w:r>
        <w:t xml:space="preserve"> </w:t>
      </w:r>
      <w:r>
        <w:t xml:space="preserve">and</w:t>
      </w:r>
      <w:r>
        <w:t xml:space="preserve"> </w:t>
      </w:r>
      <w:r>
        <w:t xml:space="preserve">equipment</w:t>
      </w:r>
      <w:r>
        <w:t xml:space="preserve"> </w:t>
      </w:r>
      <w:r>
        <w:t xml:space="preserve">available</w:t>
      </w:r>
      <w:r>
        <w:t xml:space="preserve"> </w:t>
      </w:r>
      <w:r>
        <w:t xml:space="preserve">in</w:t>
      </w:r>
      <w:r>
        <w:t xml:space="preserve"> </w:t>
      </w:r>
      <w:r>
        <w:t xml:space="preserve">stores</w:t>
      </w:r>
      <w:r>
        <w:t xml:space="preserve"> </w:t>
      </w:r>
      <w:r>
        <w:t xml:space="preserve">or</w:t>
      </w:r>
      <w:r>
        <w:t xml:space="preserve"> </w:t>
      </w:r>
      <w:r>
        <w:t xml:space="preserve">online</w:t>
      </w:r>
      <w:r>
        <w:t xml:space="preserve"> </w:t>
      </w:r>
      <w:r>
        <w:t xml:space="preserve">retailers.</w:t>
      </w:r>
      <w:r>
        <w:t xml:space="preserve"> </w:t>
      </w:r>
      <w:r>
        <w:t xml:space="preserve">The</w:t>
      </w:r>
      <w:r>
        <w:t xml:space="preserve"> </w:t>
      </w:r>
      <w:r>
        <w:t xml:space="preserve">protocol</w:t>
      </w:r>
      <w:r>
        <w:t xml:space="preserve"> </w:t>
      </w:r>
      <w:r>
        <w:t xml:space="preserve">developed</w:t>
      </w:r>
      <w:r>
        <w:t xml:space="preserve"> </w:t>
      </w:r>
      <w:r>
        <w:t xml:space="preserve">in</w:t>
      </w:r>
      <w:r>
        <w:t xml:space="preserve"> </w:t>
      </w:r>
      <w:r>
        <w:t xml:space="preserve">this</w:t>
      </w:r>
      <w:r>
        <w:t xml:space="preserve"> </w:t>
      </w:r>
      <w:r>
        <w:t xml:space="preserve">project</w:t>
      </w:r>
      <w:r>
        <w:t xml:space="preserve"> </w:t>
      </w:r>
      <w:r>
        <w:t xml:space="preserve">produced</w:t>
      </w:r>
      <w:r>
        <w:t xml:space="preserve"> </w:t>
      </w:r>
      <w:r>
        <w:t xml:space="preserve">CuSO</w:t>
      </w:r>
      <w:r>
        <w:rPr>
          <w:vertAlign w:val="subscript"/>
        </w:rPr>
        <w:t xml:space="preserve">4</w:t>
      </w:r>
      <w:r>
        <w:t xml:space="preserve"> </w:t>
      </w:r>
      <w:r>
        <w:t xml:space="preserve">pentahydrate</w:t>
      </w:r>
      <w:r>
        <w:t xml:space="preserve"> </w:t>
      </w:r>
      <w:r>
        <w:t xml:space="preserve">for</w:t>
      </w:r>
      <w:r>
        <w:t xml:space="preserve"> </w:t>
      </w:r>
      <w:r>
        <w:t xml:space="preserve">use</w:t>
      </w:r>
      <w:r>
        <w:t xml:space="preserve"> </w:t>
      </w:r>
      <w:r>
        <w:t xml:space="preserve">in</w:t>
      </w:r>
      <w:r>
        <w:t xml:space="preserve"> </w:t>
      </w:r>
      <w:r>
        <w:t xml:space="preserve">a</w:t>
      </w:r>
      <w:r>
        <w:t xml:space="preserve"> </w:t>
      </w:r>
      <w:r>
        <w:t xml:space="preserve">home</w:t>
      </w:r>
      <w:r>
        <w:t xml:space="preserve"> </w:t>
      </w:r>
      <w:r>
        <w:t xml:space="preserve">laboratory,</w:t>
      </w:r>
      <w:r>
        <w:t xml:space="preserve"> </w:t>
      </w:r>
      <w:r>
        <w:t xml:space="preserve">and</w:t>
      </w:r>
      <w:r>
        <w:t xml:space="preserve"> </w:t>
      </w:r>
      <w:r>
        <w:t xml:space="preserve">the</w:t>
      </w:r>
      <w:r>
        <w:t xml:space="preserve"> </w:t>
      </w:r>
      <w:r>
        <w:t xml:space="preserve">process</w:t>
      </w:r>
      <w:r>
        <w:t xml:space="preserve"> </w:t>
      </w:r>
      <w:r>
        <w:t xml:space="preserve">provides</w:t>
      </w:r>
      <w:r>
        <w:t xml:space="preserve"> </w:t>
      </w:r>
      <w:r>
        <w:t xml:space="preserve">several</w:t>
      </w:r>
      <w:r>
        <w:t xml:space="preserve"> </w:t>
      </w:r>
      <w:r>
        <w:t xml:space="preserve">avenues</w:t>
      </w:r>
      <w:r>
        <w:t xml:space="preserve"> </w:t>
      </w:r>
      <w:r>
        <w:t xml:space="preserve">for</w:t>
      </w:r>
      <w:r>
        <w:t xml:space="preserve"> </w:t>
      </w:r>
      <w:r>
        <w:t xml:space="preserve">lessons</w:t>
      </w:r>
      <w:r>
        <w:t xml:space="preserve"> </w:t>
      </w:r>
      <w:r>
        <w:t xml:space="preserve">and</w:t>
      </w:r>
      <w:r>
        <w:t xml:space="preserve"> </w:t>
      </w:r>
      <w:r>
        <w:t xml:space="preserve">classroom</w:t>
      </w:r>
      <w:r>
        <w:t xml:space="preserve"> </w:t>
      </w:r>
      <w:r>
        <w:t xml:space="preserve">discussion.</w:t>
      </w:r>
    </w:p>
    <w:p>
      <w:pPr>
        <w:pStyle w:val="Heading1"/>
      </w:pPr>
      <w:bookmarkStart w:id="21" w:name="introduction"/>
      <w:bookmarkEnd w:id="21"/>
      <w:r>
        <w:t xml:space="preserve">1. Introduction</w:t>
      </w:r>
    </w:p>
    <w:p>
      <w:pPr>
        <w:pStyle w:val="FirstParagraph"/>
      </w:pPr>
      <w:r>
        <w:t xml:space="preserve">Home chemistry laboratories have existed since the origins of chemistry</w:t>
      </w:r>
      <w:r>
        <w:t xml:space="preserve"> </w:t>
      </w:r>
      <w:r>
        <w:t xml:space="preserve">as a scientific discipline. For example, while working on his principal</w:t>
      </w:r>
      <w:r>
        <w:t xml:space="preserve"> </w:t>
      </w:r>
      <w:r>
        <w:t xml:space="preserve">work on gravitation and laws of motion, Sir Isac Newton also explored</w:t>
      </w:r>
      <w:r>
        <w:t xml:space="preserve"> </w:t>
      </w:r>
      <w:r>
        <w:t xml:space="preserve">alchemy. Newton conducted his work based on Victorian occultism;</w:t>
      </w:r>
      <w:r>
        <w:t xml:space="preserve"> </w:t>
      </w:r>
      <w:r>
        <w:t xml:space="preserve">however, the proto-chemistry of his time allowed for further</w:t>
      </w:r>
      <w:r>
        <w:t xml:space="preserve"> </w:t>
      </w:r>
      <w:r>
        <w:t xml:space="preserve">understanding of the world through</w:t>
      </w:r>
      <w:r>
        <w:t xml:space="preserve"> </w:t>
      </w:r>
      <w:r>
        <w:t xml:space="preserve">chemistry.   With the Covid 19 pandemic, home laboratories have become more</w:t>
      </w:r>
      <w:r>
        <w:t xml:space="preserve"> </w:t>
      </w:r>
      <w:r>
        <w:t xml:space="preserve">than just the realm of hobbyists. Home laboratories have become</w:t>
      </w:r>
      <w:r>
        <w:t xml:space="preserve"> </w:t>
      </w:r>
      <w:r>
        <w:t xml:space="preserve">essential for many educators and students to continue their education</w:t>
      </w:r>
      <w:r>
        <w:t xml:space="preserve"> </w:t>
      </w:r>
      <w:r>
        <w:t xml:space="preserve">and research with lockdowns and</w:t>
      </w:r>
      <w:r>
        <w:t xml:space="preserve"> </w:t>
      </w:r>
      <w:r>
        <w:t xml:space="preserve">restrictions.  Being able to</w:t>
      </w:r>
      <w:r>
        <w:t xml:space="preserve"> </w:t>
      </w:r>
      <w:r>
        <w:t xml:space="preserve">develop and provide low-cost protocols for educators, students and</w:t>
      </w:r>
      <w:r>
        <w:t xml:space="preserve"> </w:t>
      </w:r>
      <w:r>
        <w:t xml:space="preserve">hobbyists will further assist with the progress of knowledge. Procedures</w:t>
      </w:r>
      <w:r>
        <w:t xml:space="preserve"> </w:t>
      </w:r>
      <w:r>
        <w:t xml:space="preserve">developed with this thesis in mind to produce Copper(II)Sulfate from</w:t>
      </w:r>
      <w:r>
        <w:t xml:space="preserve"> </w:t>
      </w:r>
      <w:r>
        <w:t xml:space="preserve">products readily available either at a local pharmacy or through</w:t>
      </w:r>
      <w:r>
        <w:t xml:space="preserve"> </w:t>
      </w:r>
      <w:r>
        <w:t xml:space="preserve">products available online.</w:t>
      </w:r>
    </w:p>
    <w:p>
      <w:pPr>
        <w:pStyle w:val="Heading1"/>
      </w:pPr>
      <w:bookmarkStart w:id="22" w:name="methods"/>
      <w:bookmarkEnd w:id="22"/>
      <w:r>
        <w:t xml:space="preserve">2 Methods</w:t>
      </w:r>
    </w:p>
    <w:p>
      <w:pPr>
        <w:pStyle w:val="Heading2"/>
      </w:pPr>
      <w:bookmarkStart w:id="23" w:name="background"/>
      <w:bookmarkEnd w:id="23"/>
      <w:r>
        <w:t xml:space="preserve">2.1 Background</w:t>
      </w:r>
    </w:p>
    <w:p>
      <w:pPr>
        <w:pStyle w:val="FirstParagraph"/>
      </w:pPr>
      <w:r>
        <w:t xml:space="preserve">The process for the synthesis of copper (II) sulfate utilized in this</w:t>
      </w:r>
      <w:r>
        <w:t xml:space="preserve"> </w:t>
      </w:r>
      <w:r>
        <w:t xml:space="preserve">protocol is a two-step process. The initial step uses membrane</w:t>
      </w:r>
      <w:r>
        <w:t xml:space="preserve"> </w:t>
      </w:r>
      <w:r>
        <w:t xml:space="preserve">electrolysis to produce sulfuric acid. During membrane electrolysis, the</w:t>
      </w:r>
      <w:r>
        <w:t xml:space="preserve"> </w:t>
      </w:r>
      <w:r>
        <w:t xml:space="preserve">MgSO</w:t>
      </w:r>
      <w:r>
        <w:rPr>
          <w:vertAlign w:val="subscript"/>
        </w:rPr>
        <w:t xml:space="preserve">4</w:t>
      </w:r>
      <w:r>
        <w:t xml:space="preserve"> </w:t>
      </w:r>
      <w:r>
        <w:t xml:space="preserve">disassociates into the H</w:t>
      </w:r>
      <w:r>
        <w:rPr>
          <w:vertAlign w:val="subscript"/>
        </w:rPr>
        <w:t xml:space="preserve">2</w:t>
      </w:r>
      <w:r>
        <w:t xml:space="preserve">O</w:t>
      </w:r>
      <w:r>
        <w:t xml:space="preserve"> </w:t>
      </w:r>
      <w:r>
        <w:t xml:space="preserve">solution into the Mg</w:t>
      </w:r>
      <w:r>
        <w:rPr>
          <w:vertAlign w:val="superscript"/>
        </w:rPr>
        <w:t xml:space="preserve">+</w:t>
      </w:r>
      <w:r>
        <w:t xml:space="preserve"> </w:t>
      </w:r>
      <w:r>
        <w:t xml:space="preserve">and</w:t>
      </w:r>
      <w:r>
        <w:t xml:space="preserve"> </w:t>
      </w:r>
      <w:r>
        <w:t xml:space="preserve">SO</w:t>
      </w:r>
      <w:r>
        <w:rPr>
          <w:vertAlign w:val="subscript"/>
        </w:rPr>
        <w:t xml:space="preserve">4</w:t>
      </w:r>
      <w:r>
        <w:rPr>
          <w:vertAlign w:val="superscript"/>
        </w:rPr>
        <w:t xml:space="preserve">-</w:t>
      </w:r>
      <w:r>
        <w:t xml:space="preserve"> </w:t>
      </w:r>
      <w:r>
        <w:t xml:space="preserve">ions. The solution is then</w:t>
      </w:r>
      <w:r>
        <w:t xml:space="preserve"> </w:t>
      </w:r>
      <w:r>
        <w:t xml:space="preserve">subjected to an electrical current with a membrane of some material</w:t>
      </w:r>
      <w:r>
        <w:t xml:space="preserve"> </w:t>
      </w:r>
      <w:r>
        <w:t xml:space="preserve">placed between the anode and cathode. This process allows the</w:t>
      </w:r>
      <w:r>
        <w:t xml:space="preserve"> </w:t>
      </w:r>
      <w:r>
        <w:t xml:space="preserve">Mg</w:t>
      </w:r>
      <w:r>
        <w:rPr>
          <w:vertAlign w:val="superscript"/>
        </w:rPr>
        <w:t xml:space="preserve">+</w:t>
      </w:r>
      <w:r>
        <w:t xml:space="preserve"> </w:t>
      </w:r>
      <w:r>
        <w:t xml:space="preserve">ion to migrate towards the cathode due to the</w:t>
      </w:r>
      <w:r>
        <w:t xml:space="preserve"> </w:t>
      </w:r>
      <w:r>
        <w:t xml:space="preserve">positive charge of Mg</w:t>
      </w:r>
      <w:r>
        <w:rPr>
          <w:vertAlign w:val="superscript"/>
        </w:rPr>
        <w:t xml:space="preserve">+</w:t>
      </w:r>
      <w:r>
        <w:t xml:space="preserve"> </w:t>
      </w:r>
      <w:r>
        <w:t xml:space="preserve">being attracted to the negative</w:t>
      </w:r>
      <w:r>
        <w:t xml:space="preserve"> </w:t>
      </w:r>
      <w:r>
        <w:t xml:space="preserve">cathode. On the Anode side of the membrane,</w:t>
      </w:r>
      <w:r>
        <w:t xml:space="preserve"> </w:t>
      </w:r>
      <w:r>
        <w:t xml:space="preserve">the SO</w:t>
      </w:r>
      <w:r>
        <w:rPr>
          <w:vertAlign w:val="subscript"/>
        </w:rPr>
        <w:t xml:space="preserve">4</w:t>
      </w:r>
      <w:r>
        <w:rPr>
          <w:vertAlign w:val="superscript"/>
        </w:rPr>
        <w:t xml:space="preserve">-</w:t>
      </w:r>
      <w:r>
        <w:t xml:space="preserve"> ions migrate towards the</w:t>
      </w:r>
      <w:r>
        <w:t xml:space="preserve"> </w:t>
      </w:r>
      <w:r>
        <w:t xml:space="preserve">positive anode. The membrane allows for the transfer of the ions to</w:t>
      </w:r>
      <w:r>
        <w:t xml:space="preserve"> </w:t>
      </w:r>
      <w:r>
        <w:t xml:space="preserve">their respective electrodes while preventing the products of the</w:t>
      </w:r>
      <w:r>
        <w:t xml:space="preserve"> </w:t>
      </w:r>
      <w:r>
        <w:t xml:space="preserve">subsequent reactions from traversing the membrane. The chemical reaction</w:t>
      </w:r>
      <w:r>
        <w:t xml:space="preserve"> </w:t>
      </w:r>
      <w:r>
        <w:t xml:space="preserve">that takes place during the process is expressed in Equations</w:t>
      </w:r>
      <w:r>
        <w:t xml:space="preserve"> </w:t>
      </w:r>
      <w:r>
        <w:t xml:space="preserve">1-3. </w:t>
      </w:r>
      <w:r>
        <w:rPr>
          <w:vertAlign w:val="superscript"/>
        </w:rPr>
        <w:t xml:space="preserve">1</w:t>
      </w:r>
      <w:r>
        <w:t xml:space="preserve"> </w:t>
      </w:r>
    </w:p>
    <w:p>
      <w:pPr>
        <w:pStyle w:val="BodyText"/>
      </w:pPr>
      <w:r>
        <w:t xml:space="preserve">(1) MgSO</w:t>
      </w:r>
      <w:r>
        <w:rPr>
          <w:vertAlign w:val="subscript"/>
        </w:rPr>
        <w:t xml:space="preserve">4</w:t>
      </w:r>
      <w:r>
        <w:t xml:space="preserve"> Dissasocation Reaction</w:t>
      </w:r>
      <w:r>
        <w:rPr>
          <w:vertAlign w:val="superscript"/>
        </w:rPr>
        <w:t xml:space="preserve">2</w:t>
      </w:r>
    </w:p>
    <w:p>
      <w:pPr>
        <w:pStyle w:val="BodyText"/>
      </w:pPr>
      <m:oMath>
        <m:r>
          <m:t>2</m:t>
        </m:r>
        <m:r>
          <m:t>M</m:t>
        </m:r>
        <m:r>
          <m:t>g</m:t>
        </m:r>
        <m:r>
          <m:t>S</m:t>
        </m:r>
        <m:sSub>
          <m:e>
            <m:r>
              <m:t>O</m:t>
            </m:r>
          </m:e>
          <m:sub>
            <m:r>
              <m:t>4</m:t>
            </m:r>
          </m:sub>
        </m:sSub>
        <m:r>
          <m:t> </m:t>
        </m:r>
        <m:r>
          <m:t>+</m:t>
        </m:r>
        <m:r>
          <m:t> </m:t>
        </m:r>
        <m:sSub>
          <m:e>
            <m:r>
              <m:t>H</m:t>
            </m:r>
          </m:e>
          <m:sub>
            <m:r>
              <m:t>2</m:t>
            </m:r>
          </m:sub>
        </m:sSub>
        <m:r>
          <m:t>O</m:t>
        </m:r>
        <m:r>
          <m:t>→</m:t>
        </m:r>
        <m:r>
          <m:t> </m:t>
        </m:r>
        <m:r>
          <m:t>2</m:t>
        </m:r>
        <m:r>
          <m:t>M</m:t>
        </m:r>
        <m:sSup>
          <m:e>
            <m:r>
              <m:t>g</m:t>
            </m:r>
          </m:e>
          <m:sup>
            <m:r>
              <m:t>+</m:t>
            </m:r>
          </m:sup>
        </m:sSup>
        <m:d>
          <m:dPr>
            <m:begChr m:val="("/>
            <m:endChr m:val=")"/>
            <m:grow/>
          </m:dPr>
          <m:e>
            <m:r>
              <m:t>a</m:t>
            </m:r>
            <m:r>
              <m:t>q</m:t>
            </m:r>
          </m:e>
        </m:d>
        <m:r>
          <m:t> </m:t>
        </m:r>
        <m:r>
          <m:t>+</m:t>
        </m:r>
        <m:r>
          <m:t> </m:t>
        </m:r>
        <m:r>
          <m:t>2</m:t>
        </m:r>
        <m:r>
          <m:t>S</m:t>
        </m:r>
        <m:sSubSup>
          <m:e>
            <m:r>
              <m:t>O</m:t>
            </m:r>
          </m:e>
          <m:sub>
            <m:r>
              <m:t>4</m:t>
            </m:r>
          </m:sub>
          <m:sup>
            <m:r>
              <m:t>−</m:t>
            </m:r>
          </m:sup>
        </m:sSubSup>
        <m:d>
          <m:dPr>
            <m:begChr m:val="("/>
            <m:endChr m:val=")"/>
            <m:grow/>
          </m:dPr>
          <m:e>
            <m:r>
              <m:t>a</m:t>
            </m:r>
            <m:r>
              <m:t>q</m:t>
            </m:r>
          </m:e>
        </m:d>
      </m:oMath>
    </w:p>
    <w:p>
      <w:pPr>
        <w:pStyle w:val="BodyText"/>
      </w:pPr>
      <w:r>
        <w:t xml:space="preserve">(2)Cathode Reaction   </w:t>
      </w:r>
      <w:r>
        <w:rPr>
          <w:vertAlign w:val="superscript"/>
        </w:rPr>
        <w:t xml:space="preserve">3</w:t>
      </w:r>
      <w:r>
        <w:t xml:space="preserve"> </w:t>
      </w:r>
    </w:p>
    <w:p>
      <w:pPr>
        <w:pStyle w:val="BodyText"/>
      </w:pPr>
      <m:oMath>
        <m:r>
          <m:t>4</m:t>
        </m:r>
        <m:sSub>
          <m:e>
            <m:r>
              <m:t>H</m:t>
            </m:r>
          </m:e>
          <m:sub>
            <m:r>
              <m:t>2</m:t>
            </m:r>
          </m:sub>
        </m:sSub>
        <m:r>
          <m:t>O</m:t>
        </m:r>
        <m:d>
          <m:dPr>
            <m:begChr m:val="("/>
            <m:endChr m:val=")"/>
            <m:grow/>
          </m:dPr>
          <m:e>
            <m:r>
              <m:t>l</m:t>
            </m:r>
          </m:e>
        </m:d>
        <m:r>
          <m:t> </m:t>
        </m:r>
        <m:r>
          <m:t>+</m:t>
        </m:r>
        <m:r>
          <m:t>4</m:t>
        </m:r>
        <m:sSup>
          <m:e>
            <m:r>
              <m:t>e</m:t>
            </m:r>
          </m:e>
          <m:sup>
            <m:r>
              <m:t>−</m:t>
            </m:r>
          </m:sup>
        </m:sSup>
        <m:r>
          <m:t> </m:t>
        </m:r>
        <m:r>
          <m:t>+</m:t>
        </m:r>
        <m:r>
          <m:t>2</m:t>
        </m:r>
        <m:r>
          <m:t>M</m:t>
        </m:r>
        <m:sSup>
          <m:e>
            <m:r>
              <m:t>g</m:t>
            </m:r>
          </m:e>
          <m:sup>
            <m:r>
              <m:t>+</m:t>
            </m:r>
          </m:sup>
        </m:sSup>
        <m:d>
          <m:dPr>
            <m:begChr m:val="("/>
            <m:endChr m:val=")"/>
            <m:grow/>
          </m:dPr>
          <m:e>
            <m:r>
              <m:t>A</m:t>
            </m:r>
            <m:r>
              <m:t>q</m:t>
            </m:r>
          </m:e>
        </m:d>
        <m:r>
          <m:t> </m:t>
        </m:r>
        <m:r>
          <m:t>→</m:t>
        </m:r>
        <m:r>
          <m:t> </m:t>
        </m:r>
        <m:r>
          <m:t>2</m:t>
        </m:r>
        <m:r>
          <m:t>M</m:t>
        </m:r>
        <m:r>
          <m:t>g</m:t>
        </m:r>
        <m:sSub>
          <m:e>
            <m:d>
              <m:dPr>
                <m:begChr m:val="("/>
                <m:endChr m:val=")"/>
                <m:grow/>
              </m:dPr>
              <m:e>
                <m:r>
                  <m:t>O</m:t>
                </m:r>
                <m:r>
                  <m:t>H</m:t>
                </m:r>
              </m:e>
            </m:d>
          </m:e>
          <m:sub>
            <m:r>
              <m:t>2</m:t>
            </m:r>
          </m:sub>
        </m:sSub>
        <m:d>
          <m:dPr>
            <m:begChr m:val="("/>
            <m:endChr m:val=")"/>
            <m:grow/>
          </m:dPr>
          <m:e>
            <m:r>
              <m:t>a</m:t>
            </m:r>
            <m:r>
              <m:t>q</m:t>
            </m:r>
          </m:e>
        </m:d>
        <m:r>
          <m:t> </m:t>
        </m:r>
        <m:r>
          <m:t>+</m:t>
        </m:r>
        <m:r>
          <m:t> </m:t>
        </m:r>
        <m:r>
          <m:t>2</m:t>
        </m:r>
        <m:sSubSup>
          <m:e>
            <m:r>
              <m:t>H</m:t>
            </m:r>
          </m:e>
          <m:sub>
            <m:r>
              <m:t>2</m:t>
            </m:r>
          </m:sub>
          <m:sup/>
        </m:sSubSup>
        <m:d>
          <m:dPr>
            <m:begChr m:val="("/>
            <m:endChr m:val=")"/>
            <m:grow/>
          </m:dPr>
          <m:e>
            <m:r>
              <m:t>g</m:t>
            </m:r>
          </m:e>
        </m:d>
      </m:oMath>
    </w:p>
    <w:p>
      <w:pPr>
        <w:pStyle w:val="BodyText"/>
      </w:pPr>
      <w:r>
        <w:t xml:space="preserve">(3)Anode Reaction  </w:t>
      </w:r>
      <w:r>
        <w:rPr>
          <w:vertAlign w:val="superscript"/>
        </w:rPr>
        <w:t xml:space="preserve">3</w:t>
      </w:r>
      <w:r>
        <w:t xml:space="preserve"> </w:t>
      </w:r>
      <w:r>
        <w:rPr>
          <w:vertAlign w:val="subscript"/>
        </w:rPr>
        <w:t xml:space="preserve"> </w:t>
      </w:r>
    </w:p>
    <w:p>
      <w:pPr>
        <w:pStyle w:val="BodyText"/>
      </w:pPr>
      <m:oMath>
        <m:r>
          <m:t>2</m:t>
        </m:r>
        <m:sSub>
          <m:e>
            <m:r>
              <m:t>H</m:t>
            </m:r>
          </m:e>
          <m:sub>
            <m:r>
              <m:t>2</m:t>
            </m:r>
          </m:sub>
        </m:sSub>
        <m:r>
          <m:t>O</m:t>
        </m:r>
        <m:d>
          <m:dPr>
            <m:begChr m:val="("/>
            <m:endChr m:val=")"/>
            <m:grow/>
          </m:dPr>
          <m:e>
            <m:r>
              <m:t>l</m:t>
            </m:r>
          </m:e>
        </m:d>
        <m:r>
          <m:t>+</m:t>
        </m:r>
        <m:r>
          <m:t>2</m:t>
        </m:r>
        <m:r>
          <m:t>S</m:t>
        </m:r>
        <m:sSubSup>
          <m:e>
            <m:r>
              <m:t>O</m:t>
            </m:r>
          </m:e>
          <m:sub>
            <m:r>
              <m:t>4</m:t>
            </m:r>
          </m:sub>
          <m:sup>
            <m:r>
              <m:t>−</m:t>
            </m:r>
          </m:sup>
        </m:sSubSup>
        <m:d>
          <m:dPr>
            <m:begChr m:val="("/>
            <m:endChr m:val=")"/>
            <m:grow/>
          </m:dPr>
          <m:e>
            <m:r>
              <m:t>A</m:t>
            </m:r>
            <m:r>
              <m:t>q</m:t>
            </m:r>
          </m:e>
        </m:d>
        <m:r>
          <m:t> </m:t>
        </m:r>
        <m:r>
          <m:t>→</m:t>
        </m:r>
        <m:r>
          <m:t> </m:t>
        </m:r>
        <m:r>
          <m:t>2</m:t>
        </m:r>
        <m:sSub>
          <m:e>
            <m:r>
              <m:t>H</m:t>
            </m:r>
          </m:e>
          <m:sub>
            <m:r>
              <m:t>2</m:t>
            </m:r>
          </m:sub>
        </m:sSub>
        <m:r>
          <m:t>S</m:t>
        </m:r>
        <m:sSub>
          <m:e>
            <m:r>
              <m:t>O</m:t>
            </m:r>
          </m:e>
          <m:sub>
            <m:r>
              <m:t>4</m:t>
            </m:r>
          </m:sub>
        </m:sSub>
        <m:d>
          <m:dPr>
            <m:begChr m:val="("/>
            <m:endChr m:val=")"/>
            <m:grow/>
          </m:dPr>
          <m:e>
            <m:r>
              <m:t>a</m:t>
            </m:r>
            <m:r>
              <m:t>q</m:t>
            </m:r>
          </m:e>
        </m:d>
        <m:r>
          <m:t> </m:t>
        </m:r>
        <m:r>
          <m:t>+</m:t>
        </m:r>
        <m:r>
          <m:t> </m:t>
        </m:r>
        <m:sSubSup>
          <m:e>
            <m:r>
              <m:t>O</m:t>
            </m:r>
          </m:e>
          <m:sub>
            <m:r>
              <m:t>2</m:t>
            </m:r>
          </m:sub>
          <m:sup/>
        </m:sSubSup>
        <m:d>
          <m:dPr>
            <m:begChr m:val="("/>
            <m:endChr m:val=")"/>
            <m:grow/>
          </m:dPr>
          <m:e>
            <m:r>
              <m:t>g</m:t>
            </m:r>
          </m:e>
        </m:d>
        <m:r>
          <m:t> </m:t>
        </m:r>
        <m:r>
          <m:t>+</m:t>
        </m:r>
        <m:r>
          <m:t>4</m:t>
        </m:r>
        <m:sSup>
          <m:e>
            <m:r>
              <m:t>e</m:t>
            </m:r>
          </m:e>
          <m:sup>
            <m:r>
              <m:t>−</m:t>
            </m:r>
          </m:sup>
        </m:sSup>
      </m:oMath>
    </w:p>
    <w:p>
      <w:pPr>
        <w:pStyle w:val="BodyText"/>
      </w:pPr>
      <w:r>
        <w:t xml:space="preserve">The second and final step of this reaction is to combine the</w:t>
      </w:r>
      <w:r>
        <w:t xml:space="preserve"> </w:t>
      </w:r>
      <w:r>
        <w:t xml:space="preserve">H</w:t>
      </w:r>
      <w:r>
        <w:rPr>
          <w:vertAlign w:val="subscript"/>
        </w:rPr>
        <w:t xml:space="preserve">2</w:t>
      </w:r>
      <w:r>
        <w:t xml:space="preserve">SO</w:t>
      </w:r>
      <w:r>
        <w:rPr>
          <w:vertAlign w:val="subscript"/>
        </w:rPr>
        <w:t xml:space="preserve">4</w:t>
      </w:r>
      <w:r>
        <w:t xml:space="preserve"> with copper and</w:t>
      </w:r>
      <w:r>
        <w:t xml:space="preserve"> </w:t>
      </w:r>
      <w:r>
        <w:t xml:space="preserve">H</w:t>
      </w:r>
      <w:r>
        <w:rPr>
          <w:vertAlign w:val="subscript"/>
        </w:rPr>
        <w:t xml:space="preserve">2</w:t>
      </w:r>
      <w:r>
        <w:t xml:space="preserve">O</w:t>
      </w:r>
      <w:r>
        <w:rPr>
          <w:vertAlign w:val="subscript"/>
        </w:rPr>
        <w:t xml:space="preserve">2</w:t>
      </w:r>
      <w:r>
        <w:t xml:space="preserve"> </w:t>
      </w:r>
      <w:r>
        <w:t xml:space="preserve">to create</w:t>
      </w:r>
      <w:r>
        <w:t xml:space="preserve"> </w:t>
      </w:r>
      <w:r>
        <w:t xml:space="preserve">Cu(II)SO</w:t>
      </w:r>
      <w:r>
        <w:rPr>
          <w:vertAlign w:val="subscript"/>
        </w:rPr>
        <w:t xml:space="preserve">4</w:t>
      </w:r>
      <w:r>
        <w:t xml:space="preserve"> and H</w:t>
      </w:r>
      <w:r>
        <w:rPr>
          <w:vertAlign w:val="subscript"/>
        </w:rPr>
        <w:t xml:space="preserve">2</w:t>
      </w:r>
      <w:r>
        <w:t xml:space="preserve">O as a final product as</w:t>
      </w:r>
      <w:r>
        <w:t xml:space="preserve"> </w:t>
      </w:r>
      <w:r>
        <w:t xml:space="preserve">shown in equation 4. </w:t>
      </w:r>
    </w:p>
    <w:p>
      <w:pPr>
        <w:pStyle w:val="BodyText"/>
      </w:pPr>
      <w:r>
        <w:t xml:space="preserve">(4) </w:t>
      </w:r>
      <m:oMath>
        <m:r>
          <m:t>C</m:t>
        </m:r>
        <m:r>
          <m:t>u</m:t>
        </m:r>
        <m:r>
          <m:t> </m:t>
        </m:r>
        <m:r>
          <m:t>+</m:t>
        </m:r>
        <m:r>
          <m:t> </m:t>
        </m:r>
        <m:sSub>
          <m:e>
            <m:r>
              <m:t>H</m:t>
            </m:r>
          </m:e>
          <m:sub>
            <m:r>
              <m:t>2</m:t>
            </m:r>
          </m:sub>
        </m:sSub>
        <m:r>
          <m:t>S</m:t>
        </m:r>
        <m:sSub>
          <m:e>
            <m:r>
              <m:t>O</m:t>
            </m:r>
          </m:e>
          <m:sub>
            <m:r>
              <m:t>4</m:t>
            </m:r>
          </m:sub>
        </m:sSub>
        <m:r>
          <m:t> </m:t>
        </m:r>
        <m:r>
          <m:t>+</m:t>
        </m:r>
        <m:r>
          <m:t> </m:t>
        </m:r>
        <m:sSub>
          <m:e>
            <m:r>
              <m:t>H</m:t>
            </m:r>
          </m:e>
          <m:sub>
            <m:r>
              <m:t>2</m:t>
            </m:r>
          </m:sub>
        </m:sSub>
        <m:sSub>
          <m:e>
            <m:r>
              <m:t>O</m:t>
            </m:r>
          </m:e>
          <m:sub>
            <m:r>
              <m:t>2</m:t>
            </m:r>
          </m:sub>
        </m:sSub>
        <m:r>
          <m:t> </m:t>
        </m:r>
        <m:r>
          <m:t>→</m:t>
        </m:r>
        <m:r>
          <m:t> </m:t>
        </m:r>
        <m:r>
          <m:t>C</m:t>
        </m:r>
        <m:r>
          <m:t>u</m:t>
        </m:r>
        <m:r>
          <m:t>S</m:t>
        </m:r>
        <m:sSub>
          <m:e>
            <m:r>
              <m:t>O</m:t>
            </m:r>
          </m:e>
          <m:sub>
            <m:r>
              <m:rPr>
                <m:sty m:val="p"/>
              </m:rPr>
              <m:t>4</m:t>
            </m:r>
          </m:sub>
        </m:sSub>
        <m:r>
          <m:t> </m:t>
        </m:r>
        <m:r>
          <m:t>+</m:t>
        </m:r>
        <m:r>
          <m:t> </m:t>
        </m:r>
        <m:r>
          <m:t>2</m:t>
        </m:r>
        <m:sSub>
          <m:e>
            <m:r>
              <m:t>H</m:t>
            </m:r>
          </m:e>
          <m:sub>
            <m:r>
              <m:t>2</m:t>
            </m:r>
          </m:sub>
        </m:sSub>
        <m:r>
          <m:t>O</m:t>
        </m:r>
      </m:oMath>
      <w:r>
        <w:rPr>
          <w:vertAlign w:val="superscript"/>
        </w:rPr>
        <w:t xml:space="preserve">4</w:t>
      </w:r>
    </w:p>
    <w:p>
      <w:pPr>
        <w:pStyle w:val="BodyText"/>
      </w:pPr>
      <w:r>
        <w:t xml:space="preserve">In order to store the CuSO</w:t>
      </w:r>
      <w:r>
        <w:rPr>
          <w:vertAlign w:val="subscript"/>
        </w:rPr>
        <w:t xml:space="preserve">4</w:t>
      </w:r>
      <w:r>
        <w:t xml:space="preserve"> </w:t>
      </w:r>
      <w:r>
        <w:t xml:space="preserve">for future laboratory use,</w:t>
      </w:r>
      <w:r>
        <w:t xml:space="preserve"> </w:t>
      </w:r>
      <w:r>
        <w:t xml:space="preserve">it should be converted to CuSO</w:t>
      </w:r>
      <w:r>
        <w:rPr>
          <w:vertAlign w:val="subscript"/>
        </w:rPr>
        <w:t xml:space="preserve">4</w:t>
      </w:r>
      <w:r>
        <w:t xml:space="preserve">.5H</w:t>
      </w:r>
      <w:r>
        <w:rPr>
          <w:vertAlign w:val="subscript"/>
        </w:rPr>
        <w:t xml:space="preserve">2</w:t>
      </w:r>
      <w:r>
        <w:t xml:space="preserve">O  or</w:t>
      </w:r>
      <w:r>
        <w:t xml:space="preserve"> </w:t>
      </w:r>
      <w:r>
        <w:t xml:space="preserve">copper (II) sulfate pentahydrate, through dehydration. </w:t>
      </w:r>
    </w:p>
    <w:p>
      <w:pPr>
        <w:pStyle w:val="BodyText"/>
      </w:pPr>
      <w:r>
        <w:t xml:space="preserve">Due to the constraints of finances and resources, rather than purchasing</w:t>
      </w:r>
      <w:r>
        <w:t xml:space="preserve"> </w:t>
      </w:r>
      <w:r>
        <w:t xml:space="preserve">a membrane electrolysis system, one was constructed using three 20</w:t>
      </w:r>
      <w:r>
        <w:t xml:space="preserve"> </w:t>
      </w:r>
      <w:r>
        <w:t xml:space="preserve">micron pore size filter papers secured in a PVC pipe end. </w:t>
      </w:r>
    </w:p>
    <w:p>
      <w:pPr>
        <w:pStyle w:val="Heading2"/>
      </w:pPr>
      <w:bookmarkStart w:id="24" w:name="membrane-electrolysis-apparatus-construction"/>
      <w:bookmarkEnd w:id="24"/>
      <w:r>
        <w:t xml:space="preserve">2.2 Membrane Electrolysis Apparatus</w:t>
      </w:r>
      <w:r>
        <w:t xml:space="preserve"> </w:t>
      </w:r>
      <w:r>
        <w:t xml:space="preserve">Construction </w:t>
      </w:r>
    </w:p>
    <w:p>
      <w:pPr>
        <w:pStyle w:val="FirstParagraph"/>
      </w:pPr>
      <w:r>
        <w:t xml:space="preserve">The membrane electrolysis apparatus was constructed using an 11cm long</w:t>
      </w:r>
      <w:r>
        <w:t xml:space="preserve"> </w:t>
      </w:r>
      <w:r>
        <w:t xml:space="preserve">3.4cm outer diameter schedule 40 PVC pipe, 3.4cm inner diameter PVC</w:t>
      </w:r>
      <w:r>
        <w:t xml:space="preserve"> </w:t>
      </w:r>
      <w:r>
        <w:t xml:space="preserve">coupling, 1mm diameter galvanized steel wire, a 200ml beaker, two 10cm</w:t>
      </w:r>
      <w:r>
        <w:t xml:space="preserve"> </w:t>
      </w:r>
      <w:r>
        <w:t xml:space="preserve">0.5cm diameter graphite electrodes, two Frey Scientific-584283 platinum</w:t>
      </w:r>
      <w:r>
        <w:t xml:space="preserve"> </w:t>
      </w:r>
      <w:r>
        <w:t xml:space="preserve">electrodes, three 20 micron pore size filter papers, and heat shrink</w:t>
      </w:r>
      <w:r>
        <w:t xml:space="preserve"> </w:t>
      </w:r>
      <w:r>
        <w:t xml:space="preserve">electrical wrap tubes. </w:t>
      </w:r>
    </w:p>
    <w:p>
      <w:pPr>
        <w:pStyle w:val="BodyText"/>
      </w:pPr>
      <w:r>
        <w:t xml:space="preserve">The PVC coupling was cut on both connector ends with a PVC pipe cutter,</w:t>
      </w:r>
      <w:r>
        <w:t xml:space="preserve"> </w:t>
      </w:r>
      <w:r>
        <w:t xml:space="preserve">to create two 0.5cm long rings.  Place one of the coupling rings 3.8cm</w:t>
      </w:r>
      <w:r>
        <w:t xml:space="preserve"> </w:t>
      </w:r>
      <w:r>
        <w:t xml:space="preserve">from one of the ends (to be referred to as the top end) of the 11cm PVC</w:t>
      </w:r>
      <w:r>
        <w:t xml:space="preserve"> </w:t>
      </w:r>
      <w:r>
        <w:t xml:space="preserve">pipe. On the other end (to be referred to as the bottom end) of the PVC</w:t>
      </w:r>
      <w:r>
        <w:t xml:space="preserve"> </w:t>
      </w:r>
      <w:r>
        <w:t xml:space="preserve">pipe, three filter papers were placed covering the end. The second</w:t>
      </w:r>
      <w:r>
        <w:t xml:space="preserve"> </w:t>
      </w:r>
      <w:r>
        <w:t xml:space="preserve">coupling ring was forced over the filter paper so that it secured the</w:t>
      </w:r>
      <w:r>
        <w:t xml:space="preserve"> </w:t>
      </w:r>
      <w:r>
        <w:t xml:space="preserve">filter papers in place. A 20cm piece of galvanized steel wire was placed</w:t>
      </w:r>
      <w:r>
        <w:t xml:space="preserve"> </w:t>
      </w:r>
      <w:r>
        <w:t xml:space="preserve">around the coupling closest to the top end so that it was further from</w:t>
      </w:r>
      <w:r>
        <w:t xml:space="preserve"> </w:t>
      </w:r>
      <w:r>
        <w:t xml:space="preserve">the top-end than the ring and wrapped around the PVC pipe to make 3 legs</w:t>
      </w:r>
      <w:r>
        <w:t xml:space="preserve"> </w:t>
      </w:r>
      <w:r>
        <w:t xml:space="preserve">120 degrees apart. (See fig. 1) These legs were bent over the rim of the</w:t>
      </w:r>
      <w:r>
        <w:t xml:space="preserve"> </w:t>
      </w:r>
      <w:r>
        <w:t xml:space="preserve">200ml beaker. (See fig. 2)</w:t>
      </w:r>
    </w:p>
    <w:p>
      <w:pPr>
        <w:pStyle w:val="FigureWithCaption"/>
      </w:pPr>
      <w:r>
        <w:drawing>
          <wp:inline>
            <wp:extent cx="1639200" cy="950399"/>
            <wp:effectExtent b="0" l="0" r="0" t="0"/>
            <wp:docPr descr="Anode assembley  " title="" id="1" name="Picture"/>
            <a:graphic>
              <a:graphicData uri="http://schemas.openxmlformats.org/drawingml/2006/picture">
                <pic:pic>
                  <pic:nvPicPr>
                    <pic:cNvPr descr="figures/figure-1/figure-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200" cy="95039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Anode assembley </w:t>
      </w:r>
      <w:r>
        <w:t xml:space="preserve"> </w:t>
      </w:r>
    </w:p>
    <w:p>
      <w:pPr>
        <w:pStyle w:val="FigureWithCaption"/>
      </w:pPr>
      <w:r>
        <w:drawing>
          <wp:inline>
            <wp:extent cx="1310400" cy="1653600"/>
            <wp:effectExtent b="0" l="0" r="0" t="0"/>
            <wp:docPr descr="Anode assembly in beaker " title="" id="1" name="Picture"/>
            <a:graphic>
              <a:graphicData uri="http://schemas.openxmlformats.org/drawingml/2006/picture">
                <pic:pic>
                  <pic:nvPicPr>
                    <pic:cNvPr descr="figures/figure-2/figure-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400" cy="1653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Anode assembly in beaker</w:t>
      </w:r>
      <w:r>
        <w:t xml:space="preserve"> </w:t>
      </w:r>
    </w:p>
    <w:p>
      <w:pPr>
        <w:pStyle w:val="BodyText"/>
      </w:pPr>
      <w:r>
        <w:t xml:space="preserve">On each piece of graphite electrode, a piece of galvanized steel wire</w:t>
      </w:r>
      <w:r>
        <w:t xml:space="preserve"> </w:t>
      </w:r>
      <w:r>
        <w:t xml:space="preserve">was twisted around 3cm from one end, then after 1cm, bent down towards</w:t>
      </w:r>
      <w:r>
        <w:t xml:space="preserve"> </w:t>
      </w:r>
      <w:r>
        <w:t xml:space="preserve">the longer end of the electrode. (See fig. 3) Two electrodes were</w:t>
      </w:r>
      <w:r>
        <w:t xml:space="preserve"> </w:t>
      </w:r>
      <w:r>
        <w:t xml:space="preserve">prepared in this manner to serve as cathodes.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1639200" cy="528000"/>
            <wp:effectExtent b="0" l="0" r="0" t="0"/>
            <wp:docPr descr="Cathode Assembly " title="" id="1" name="Picture"/>
            <a:graphic>
              <a:graphicData uri="http://schemas.openxmlformats.org/drawingml/2006/picture">
                <pic:pic>
                  <pic:nvPicPr>
                    <pic:cNvPr descr="figures/figure-3/figure-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200" cy="528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Cathode Assembly</w:t>
      </w:r>
      <w:r>
        <w:t xml:space="preserve"> </w:t>
      </w:r>
    </w:p>
    <w:p>
      <w:pPr>
        <w:pStyle w:val="BodyText"/>
      </w:pPr>
      <w:r>
        <w:t xml:space="preserve">The two  Frey Scientific-584283 platinum electrodes were constructed</w:t>
      </w:r>
      <w:r>
        <w:t xml:space="preserve"> </w:t>
      </w:r>
      <w:r>
        <w:t xml:space="preserve">with a 2mm by 2mm platinum foil welded to a led wire. The led wire was</w:t>
      </w:r>
      <w:r>
        <w:t xml:space="preserve"> </w:t>
      </w:r>
      <w:r>
        <w:t xml:space="preserve">encapsulated in a 10cm glass tube with the platinum foil protruding out</w:t>
      </w:r>
      <w:r>
        <w:t xml:space="preserve"> </w:t>
      </w:r>
      <w:r>
        <w:t xml:space="preserve">of one end. The other end had a 10cm copper wire exposed. The two</w:t>
      </w:r>
      <w:r>
        <w:t xml:space="preserve"> </w:t>
      </w:r>
      <w:r>
        <w:t xml:space="preserve">electrodes were placed side by side and the heat shrink wrap was placed</w:t>
      </w:r>
      <w:r>
        <w:t xml:space="preserve"> </w:t>
      </w:r>
      <w:r>
        <w:t xml:space="preserve">around both electrodes. The wrap was placed to cover 3m of the glass and</w:t>
      </w:r>
      <w:r>
        <w:t xml:space="preserve"> </w:t>
      </w:r>
      <w:r>
        <w:t xml:space="preserve">6cm of copper wire. The heat from a heat gun was applied to the shrink</w:t>
      </w:r>
      <w:r>
        <w:t xml:space="preserve"> </w:t>
      </w:r>
      <w:r>
        <w:t xml:space="preserve">wrap, joining together the two electrodes.  (See fig. 4) This wrap was</w:t>
      </w:r>
      <w:r>
        <w:t xml:space="preserve"> </w:t>
      </w:r>
      <w:r>
        <w:t xml:space="preserve">placed in order to protect the copper wire from splashing that occurred</w:t>
      </w:r>
      <w:r>
        <w:t xml:space="preserve"> </w:t>
      </w:r>
      <w:r>
        <w:t xml:space="preserve">as a result of the bubbles escaping the solution. This electrode served</w:t>
      </w:r>
      <w:r>
        <w:t xml:space="preserve"> </w:t>
      </w:r>
      <w:r>
        <w:t xml:space="preserve">as the anode. 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1420800" cy="1556400"/>
            <wp:effectExtent b="0" l="0" r="0" t="0"/>
            <wp:docPr descr="Anode electrode assembly " title="" id="1" name="Picture"/>
            <a:graphic>
              <a:graphicData uri="http://schemas.openxmlformats.org/drawingml/2006/picture">
                <pic:pic>
                  <pic:nvPicPr>
                    <pic:cNvPr descr="figures/figure-4/figure-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800" cy="1556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Anode electrode assembly</w:t>
      </w:r>
      <w:r>
        <w:t xml:space="preserve"> </w:t>
      </w:r>
    </w:p>
    <w:p>
      <w:pPr>
        <w:pStyle w:val="BodyText"/>
      </w:pPr>
      <w:r>
        <w:t xml:space="preserve">One cathode was placed to hang over the rim of the 200ml beaker and the</w:t>
      </w:r>
      <w:r>
        <w:t xml:space="preserve"> </w:t>
      </w:r>
      <w:r>
        <w:t xml:space="preserve">anode was hung inside the PVC  pipe. (See fig. 5)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1639200" cy="1333200"/>
            <wp:effectExtent b="0" l="0" r="0" t="0"/>
            <wp:docPr descr="Membrane electrolysis apparatus with electrodes in place  " title="" id="1" name="Picture"/>
            <a:graphic>
              <a:graphicData uri="http://schemas.openxmlformats.org/drawingml/2006/picture">
                <pic:pic>
                  <pic:nvPicPr>
                    <pic:cNvPr descr="figures/figure-5/figure-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200" cy="1333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Membrane electrolysis apparatus with electrodes in place </w:t>
      </w:r>
      <w:r>
        <w:t xml:space="preserve"> </w:t>
      </w:r>
    </w:p>
    <w:p>
      <w:pPr>
        <w:pStyle w:val="Heading2"/>
      </w:pPr>
      <w:bookmarkStart w:id="30" w:name="sulfuric-acid-and-copper-ii-sulfate-synthesis"/>
      <w:bookmarkEnd w:id="30"/>
      <w:r>
        <w:t xml:space="preserve">2.3 Sulfuric Acid and Copper (II) Sulfate</w:t>
      </w:r>
      <w:r>
        <w:t xml:space="preserve"> </w:t>
      </w:r>
      <w:r>
        <w:t xml:space="preserve">Synthesis</w:t>
      </w:r>
    </w:p>
    <w:p>
      <w:pPr>
        <w:pStyle w:val="FirstParagraph"/>
      </w:pPr>
      <w:r>
        <w:t xml:space="preserve">One of the two graphite electrodes was placed in an 80ml empty flask</w:t>
      </w:r>
      <w:r>
        <w:t xml:space="preserve"> </w:t>
      </w:r>
      <w:r>
        <w:t xml:space="preserve">while the other was hung as shown in figure 5. 400ml of 2.2M</w:t>
      </w:r>
      <w:r>
        <w:t xml:space="preserve"> </w:t>
      </w:r>
      <w:r>
        <w:t xml:space="preserve">concentration MgSO</w:t>
      </w:r>
      <w:r>
        <w:rPr>
          <w:vertAlign w:val="subscript"/>
        </w:rPr>
        <w:t xml:space="preserve">4</w:t>
      </w:r>
      <w:r>
        <w:t xml:space="preserve"> solution was prepared in a glass</w:t>
      </w:r>
      <w:r>
        <w:t xml:space="preserve"> </w:t>
      </w:r>
      <w:r>
        <w:t xml:space="preserve">medium bottle to be used as the primary reactant. A test tube rack was</w:t>
      </w:r>
      <w:r>
        <w:t xml:space="preserve"> </w:t>
      </w:r>
      <w:r>
        <w:t xml:space="preserve">set up with two test tubes and four plastic syringes. One test-tube was</w:t>
      </w:r>
      <w:r>
        <w:t xml:space="preserve"> </w:t>
      </w:r>
      <w:r>
        <w:t xml:space="preserve">labeled and filled with HCl while the other was filled with distilled</w:t>
      </w:r>
      <w:r>
        <w:t xml:space="preserve"> </w:t>
      </w:r>
      <w:r>
        <w:t xml:space="preserve">H</w:t>
      </w:r>
      <w:r>
        <w:rPr>
          <w:vertAlign w:val="subscript"/>
        </w:rPr>
        <w:t xml:space="preserve">2</w:t>
      </w:r>
      <w:r>
        <w:t xml:space="preserve">O and labeled</w:t>
      </w:r>
      <w:r>
        <w:t xml:space="preserve"> </w:t>
      </w:r>
      <w:r>
        <w:t xml:space="preserve">“</w:t>
      </w:r>
      <w:r>
        <w:t xml:space="preserve">Anode Rest.</w:t>
      </w:r>
      <w:r>
        <w:t xml:space="preserve">”</w:t>
      </w:r>
      <w:r>
        <w:t xml:space="preserve"> </w:t>
      </w:r>
      <w:r>
        <w:t xml:space="preserve">The Syringes were</w:t>
      </w:r>
      <w:r>
        <w:t xml:space="preserve"> </w:t>
      </w:r>
      <w:r>
        <w:t xml:space="preserve">labeled,</w:t>
      </w:r>
      <w:r>
        <w:t xml:space="preserve"> </w:t>
      </w:r>
      <w:r>
        <w:t xml:space="preserve">“</w:t>
      </w:r>
      <w:r>
        <w:t xml:space="preserve">H</w:t>
      </w:r>
      <w:r>
        <w:rPr>
          <w:vertAlign w:val="subscript"/>
        </w:rPr>
        <w:t xml:space="preserve">2</w:t>
      </w:r>
      <w:r>
        <w:t xml:space="preserve">O</w:t>
      </w:r>
      <w:r>
        <w:rPr>
          <w:vertAlign w:val="subscript"/>
        </w:rPr>
        <w:t xml:space="preserve">2</w:t>
      </w:r>
      <w:r>
        <w:t xml:space="preserve">“</w:t>
      </w:r>
      <w:r>
        <w:t xml:space="preserve">,</w:t>
      </w:r>
      <w:r>
        <w:t xml:space="preserve"> </w:t>
      </w:r>
      <w:r>
        <w:t xml:space="preserve">”</w:t>
      </w:r>
      <w:r>
        <w:t xml:space="preserve">MgSO</w:t>
      </w:r>
      <w:r>
        <w:rPr>
          <w:vertAlign w:val="subscript"/>
        </w:rPr>
        <w:t xml:space="preserve">4</w:t>
      </w:r>
      <w:r>
        <w:t xml:space="preserve">“</w:t>
      </w:r>
      <w:r>
        <w:t xml:space="preserve">,</w:t>
      </w:r>
      <w:r>
        <w:t xml:space="preserve"> </w:t>
      </w:r>
      <w:r>
        <w:t xml:space="preserve">”</w:t>
      </w:r>
      <w:r>
        <w:t xml:space="preserve"> </w:t>
      </w:r>
      <w:r>
        <w:t xml:space="preserve">Mg(OH)</w:t>
      </w:r>
      <w:r>
        <w:rPr>
          <w:vertAlign w:val="subscript"/>
        </w:rPr>
        <w:t xml:space="preserve">2</w:t>
      </w:r>
      <w:r>
        <w:t xml:space="preserve">,</w:t>
      </w:r>
      <w:r>
        <w:t xml:space="preserve">”</w:t>
      </w:r>
      <w:r>
        <w:t xml:space="preserve"> </w:t>
      </w:r>
      <w:r>
        <w:t xml:space="preserve">and</w:t>
      </w:r>
      <w:r>
        <w:t xml:space="preserve"> </w:t>
      </w:r>
      <w:r>
        <w:t xml:space="preserve">“</w:t>
      </w:r>
      <w:r>
        <w:t xml:space="preserve">H</w:t>
      </w:r>
      <w:r>
        <w:rPr>
          <w:vertAlign w:val="subscript"/>
        </w:rPr>
        <w:t xml:space="preserve">2</w:t>
      </w:r>
      <w:r>
        <w:t xml:space="preserve">SO</w:t>
      </w:r>
      <w:r>
        <w:rPr>
          <w:vertAlign w:val="subscript"/>
        </w:rPr>
        <w:t xml:space="preserve">4</w:t>
      </w:r>
      <w:r>
        <w:t xml:space="preserve">”</w:t>
      </w:r>
      <w:r>
        <w:t xml:space="preserve">.</w:t>
      </w:r>
    </w:p>
    <w:p>
      <w:pPr>
        <w:pStyle w:val="BodyText"/>
      </w:pPr>
      <w:r>
        <w:t xml:space="preserve">The 200ml beaker was filled with the 2.2M MgSO</w:t>
      </w:r>
      <w:r>
        <w:rPr>
          <w:vertAlign w:val="subscript"/>
        </w:rPr>
        <w:t xml:space="preserve">4</w:t>
      </w:r>
      <w:r>
        <w:t xml:space="preserve"> </w:t>
      </w:r>
      <w:r>
        <w:t xml:space="preserve">solution</w:t>
      </w:r>
      <w:r>
        <w:t xml:space="preserve"> </w:t>
      </w:r>
      <w:r>
        <w:t xml:space="preserve">until the 200ml point. Twenty-five extra ml of 2.2M</w:t>
      </w:r>
      <w:r>
        <w:t xml:space="preserve"> </w:t>
      </w:r>
      <w:r>
        <w:t xml:space="preserve">MgSO</w:t>
      </w:r>
      <w:r>
        <w:rPr>
          <w:vertAlign w:val="subscript"/>
        </w:rPr>
        <w:t xml:space="preserve">4</w:t>
      </w:r>
      <w:r>
        <w:t xml:space="preserve"> </w:t>
      </w:r>
      <w:r>
        <w:t xml:space="preserve">solution were added above the 200ml mark. The PVC</w:t>
      </w:r>
      <w:r>
        <w:t xml:space="preserve"> </w:t>
      </w:r>
      <w:r>
        <w:t xml:space="preserve">pipe was left empty, and 24 volts of electricity was applied to the</w:t>
      </w:r>
      <w:r>
        <w:t xml:space="preserve"> </w:t>
      </w:r>
      <w:r>
        <w:t xml:space="preserve">electrodes. Over time, the fluid would transfer to the inside of the PVC</w:t>
      </w:r>
      <w:r>
        <w:t xml:space="preserve"> </w:t>
      </w:r>
      <w:r>
        <w:t xml:space="preserve">pipe. After an hour, the fluid concentration inside the PVC pipe was</w:t>
      </w:r>
      <w:r>
        <w:t xml:space="preserve"> </w:t>
      </w:r>
      <w:r>
        <w:t xml:space="preserve">tested using NaHCO</w:t>
      </w:r>
      <w:r>
        <w:rPr>
          <w:vertAlign w:val="subscript"/>
        </w:rPr>
        <w:t xml:space="preserve">2</w:t>
      </w:r>
      <w:r>
        <w:t xml:space="preserve"> </w:t>
      </w:r>
      <w:r>
        <w:t xml:space="preserve">and phenolphthalein titration. 1ml</w:t>
      </w:r>
      <w:r>
        <w:t xml:space="preserve"> </w:t>
      </w:r>
      <w:r>
        <w:t xml:space="preserve">of sample fluid was removed and tested. This testing continued for two</w:t>
      </w:r>
      <w:r>
        <w:t xml:space="preserve"> </w:t>
      </w:r>
      <w:r>
        <w:t xml:space="preserve">experiment runs. (See table 1) After each hour test, 20ml of the</w:t>
      </w:r>
      <w:r>
        <w:t xml:space="preserve"> </w:t>
      </w:r>
      <w:r>
        <w:t xml:space="preserve">solution was transferred using the</w:t>
      </w:r>
      <w:r>
        <w:t xml:space="preserve"> </w:t>
      </w:r>
      <w:r>
        <w:t xml:space="preserve">“</w:t>
      </w:r>
      <w:r>
        <w:t xml:space="preserve">H2SO</w:t>
      </w:r>
      <w:r>
        <w:rPr>
          <w:vertAlign w:val="subscript"/>
        </w:rPr>
        <w:t xml:space="preserve">4</w:t>
      </w:r>
      <w:r>
        <w:t xml:space="preserve">”</w:t>
      </w:r>
      <w:r>
        <w:t xml:space="preserve"> </w:t>
      </w:r>
      <w:r>
        <w:t xml:space="preserve">syringe to a</w:t>
      </w:r>
      <w:r>
        <w:t xml:space="preserve"> </w:t>
      </w:r>
      <w:r>
        <w:t xml:space="preserve">250ml flask containing 50g of stripped scrap copper wire. This flask was</w:t>
      </w:r>
      <w:r>
        <w:t xml:space="preserve"> </w:t>
      </w:r>
      <w:r>
        <w:t xml:space="preserve">labeled</w:t>
      </w:r>
      <w:r>
        <w:t xml:space="preserve"> </w:t>
      </w:r>
      <w:r>
        <w:t xml:space="preserve">“</w:t>
      </w:r>
      <w:r>
        <w:t xml:space="preserve">CuSO</w:t>
      </w:r>
      <w:r>
        <w:rPr>
          <w:vertAlign w:val="subscript"/>
        </w:rPr>
        <w:t xml:space="preserve">4</w:t>
      </w:r>
      <w:r>
        <w:t xml:space="preserve"> </w:t>
      </w:r>
      <w:r>
        <w:t xml:space="preserve">Synthesis</w:t>
      </w:r>
      <w:r>
        <w:t xml:space="preserve">“</w:t>
      </w:r>
      <w:r>
        <w:t xml:space="preserve">. Then, using the</w:t>
      </w:r>
      <w:r>
        <w:t xml:space="preserve"> </w:t>
      </w:r>
      <w:r>
        <w:t xml:space="preserve">”</w:t>
      </w:r>
      <w:r>
        <w:t xml:space="preserve">MgSO</w:t>
      </w:r>
      <w:r>
        <w:rPr>
          <w:vertAlign w:val="subscript"/>
        </w:rPr>
        <w:t xml:space="preserve">4</w:t>
      </w:r>
      <w:r>
        <w:t xml:space="preserve">”</w:t>
      </w:r>
      <w:r>
        <w:t xml:space="preserve"> </w:t>
      </w:r>
      <w:r>
        <w:t xml:space="preserve">syringe, 20ml of the 2.2M concentration</w:t>
      </w:r>
      <w:r>
        <w:t xml:space="preserve"> </w:t>
      </w:r>
      <w:r>
        <w:t xml:space="preserve">MgSO</w:t>
      </w:r>
      <w:r>
        <w:rPr>
          <w:vertAlign w:val="subscript"/>
        </w:rPr>
        <w:t xml:space="preserve">4</w:t>
      </w:r>
      <w:r>
        <w:t xml:space="preserve"> </w:t>
      </w:r>
      <w:r>
        <w:t xml:space="preserve">solution was added to the outside of the PVC pipe.</w:t>
      </w:r>
    </w:p>
    <w:p>
      <w:pPr>
        <w:pStyle w:val="BodyText"/>
      </w:pPr>
      <w:r>
        <w:br w:type="textWrapping"/>
      </w:r>
    </w:p>
    <w:p>
      <w:pPr>
        <w:pStyle w:val="TableCaption"/>
      </w:pPr>
      <w:r>
        <w:t xml:space="preserve">Hourly Test of H</w:t>
      </w:r>
      <w:r>
        <w:rPr>
          <w:vertAlign w:val="subscript"/>
        </w:rPr>
        <w:t xml:space="preserve">2</w:t>
      </w:r>
      <w:r>
        <w:t xml:space="preserve">SO</w:t>
      </w:r>
      <w:r>
        <w:rPr>
          <w:vertAlign w:val="subscript"/>
        </w:rPr>
        <w:t xml:space="preserve">4</w:t>
      </w:r>
      <w:r>
        <w:t xml:space="preserve"> </w:t>
      </w:r>
      <w:r>
        <w:t xml:space="preserve">Concentration</w:t>
      </w:r>
      <w:r>
        <w:t xml:space="preserve"> </w:t>
      </w:r>
    </w:p>
    <w:tbl>
      <w:tblPr>
        <w:tblStyle w:val="TableNormal"/>
        <w:tblW w:type="pct" w:w="0.0"/>
        <w:tblLook/>
        <w:tblCaption w:val="Hourly Test of H2SO4 Concentration "/>
      </w:tblPr>
      <w:tblGrid/>
      <w:tr>
        <w:tc>
          <w:p>
            <w:pPr>
              <w:pStyle w:val="Compact"/>
              <w:jc w:val="center"/>
            </w:pPr>
            <w:r>
              <w:t xml:space="preserve">Run</w:t>
            </w:r>
          </w:p>
        </w:tc>
        <w:tc>
          <w:p>
            <w:pPr>
              <w:pStyle w:val="Compact"/>
              <w:jc w:val="center"/>
            </w:pPr>
            <w:r>
              <w:t xml:space="preserve">Test</w:t>
            </w:r>
          </w:p>
        </w:tc>
        <w:tc>
          <w:p>
            <w:pPr>
              <w:pStyle w:val="Compact"/>
              <w:jc w:val="center"/>
            </w:pPr>
            <w:r>
              <w:t xml:space="preserve">Concentration</w:t>
            </w:r>
          </w:p>
        </w:tc>
        <w:tc>
          <w:p>
            <w:pPr>
              <w:pStyle w:val="Compact"/>
              <w:jc w:val="center"/>
            </w:pPr>
            <w:r>
              <w:t xml:space="preserve">Concentration%</w:t>
            </w:r>
          </w:p>
        </w:tc>
      </w:tr>
      <w:tr>
        <w:tc>
          <w:p>
            <w:pPr>
              <w:pStyle w:val="Compact"/>
              <w:jc w:val="center"/>
            </w:pPr>
            <w:r>
              <w:t xml:space="preserve">1</w:t>
            </w:r>
          </w:p>
        </w:tc>
        <w:tc>
          <w:p>
            <w:pPr>
              <w:pStyle w:val="Compact"/>
              <w:jc w:val="center"/>
            </w:pPr>
            <w:r>
              <w:t xml:space="preserve">1</w:t>
            </w:r>
          </w:p>
        </w:tc>
        <w:tc>
          <w:p>
            <w:pPr>
              <w:pStyle w:val="Compact"/>
              <w:jc w:val="center"/>
            </w:pPr>
            <w:r>
              <w:t xml:space="preserve">6.3M</w:t>
            </w:r>
          </w:p>
        </w:tc>
        <w:tc>
          <w:p>
            <w:pPr>
              <w:pStyle w:val="Compact"/>
              <w:jc w:val="center"/>
            </w:pPr>
            <w:r>
              <w:t xml:space="preserve">33.7%</w:t>
            </w:r>
          </w:p>
        </w:tc>
      </w:tr>
      <w:tr>
        <w:tc>
          <w:p>
            <w:pPr>
              <w:pStyle w:val="Compact"/>
              <w:jc w:val="center"/>
            </w:pPr>
            <w:r>
              <w:t xml:space="preserve">1</w:t>
            </w:r>
          </w:p>
        </w:tc>
        <w:tc>
          <w:p>
            <w:pPr>
              <w:pStyle w:val="Compact"/>
              <w:jc w:val="center"/>
            </w:pPr>
            <w:r>
              <w:t xml:space="preserve">2</w:t>
            </w:r>
          </w:p>
        </w:tc>
        <w:tc>
          <w:p>
            <w:pPr>
              <w:pStyle w:val="Compact"/>
              <w:jc w:val="center"/>
            </w:pPr>
            <w:r>
              <w:t xml:space="preserve">6.0M</w:t>
            </w:r>
          </w:p>
        </w:tc>
        <w:tc>
          <w:p>
            <w:pPr>
              <w:pStyle w:val="Compact"/>
              <w:jc w:val="center"/>
            </w:pPr>
            <w:r>
              <w:t xml:space="preserve">32.1%</w:t>
            </w:r>
          </w:p>
        </w:tc>
      </w:tr>
      <w:tr>
        <w:tc>
          <w:p>
            <w:pPr>
              <w:pStyle w:val="Compact"/>
              <w:jc w:val="center"/>
            </w:pPr>
            <w:r>
              <w:t xml:space="preserve">1</w:t>
            </w:r>
          </w:p>
        </w:tc>
        <w:tc>
          <w:p>
            <w:pPr>
              <w:pStyle w:val="Compact"/>
              <w:jc w:val="center"/>
            </w:pPr>
            <w:r>
              <w:t xml:space="preserve">3</w:t>
            </w:r>
          </w:p>
        </w:tc>
        <w:tc>
          <w:p>
            <w:pPr>
              <w:pStyle w:val="Compact"/>
              <w:jc w:val="center"/>
            </w:pPr>
            <w:r>
              <w:t xml:space="preserve">6.8M</w:t>
            </w:r>
          </w:p>
        </w:tc>
        <w:tc>
          <w:p>
            <w:pPr>
              <w:pStyle w:val="Compact"/>
              <w:jc w:val="center"/>
            </w:pPr>
            <w:r>
              <w:t xml:space="preserve">36.4%</w:t>
            </w:r>
          </w:p>
        </w:tc>
      </w:tr>
      <w:tr>
        <w:tc>
          <w:p>
            <w:pPr>
              <w:pStyle w:val="Compact"/>
              <w:jc w:val="center"/>
            </w:pPr>
            <w:r>
              <w:t xml:space="preserve">2</w:t>
            </w:r>
          </w:p>
        </w:tc>
        <w:tc>
          <w:p>
            <w:pPr>
              <w:pStyle w:val="Compact"/>
              <w:jc w:val="center"/>
            </w:pPr>
            <w:r>
              <w:t xml:space="preserve">1</w:t>
            </w:r>
          </w:p>
        </w:tc>
        <w:tc>
          <w:p>
            <w:pPr>
              <w:pStyle w:val="Compact"/>
              <w:jc w:val="center"/>
            </w:pPr>
            <w:r>
              <w:t xml:space="preserve">6.4M</w:t>
            </w:r>
          </w:p>
        </w:tc>
        <w:tc>
          <w:p>
            <w:pPr>
              <w:pStyle w:val="Compact"/>
              <w:jc w:val="center"/>
            </w:pPr>
            <w:r>
              <w:t xml:space="preserve">34.3%</w:t>
            </w:r>
          </w:p>
        </w:tc>
      </w:tr>
      <w:tr>
        <w:tc>
          <w:p>
            <w:pPr>
              <w:pStyle w:val="Compact"/>
              <w:jc w:val="center"/>
            </w:pPr>
            <w:r>
              <w:t xml:space="preserve">2</w:t>
            </w:r>
          </w:p>
        </w:tc>
        <w:tc>
          <w:p>
            <w:pPr>
              <w:pStyle w:val="Compact"/>
              <w:jc w:val="center"/>
            </w:pPr>
            <w:r>
              <w:t xml:space="preserve">2</w:t>
            </w:r>
          </w:p>
        </w:tc>
        <w:tc>
          <w:p>
            <w:pPr>
              <w:pStyle w:val="Compact"/>
              <w:jc w:val="center"/>
            </w:pPr>
            <w:r>
              <w:t xml:space="preserve">6.4M</w:t>
            </w:r>
          </w:p>
        </w:tc>
        <w:tc>
          <w:p>
            <w:pPr>
              <w:pStyle w:val="Compact"/>
              <w:jc w:val="center"/>
            </w:pPr>
            <w:r>
              <w:t xml:space="preserve">34.3%</w:t>
            </w:r>
          </w:p>
        </w:tc>
      </w:tr>
      <w:tr>
        <w:tc>
          <w:p>
            <w:pPr>
              <w:pStyle w:val="Compact"/>
              <w:jc w:val="center"/>
            </w:pPr>
            <w:r>
              <w:t xml:space="preserve">2</w:t>
            </w:r>
          </w:p>
        </w:tc>
        <w:tc>
          <w:p>
            <w:pPr>
              <w:pStyle w:val="Compact"/>
              <w:jc w:val="center"/>
            </w:pPr>
            <w:r>
              <w:t xml:space="preserve">3</w:t>
            </w:r>
          </w:p>
        </w:tc>
        <w:tc>
          <w:p>
            <w:pPr>
              <w:pStyle w:val="Compact"/>
              <w:jc w:val="center"/>
            </w:pPr>
            <w:r>
              <w:t xml:space="preserve">8.1M</w:t>
            </w:r>
          </w:p>
        </w:tc>
        <w:tc>
          <w:p>
            <w:pPr>
              <w:pStyle w:val="Compact"/>
              <w:jc w:val="center"/>
            </w:pPr>
            <w:r>
              <w:t xml:space="preserve">43.4%</w:t>
            </w:r>
          </w:p>
        </w:tc>
      </w:tr>
      <w:tr>
        <w:tc>
          <w:p>
            <w:pPr>
              <w:pStyle w:val="Compact"/>
              <w:jc w:val="center"/>
            </w:pPr>
            <w:r>
              <w:t xml:space="preserve">2</w:t>
            </w:r>
          </w:p>
        </w:tc>
        <w:tc>
          <w:p>
            <w:pPr>
              <w:pStyle w:val="Compact"/>
              <w:jc w:val="center"/>
            </w:pPr>
            <w:r>
              <w:t xml:space="preserve">4</w:t>
            </w:r>
          </w:p>
        </w:tc>
        <w:tc>
          <w:p>
            <w:pPr>
              <w:pStyle w:val="Compact"/>
              <w:jc w:val="center"/>
            </w:pPr>
            <w:r>
              <w:t xml:space="preserve">5.6M</w:t>
            </w:r>
          </w:p>
        </w:tc>
        <w:tc>
          <w:p>
            <w:pPr>
              <w:pStyle w:val="Compact"/>
              <w:jc w:val="center"/>
            </w:pPr>
            <w:r>
              <w:t xml:space="preserve">30.0%</w:t>
            </w:r>
          </w:p>
        </w:tc>
      </w:tr>
    </w:tbl>
    <w:p>
      <w:pPr>
        <w:pStyle w:val="BodyText"/>
      </w:pPr>
      <w:r>
        <w:t xml:space="preserve">During the process, Mg(OH)</w:t>
      </w:r>
      <w:r>
        <w:rPr>
          <w:vertAlign w:val="subscript"/>
        </w:rPr>
        <w:t xml:space="preserve">2</w:t>
      </w:r>
      <w:r>
        <w:t xml:space="preserve"> </w:t>
      </w:r>
      <w:r>
        <w:t xml:space="preserve">crystals form on the</w:t>
      </w:r>
      <w:r>
        <w:t xml:space="preserve"> </w:t>
      </w:r>
      <w:r>
        <w:t xml:space="preserve">cathode, causing the current flow to be impeded over time. After each</w:t>
      </w:r>
      <w:r>
        <w:t xml:space="preserve"> </w:t>
      </w:r>
      <w:r>
        <w:t xml:space="preserve">hour of testing and sample removal, the other cathode electrode was</w:t>
      </w:r>
      <w:r>
        <w:t xml:space="preserve"> </w:t>
      </w:r>
      <w:r>
        <w:t xml:space="preserve">added to the beaker, and the negative electricity clip moved to the new</w:t>
      </w:r>
      <w:r>
        <w:t xml:space="preserve"> </w:t>
      </w:r>
      <w:r>
        <w:t xml:space="preserve">electrode. The original electrode was transferred to the test tube</w:t>
      </w:r>
      <w:r>
        <w:t xml:space="preserve"> </w:t>
      </w:r>
      <w:r>
        <w:t xml:space="preserve">labeled</w:t>
      </w:r>
      <w:r>
        <w:t xml:space="preserve"> </w:t>
      </w:r>
      <w:r>
        <w:t xml:space="preserve">“</w:t>
      </w:r>
      <w:r>
        <w:t xml:space="preserve">HCl,</w:t>
      </w:r>
      <w:r>
        <w:t xml:space="preserve">”</w:t>
      </w:r>
      <w:r>
        <w:t xml:space="preserve"> </w:t>
      </w:r>
      <w:r>
        <w:t xml:space="preserve">where it was allowed to sit until all the</w:t>
      </w:r>
      <w:r>
        <w:t xml:space="preserve"> </w:t>
      </w:r>
      <w:r>
        <w:t xml:space="preserve">Mg(OH)</w:t>
      </w:r>
      <w:r>
        <w:rPr>
          <w:vertAlign w:val="subscript"/>
        </w:rPr>
        <w:t xml:space="preserve">2</w:t>
      </w:r>
      <w:r>
        <w:t xml:space="preserve"> </w:t>
      </w:r>
      <w:r>
        <w:t xml:space="preserve">crystals were decomposed by the HCl. Then the</w:t>
      </w:r>
      <w:r>
        <w:t xml:space="preserve"> </w:t>
      </w:r>
      <w:r>
        <w:t xml:space="preserve">electrode was rinsed off thoroughly to prevent contamination and set</w:t>
      </w:r>
      <w:r>
        <w:t xml:space="preserve"> </w:t>
      </w:r>
      <w:r>
        <w:t xml:space="preserve">aside until the next hour test and solution retrieval.</w:t>
      </w:r>
    </w:p>
    <w:p>
      <w:pPr>
        <w:pStyle w:val="BodyText"/>
      </w:pPr>
      <w:r>
        <w:t xml:space="preserve">31ml of 12% H</w:t>
      </w:r>
      <w:r>
        <w:rPr>
          <w:vertAlign w:val="subscript"/>
        </w:rPr>
        <w:t xml:space="preserve">2</w:t>
      </w:r>
      <w:r>
        <w:t xml:space="preserve">O</w:t>
      </w:r>
      <w:r>
        <w:rPr>
          <w:vertAlign w:val="subscript"/>
        </w:rPr>
        <w:t xml:space="preserve">2</w:t>
      </w:r>
      <w:r>
        <w:t xml:space="preserve"> </w:t>
      </w:r>
      <w:r>
        <w:t xml:space="preserve">solution was added to</w:t>
      </w:r>
      <w:r>
        <w:t xml:space="preserve"> </w:t>
      </w:r>
      <w:r>
        <w:t xml:space="preserve">the CuSO4 Synthesis flask for every 20 ml of H2SO</w:t>
      </w:r>
      <w:r>
        <w:rPr>
          <w:vertAlign w:val="subscript"/>
        </w:rPr>
        <w:t xml:space="preserve">4</w:t>
      </w:r>
      <w:r>
        <w:t xml:space="preserve"> </w:t>
      </w:r>
      <w:r>
        <w:t xml:space="preserve">solution added. The volume needed was derived using the stoichiometric</w:t>
      </w:r>
      <w:r>
        <w:t xml:space="preserve"> </w:t>
      </w:r>
      <w:r>
        <w:t xml:space="preserve">requirements using an average of 6.5M</w:t>
      </w:r>
      <w:r>
        <w:t xml:space="preserve"> </w:t>
      </w:r>
      <w:r>
        <w:t xml:space="preserve">H</w:t>
      </w:r>
      <w:r>
        <w:rPr>
          <w:vertAlign w:val="subscript"/>
        </w:rPr>
        <w:t xml:space="preserve">2</w:t>
      </w:r>
      <w:r>
        <w:t xml:space="preserve">SO</w:t>
      </w:r>
      <w:r>
        <w:rPr>
          <w:vertAlign w:val="subscript"/>
        </w:rPr>
        <w:t xml:space="preserve">4</w:t>
      </w:r>
      <w:r>
        <w:t xml:space="preserve"> </w:t>
      </w:r>
      <w:r>
        <w:t xml:space="preserve">solution from table 4, then adding</w:t>
      </w:r>
      <w:r>
        <w:t xml:space="preserve"> </w:t>
      </w:r>
      <w:r>
        <w:t xml:space="preserve">10% to account for H</w:t>
      </w:r>
      <w:r>
        <w:rPr>
          <w:vertAlign w:val="subscript"/>
        </w:rPr>
        <w:t xml:space="preserve">2</w:t>
      </w:r>
      <w:r>
        <w:t xml:space="preserve">O</w:t>
      </w:r>
      <w:r>
        <w:rPr>
          <w:vertAlign w:val="subscript"/>
        </w:rPr>
        <w:t xml:space="preserve">2</w:t>
      </w:r>
      <w:r>
        <w:t xml:space="preserve"> </w:t>
      </w:r>
      <w:r>
        <w:t xml:space="preserve">decomposition.</w:t>
      </w:r>
      <w:r>
        <w:t xml:space="preserve"> </w:t>
      </w:r>
      <w:r>
        <w:t xml:space="preserve">For the first two runs, the amount of</w:t>
      </w:r>
      <w:r>
        <w:t xml:space="preserve"> </w:t>
      </w:r>
      <w:r>
        <w:t xml:space="preserve">H</w:t>
      </w:r>
      <w:r>
        <w:rPr>
          <w:vertAlign w:val="subscript"/>
        </w:rPr>
        <w:t xml:space="preserve">2</w:t>
      </w:r>
      <w:r>
        <w:t xml:space="preserve">O</w:t>
      </w:r>
      <w:r>
        <w:rPr>
          <w:vertAlign w:val="subscript"/>
        </w:rPr>
        <w:t xml:space="preserve">2</w:t>
      </w:r>
      <w:r>
        <w:t xml:space="preserve"> </w:t>
      </w:r>
      <w:r>
        <w:t xml:space="preserve">was calculated using equation 5,</w:t>
      </w:r>
      <w:r>
        <w:t xml:space="preserve"> </w:t>
      </w:r>
      <w:r>
        <w:t xml:space="preserve">with the H</w:t>
      </w:r>
      <w:r>
        <w:rPr>
          <w:vertAlign w:val="subscript"/>
        </w:rPr>
        <w:t xml:space="preserve">2</w:t>
      </w:r>
      <w:r>
        <w:t xml:space="preserve">O</w:t>
      </w:r>
      <w:r>
        <w:rPr>
          <w:vertAlign w:val="subscript"/>
        </w:rPr>
        <w:t xml:space="preserve">2</w:t>
      </w:r>
      <w:r>
        <w:t xml:space="preserve"> </w:t>
      </w:r>
      <w:r>
        <w:t xml:space="preserve">Molar mass and density</w:t>
      </w:r>
      <w:r>
        <w:t xml:space="preserve"> </w:t>
      </w:r>
      <w:r>
        <w:t xml:space="preserve">being 34.0147g/mol and 1.45g/ml, respectively. The variable cB</w:t>
      </w:r>
      <w:r>
        <w:t xml:space="preserve"> </w:t>
      </w:r>
      <w:r>
        <w:t xml:space="preserve">represents the measured molar concentration of the sample solution in</w:t>
      </w:r>
      <w:r>
        <w:t xml:space="preserve"> </w:t>
      </w:r>
      <w:r>
        <w:t xml:space="preserve">mol/liter.</w:t>
      </w:r>
    </w:p>
    <w:p>
      <w:pPr>
        <w:pStyle w:val="BodyText"/>
      </w:pPr>
      <w:r>
        <w:t xml:space="preserve">(5) </w:t>
      </w:r>
      <m:oMath>
        <m:sSub>
          <m:e>
            <m:r>
              <m:t>c</m:t>
            </m:r>
          </m:e>
          <m:sub>
            <m:r>
              <m:t>B</m:t>
            </m:r>
          </m:sub>
        </m:sSub>
        <m:r>
          <m:t>×</m:t>
        </m:r>
        <m:r>
          <m:t>1.10</m:t>
        </m:r>
        <m:r>
          <m:t>×</m:t>
        </m:r>
        <m:sSub>
          <m:e>
            <m:r>
              <m:t>0.02</m:t>
            </m:r>
          </m:e>
          <m:sub>
            <m:r>
              <m:t>L</m:t>
            </m:r>
          </m:sub>
        </m:sSub>
        <m:r>
          <m:t>×</m:t>
        </m:r>
        <m:sSub>
          <m:e>
            <m:r>
              <m:t>H</m:t>
            </m:r>
          </m:e>
          <m:sub>
            <m:r>
              <m:t>2</m:t>
            </m:r>
          </m:sub>
        </m:sSub>
        <m:sSub>
          <m:e>
            <m:r>
              <m:t>O</m:t>
            </m:r>
          </m:e>
          <m:sub>
            <m:r>
              <m:t>2</m:t>
            </m:r>
            <m:d>
              <m:dPr>
                <m:begChr m:val="("/>
                <m:endChr m:val=")"/>
                <m:grow/>
              </m:dPr>
              <m:e>
                <m:r>
                  <m:t>m</m:t>
                </m:r>
                <m:r>
                  <m:t>o</m:t>
                </m:r>
                <m:r>
                  <m:t>l</m:t>
                </m:r>
                <m:r>
                  <m:t>a</m:t>
                </m:r>
                <m:r>
                  <m:t>r</m:t>
                </m:r>
                <m:r>
                  <m:t> </m:t>
                </m:r>
                <m:r>
                  <m:t>m</m:t>
                </m:r>
                <m:r>
                  <m:t>a</m:t>
                </m:r>
                <m:r>
                  <m:t>s</m:t>
                </m:r>
                <m:r>
                  <m:t>s</m:t>
                </m:r>
              </m:e>
            </m:d>
          </m:sub>
        </m:sSub>
        <m:r>
          <m:t>÷</m:t>
        </m:r>
        <m:sSub>
          <m:e>
            <m:r>
              <m:t>H</m:t>
            </m:r>
          </m:e>
          <m:sub>
            <m:r>
              <m:t>2</m:t>
            </m:r>
          </m:sub>
        </m:sSub>
        <m:sSub>
          <m:e>
            <m:r>
              <m:t>O</m:t>
            </m:r>
          </m:e>
          <m:sub>
            <m:r>
              <m:t>2</m:t>
            </m:r>
            <m:d>
              <m:dPr>
                <m:begChr m:val="("/>
                <m:endChr m:val=")"/>
                <m:grow/>
              </m:dPr>
              <m:e>
                <m:r>
                  <m:t>d</m:t>
                </m:r>
                <m:r>
                  <m:t>e</m:t>
                </m:r>
                <m:r>
                  <m:t>n</m:t>
                </m:r>
                <m:r>
                  <m:t>s</m:t>
                </m:r>
                <m:r>
                  <m:t>i</m:t>
                </m:r>
                <m:r>
                  <m:t>t</m:t>
                </m:r>
                <m:r>
                  <m:t>y</m:t>
                </m:r>
              </m:e>
            </m:d>
          </m:sub>
        </m:sSub>
        <m:r>
          <m:t>÷</m:t>
        </m:r>
        <m:r>
          <m:t>0.12</m:t>
        </m:r>
        <m:r>
          <m:t>=</m:t>
        </m:r>
        <m:sSub>
          <m:e>
            <m:r>
              <m:t>H</m:t>
            </m:r>
          </m:e>
          <m:sub>
            <m:r>
              <m:t>2</m:t>
            </m:r>
          </m:sub>
        </m:sSub>
        <m:sSub>
          <m:e>
            <m:r>
              <m:t>O</m:t>
            </m:r>
          </m:e>
          <m:sub>
            <m:r>
              <m:t>2</m:t>
            </m:r>
            <m:r>
              <m:t> </m:t>
            </m:r>
            <m:r>
              <m:t>m</m:t>
            </m:r>
            <m:r>
              <m:t>L</m:t>
            </m:r>
          </m:sub>
        </m:sSub>
      </m:oMath>
    </w:p>
    <w:p>
      <w:pPr>
        <w:pStyle w:val="BodyText"/>
      </w:pPr>
      <w:r>
        <w:t xml:space="preserve">Equation 5 was simplified to equation six since only cB (representing</w:t>
      </w:r>
      <w:r>
        <w:t xml:space="preserve"> </w:t>
      </w:r>
      <w:r>
        <w:t xml:space="preserve">the tested solution concentration) is variable.</w:t>
      </w:r>
    </w:p>
    <w:p>
      <w:pPr>
        <w:pStyle w:val="BodyText"/>
      </w:pPr>
      <w:r>
        <w:t xml:space="preserve">(6) </w:t>
      </w:r>
      <m:oMath>
        <m:sSub>
          <m:e>
            <m:r>
              <m:t>c</m:t>
            </m:r>
          </m:e>
          <m:sub>
            <m:r>
              <m:t>B</m:t>
            </m:r>
          </m:sub>
        </m:sSub>
        <m:r>
          <m:t>×</m:t>
        </m:r>
        <m:r>
          <m:t>4.3</m:t>
        </m:r>
        <m:r>
          <m:t>=</m:t>
        </m:r>
        <m:sSub>
          <m:e>
            <m:r>
              <m:t>H</m:t>
            </m:r>
          </m:e>
          <m:sub>
            <m:r>
              <m:t>2</m:t>
            </m:r>
          </m:sub>
        </m:sSub>
        <m:sSub>
          <m:e>
            <m:r>
              <m:t>O</m:t>
            </m:r>
          </m:e>
          <m:sub>
            <m:r>
              <m:t>2</m:t>
            </m:r>
            <m:d>
              <m:dPr>
                <m:begChr m:val="("/>
                <m:endChr m:val=")"/>
                <m:grow/>
              </m:dPr>
              <m:e>
                <m:r>
                  <m:t>v</m:t>
                </m:r>
                <m:r>
                  <m:t>o</m:t>
                </m:r>
                <m:r>
                  <m:t>l</m:t>
                </m:r>
                <m:r>
                  <m:t>u</m:t>
                </m:r>
                <m:r>
                  <m:t>m</m:t>
                </m:r>
                <m:r>
                  <m:t>e</m:t>
                </m:r>
              </m:e>
            </m:d>
          </m:sub>
        </m:sSub>
      </m:oMath>
    </w:p>
    <w:p>
      <w:pPr>
        <w:pStyle w:val="BodyText"/>
      </w:pPr>
      <w:r>
        <w:t xml:space="preserve">When the CuSO</w:t>
      </w:r>
      <w:r>
        <w:rPr>
          <w:vertAlign w:val="subscript"/>
        </w:rPr>
        <w:t xml:space="preserve">4</w:t>
      </w:r>
      <w:r>
        <w:t xml:space="preserve"> </w:t>
      </w:r>
      <w:r>
        <w:t xml:space="preserve">synthesis flask was full, it was allowed</w:t>
      </w:r>
      <w:r>
        <w:t xml:space="preserve"> </w:t>
      </w:r>
      <w:r>
        <w:t xml:space="preserve">to stand overnight to ensure thorough</w:t>
      </w:r>
      <w:r>
        <w:t xml:space="preserve"> </w:t>
      </w:r>
      <w:r>
        <w:t xml:space="preserve">H</w:t>
      </w:r>
      <w:r>
        <w:rPr>
          <w:vertAlign w:val="subscript"/>
        </w:rPr>
        <w:t xml:space="preserve">2</w:t>
      </w:r>
      <w:r>
        <w:t xml:space="preserve">O</w:t>
      </w:r>
      <w:r>
        <w:rPr>
          <w:vertAlign w:val="subscript"/>
        </w:rPr>
        <w:t xml:space="preserve">2</w:t>
      </w:r>
      <w:r>
        <w:t xml:space="preserve"> </w:t>
      </w:r>
      <w:r>
        <w:t xml:space="preserve">decomposition. It was then emptied</w:t>
      </w:r>
      <w:r>
        <w:t xml:space="preserve"> </w:t>
      </w:r>
      <w:r>
        <w:t xml:space="preserve">through a filter to ensure small particles of copper wire did not</w:t>
      </w:r>
      <w:r>
        <w:t xml:space="preserve"> </w:t>
      </w:r>
      <w:r>
        <w:t xml:space="preserve">contaminate the CuSO</w:t>
      </w:r>
      <w:r>
        <w:rPr>
          <w:vertAlign w:val="subscript"/>
        </w:rPr>
        <w:t xml:space="preserve">4</w:t>
      </w:r>
      <w:r>
        <w:t xml:space="preserve"> </w:t>
      </w:r>
      <w:r>
        <w:t xml:space="preserve">solution. The</w:t>
      </w:r>
      <w:r>
        <w:t xml:space="preserve"> </w:t>
      </w:r>
      <w:r>
        <w:t xml:space="preserve">CuSO</w:t>
      </w:r>
      <w:r>
        <w:rPr>
          <w:vertAlign w:val="subscript"/>
        </w:rPr>
        <w:t xml:space="preserve">4</w:t>
      </w:r>
      <w:r>
        <w:t xml:space="preserve"> </w:t>
      </w:r>
      <w:r>
        <w:t xml:space="preserve">solution was then transferred to an evaporation</w:t>
      </w:r>
      <w:r>
        <w:t xml:space="preserve"> </w:t>
      </w:r>
      <w:r>
        <w:t xml:space="preserve">dish on a hot plate for drying. The solution was dried into a light blue</w:t>
      </w:r>
      <w:r>
        <w:t xml:space="preserve"> </w:t>
      </w:r>
      <w:r>
        <w:t xml:space="preserve">powder and stored in a glass bottle.</w:t>
      </w:r>
    </w:p>
    <w:p>
      <w:pPr>
        <w:pStyle w:val="Heading2"/>
      </w:pPr>
      <w:bookmarkStart w:id="31" w:name="mgso4-recycling"/>
      <w:bookmarkEnd w:id="31"/>
      <w:r>
        <w:t xml:space="preserve">2.4 MgSO4 Recycling</w:t>
      </w:r>
    </w:p>
    <w:p>
      <w:pPr>
        <w:pStyle w:val="FirstParagraph"/>
      </w:pPr>
      <w:r>
        <w:t xml:space="preserve">Each run was ended when the fluid on the outside of the PVC pipe became</w:t>
      </w:r>
      <w:r>
        <w:t xml:space="preserve"> </w:t>
      </w:r>
      <w:r>
        <w:t xml:space="preserve">too milky and contaminated with Mg(OH)</w:t>
      </w:r>
      <w:r>
        <w:rPr>
          <w:vertAlign w:val="subscript"/>
        </w:rPr>
        <w:t xml:space="preserve">2</w:t>
      </w:r>
      <w:r>
        <w:t xml:space="preserve">. The lab power</w:t>
      </w:r>
      <w:r>
        <w:t xml:space="preserve"> </w:t>
      </w:r>
      <w:r>
        <w:t xml:space="preserve">supply current draw which would reach 0.80A during the beginning of the</w:t>
      </w:r>
      <w:r>
        <w:t xml:space="preserve"> </w:t>
      </w:r>
      <w:r>
        <w:t xml:space="preserve">run would start to struggle to reach 0.65A. After each run, the PVC pipe</w:t>
      </w:r>
      <w:r>
        <w:t xml:space="preserve"> </w:t>
      </w:r>
      <w:r>
        <w:t xml:space="preserve">was removed and the filter paper flushed with distilled</w:t>
      </w:r>
      <w:r>
        <w:t xml:space="preserve"> </w:t>
      </w:r>
      <w:r>
        <w:t xml:space="preserve">H</w:t>
      </w:r>
      <w:r>
        <w:rPr>
          <w:vertAlign w:val="subscript"/>
        </w:rPr>
        <w:t xml:space="preserve">2</w:t>
      </w:r>
      <w:r>
        <w:t xml:space="preserve">O. The remaining contents in the beaker were stirred</w:t>
      </w:r>
      <w:r>
        <w:t xml:space="preserve"> </w:t>
      </w:r>
      <w:r>
        <w:t xml:space="preserve">with a glass stirrer. The sides of the beaker were scraped as well. The</w:t>
      </w:r>
      <w:r>
        <w:t xml:space="preserve"> </w:t>
      </w:r>
      <w:r>
        <w:t xml:space="preserve">milky contents were then vacuum filtered through a 10-micron filter</w:t>
      </w:r>
      <w:r>
        <w:t xml:space="preserve"> </w:t>
      </w:r>
      <w:r>
        <w:t xml:space="preserve">paper. The result was a clear liquid that could be used for future runs.</w:t>
      </w:r>
    </w:p>
    <w:p>
      <w:pPr>
        <w:pStyle w:val="Heading1"/>
      </w:pPr>
      <w:bookmarkStart w:id="32" w:name="results-and-discussion"/>
      <w:bookmarkEnd w:id="32"/>
      <w:r>
        <w:t xml:space="preserve">3 Results and Discussion</w:t>
      </w:r>
    </w:p>
    <w:p>
      <w:pPr>
        <w:pStyle w:val="FirstParagraph"/>
      </w:pPr>
      <w:r>
        <w:t xml:space="preserve">Developing this protocol required testing different electrode materials</w:t>
      </w:r>
      <w:r>
        <w:t xml:space="preserve"> </w:t>
      </w:r>
      <w:r>
        <w:t xml:space="preserve">and membrane thicknesses, along with different diameter PVC pipes. A</w:t>
      </w:r>
      <w:r>
        <w:t xml:space="preserve"> </w:t>
      </w:r>
      <w:r>
        <w:t xml:space="preserve">test run was conducted with a graphite electrode as an anode. The</w:t>
      </w:r>
      <w:r>
        <w:t xml:space="preserve"> </w:t>
      </w:r>
      <w:r>
        <w:t xml:space="preserve">graphite anode was able to produce the sulfuric acid; however, the</w:t>
      </w:r>
      <w:r>
        <w:t xml:space="preserve"> </w:t>
      </w:r>
      <w:r>
        <w:t xml:space="preserve">production of O2 deteriorated the graphite and introduced particles into</w:t>
      </w:r>
      <w:r>
        <w:t xml:space="preserve"> </w:t>
      </w:r>
      <w:r>
        <w:t xml:space="preserve">the solution. In some cases, the particles were sufficiently small that</w:t>
      </w:r>
      <w:r>
        <w:t xml:space="preserve"> </w:t>
      </w:r>
      <w:r>
        <w:t xml:space="preserve">the filtration with the laboratory equipment was not sufficient to</w:t>
      </w:r>
      <w:r>
        <w:t xml:space="preserve"> </w:t>
      </w:r>
      <w:r>
        <w:t xml:space="preserve">remove all contamination. The drawback to using the platinum electrodes</w:t>
      </w:r>
      <w:r>
        <w:t xml:space="preserve"> </w:t>
      </w:r>
      <w:r>
        <w:t xml:space="preserve">was the lack of surface area for electrolysis. The platinum foils were</w:t>
      </w:r>
      <w:r>
        <w:t xml:space="preserve"> </w:t>
      </w:r>
      <w:r>
        <w:t xml:space="preserve">2mm by 2mm each, with 2 of them. Concentrations of up to 67% were</w:t>
      </w:r>
      <w:r>
        <w:t xml:space="preserve"> </w:t>
      </w:r>
      <w:r>
        <w:t xml:space="preserve">achieved with the larger surface area of the graphite electrode.</w:t>
      </w:r>
    </w:p>
    <w:p>
      <w:pPr>
        <w:pStyle w:val="BodyText"/>
      </w:pPr>
      <w:r>
        <w:t xml:space="preserve">Originally a 42mm outer diameter PVC pipe was used; however,</w:t>
      </w:r>
      <w:r>
        <w:t xml:space="preserve"> </w:t>
      </w:r>
      <w:r>
        <w:t xml:space="preserve">concentrations struggled to exceed 20%. It is not clear why this was</w:t>
      </w:r>
      <w:r>
        <w:t xml:space="preserve"> </w:t>
      </w:r>
      <w:r>
        <w:t xml:space="preserve">the case. Perhaps the larger diameter allowed for some decomposition to</w:t>
      </w:r>
      <w:r>
        <w:t xml:space="preserve"> </w:t>
      </w:r>
      <w:r>
        <w:t xml:space="preserve">occur across the membrane, or the larger volume slowed the synthesis</w:t>
      </w:r>
      <w:r>
        <w:t xml:space="preserve"> </w:t>
      </w:r>
      <w:r>
        <w:t xml:space="preserve">rate. In addition, it was observed that the conductivity of the solution</w:t>
      </w:r>
      <w:r>
        <w:t xml:space="preserve"> </w:t>
      </w:r>
      <w:r>
        <w:t xml:space="preserve">increased with concentration and that concentration increased faster</w:t>
      </w:r>
      <w:r>
        <w:t xml:space="preserve"> </w:t>
      </w:r>
      <w:r>
        <w:t xml:space="preserve">with conductivity.</w:t>
      </w:r>
    </w:p>
    <w:p>
      <w:pPr>
        <w:pStyle w:val="BodyText"/>
      </w:pPr>
      <w:r>
        <w:t xml:space="preserve">Initial test runs applied 12 volts of electricity, and it was observed</w:t>
      </w:r>
      <w:r>
        <w:t xml:space="preserve"> </w:t>
      </w:r>
      <w:r>
        <w:t xml:space="preserve">that the concentration levels would not achieve rates higher than 17%.</w:t>
      </w:r>
      <w:r>
        <w:t xml:space="preserve"> </w:t>
      </w:r>
      <w:r>
        <w:t xml:space="preserve">However, it is essential to note that all concentrations were taken with</w:t>
      </w:r>
      <w:r>
        <w:t xml:space="preserve"> </w:t>
      </w:r>
      <w:r>
        <w:t xml:space="preserve">one hour of electrolysis. Therefore, the prospects of higher</w:t>
      </w:r>
      <w:r>
        <w:t xml:space="preserve"> </w:t>
      </w:r>
      <w:r>
        <w:t xml:space="preserve">concentrations with a more extended electrolysis period between testing</w:t>
      </w:r>
      <w:r>
        <w:t xml:space="preserve"> </w:t>
      </w:r>
      <w:r>
        <w:t xml:space="preserve">and collection were not explored.</w:t>
      </w:r>
    </w:p>
    <w:p>
      <w:pPr>
        <w:pStyle w:val="BodyText"/>
      </w:pPr>
      <w:r>
        <w:t xml:space="preserve">All materials and products were obtained either online or at a pharmacy.</w:t>
      </w:r>
      <w:r>
        <w:t xml:space="preserve"> </w:t>
      </w:r>
      <w:r>
        <w:t xml:space="preserve">Although some equipment is more readily available in a lab, this project</w:t>
      </w:r>
      <w:r>
        <w:t xml:space="preserve"> </w:t>
      </w:r>
      <w:r>
        <w:t xml:space="preserve">aimed to produce a protocol that could be performed with products and</w:t>
      </w:r>
      <w:r>
        <w:t xml:space="preserve"> </w:t>
      </w:r>
      <w:r>
        <w:t xml:space="preserve">equipment available online or at retail stores. For example, beakers and</w:t>
      </w:r>
      <w:r>
        <w:t xml:space="preserve"> </w:t>
      </w:r>
      <w:r>
        <w:t xml:space="preserve">flasks could be replaced with glass jars.</w:t>
      </w:r>
    </w:p>
    <w:p>
      <w:pPr>
        <w:pStyle w:val="Heading1"/>
      </w:pPr>
      <w:bookmarkStart w:id="33" w:name="author-information"/>
      <w:bookmarkEnd w:id="33"/>
      <w:r>
        <w:t xml:space="preserve">Author Information</w:t>
      </w:r>
    </w:p>
    <w:p>
      <w:pPr>
        <w:pStyle w:val="Heading2"/>
      </w:pPr>
      <w:bookmarkStart w:id="34" w:name="corresponding-author"/>
      <w:bookmarkEnd w:id="34"/>
      <w:r>
        <w:t xml:space="preserve">Corresponding Author</w:t>
      </w:r>
    </w:p>
    <w:p>
      <w:pPr>
        <w:pStyle w:val="FirstParagraph"/>
      </w:pPr>
      <w:r>
        <w:t xml:space="preserve">Victor M. Rodriguez</w:t>
      </w:r>
    </w:p>
    <w:p>
      <w:pPr>
        <w:pStyle w:val="BodyText"/>
      </w:pPr>
      <w:r>
        <w:t xml:space="preserve">Email: igexoresearch@gmail.com</w:t>
      </w:r>
    </w:p>
    <w:p>
      <w:pPr>
        <w:pStyle w:val="BodyText"/>
      </w:pPr>
      <w:r>
        <w:br w:type="textWrapping"/>
      </w:r>
    </w:p>
    <w:p>
      <w:pPr>
        <w:pStyle w:val="Heading1"/>
      </w:pPr>
      <w:bookmarkStart w:id="35" w:name="references"/>
      <w:bookmarkEnd w:id="35"/>
      <w:r>
        <w:t xml:space="preserve">References</w:t>
      </w:r>
    </w:p>
    <w:p>
      <w:pPr>
        <w:pStyle w:val="FirstParagraph"/>
      </w:pPr>
      <w:r>
        <w:t xml:space="preserve">(1) Paidar, M.; Fateev, V.; Bouzek, K.</w:t>
      </w:r>
      <w:r>
        <w:t xml:space="preserve"> </w:t>
      </w:r>
      <w:r>
        <w:t xml:space="preserve">Membrane ElectrolysisHistory Current Status and Perspective</w:t>
      </w:r>
      <w:r>
        <w:t xml:space="preserve">.</w:t>
      </w:r>
      <w:r>
        <w:t xml:space="preserve"> </w:t>
      </w:r>
      <w:r>
        <w:rPr>
          <w:i/>
        </w:rPr>
        <w:t xml:space="preserve">Electrochimica Acta</w:t>
      </w:r>
      <w:r>
        <w:t xml:space="preserve"> </w:t>
      </w:r>
      <w:r>
        <w:rPr>
          <w:b/>
        </w:rPr>
        <w:t xml:space="preserve">2016</w:t>
      </w:r>
      <w:r>
        <w:t xml:space="preserve">,</w:t>
      </w:r>
      <w:r>
        <w:t xml:space="preserve"> </w:t>
      </w:r>
      <w:r>
        <w:rPr>
          <w:i/>
        </w:rPr>
        <w:t xml:space="preserve">209</w:t>
      </w:r>
      <w:r>
        <w:t xml:space="preserve">, 737–756.</w:t>
      </w:r>
      <w:r>
        <w:t xml:space="preserve"> </w:t>
      </w:r>
      <w:hyperlink r:id="rId36">
        <w:r>
          <w:rPr>
            <w:rStyle w:val="Hyperlink"/>
          </w:rPr>
          <w:t xml:space="preserve">https://doi.org/10.1016/j.electacta.2016.05.209.</w:t>
        </w:r>
      </w:hyperlink>
    </w:p>
    <w:p>
      <w:pPr>
        <w:pStyle w:val="BodyText"/>
      </w:pPr>
      <w:r>
        <w:t xml:space="preserve">(2)</w:t>
      </w:r>
      <w:r>
        <w:t xml:space="preserve"> </w:t>
      </w:r>
      <w:r>
        <w:t xml:space="preserve">Magnesium Sulfate - Physical And Chemical Properties Of Magnesium Sulfate</w:t>
      </w:r>
      <w:r>
        <w:t xml:space="preserve">.</w:t>
      </w:r>
    </w:p>
    <w:p>
      <w:pPr>
        <w:pStyle w:val="BodyText"/>
      </w:pPr>
      <w:r>
        <w:t xml:space="preserve">(3) Mickey Sarquis, S. H., Lynn Hogue.</w:t>
      </w:r>
      <w:r>
        <w:t xml:space="preserve"> </w:t>
      </w:r>
      <w:r>
        <w:rPr>
          <w:i/>
        </w:rPr>
        <w:t xml:space="preserve">Chemistry with Charisma</w:t>
      </w:r>
      <w:r>
        <w:t xml:space="preserve">; Terrific Science Press, 2009; p 160.</w:t>
      </w:r>
    </w:p>
    <w:p>
      <w:pPr>
        <w:pStyle w:val="BodyText"/>
      </w:pPr>
      <w:r>
        <w:t xml:space="preserve">(4) Mlasi, B.; Glasser, D.; Hildebrandt, D.</w:t>
      </w:r>
      <w:r>
        <w:t xml:space="preserve"> </w:t>
      </w:r>
      <w:r>
        <w:t xml:space="preserve">Kinetics of the Decomposition of Hydrogen Peroxide in Acidic Copper Sulfate Solutions</w:t>
      </w:r>
      <w:r>
        <w:t xml:space="preserve">.</w:t>
      </w:r>
      <w:r>
        <w:t xml:space="preserve"> </w:t>
      </w:r>
      <w:r>
        <w:rPr>
          <w:i/>
        </w:rPr>
        <w:t xml:space="preserve">Industrial</w:t>
      </w:r>
      <w:r>
        <w:rPr>
          <w:i/>
        </w:rPr>
        <w:t xml:space="preserve"> </w:t>
      </w:r>
      <w:r>
        <w:rPr>
          <w:i/>
        </w:rPr>
        <w:t xml:space="preserve">&amp;</w:t>
      </w:r>
      <w:r>
        <w:rPr>
          <w:i/>
        </w:rPr>
        <w:t xml:space="preserve"> </w:t>
      </w:r>
      <w:r>
        <w:rPr>
          <w:i/>
        </w:rPr>
        <w:t xml:space="preserve">Engineering Chemistry Research</w:t>
      </w:r>
      <w:r>
        <w:t xml:space="preserve"> </w:t>
      </w:r>
      <w:r>
        <w:rPr>
          <w:b/>
        </w:rPr>
        <w:t xml:space="preserve">2015</w:t>
      </w:r>
      <w:r>
        <w:t xml:space="preserve">,</w:t>
      </w:r>
      <w:r>
        <w:t xml:space="preserve"> </w:t>
      </w:r>
      <w:r>
        <w:rPr>
          <w:i/>
        </w:rPr>
        <w:t xml:space="preserve">54</w:t>
      </w:r>
      <w:r>
        <w:t xml:space="preserve"> </w:t>
      </w:r>
      <w:r>
        <w:t xml:space="preserve">(21), 5589–5597.</w:t>
      </w:r>
      <w:r>
        <w:t xml:space="preserve"> </w:t>
      </w:r>
      <w:hyperlink r:id="rId37">
        <w:r>
          <w:rPr>
            <w:rStyle w:val="Hyperlink"/>
          </w:rPr>
          <w:t xml:space="preserve">https://doi.org/10.1021/acs.iecr.5b00642.</w:t>
        </w:r>
      </w:hyperlink>
    </w:p>
    <w:p>
      <w:pPr>
        <w:pStyle w:val="BodyText"/>
      </w:pPr>
      <w:r>
        <w:t xml:space="preserve">(5) Martin</w:t>
      </w:r>
      <w:r>
        <w:t xml:space="preserve">ó</w:t>
      </w:r>
      <w:r>
        <w:t xml:space="preserve">n-Torres, M.</w:t>
      </w:r>
      <w:r>
        <w:t xml:space="preserve"> </w:t>
      </w:r>
      <w:r>
        <w:t xml:space="preserve">Some Recent Developments in the Historiography of Alchemy</w:t>
      </w:r>
      <w:r>
        <w:t xml:space="preserve">.</w:t>
      </w:r>
      <w:r>
        <w:t xml:space="preserve"> </w:t>
      </w:r>
      <w:r>
        <w:rPr>
          <w:i/>
        </w:rPr>
        <w:t xml:space="preserve">Ambix</w:t>
      </w:r>
      <w:r>
        <w:t xml:space="preserve"> </w:t>
      </w:r>
      <w:r>
        <w:rPr>
          <w:b/>
        </w:rPr>
        <w:t xml:space="preserve">2011</w:t>
      </w:r>
      <w:r>
        <w:t xml:space="preserve">,</w:t>
      </w:r>
      <w:r>
        <w:t xml:space="preserve"> </w:t>
      </w:r>
      <w:r>
        <w:rPr>
          <w:i/>
        </w:rPr>
        <w:t xml:space="preserve">58</w:t>
      </w:r>
      <w:r>
        <w:t xml:space="preserve"> </w:t>
      </w:r>
      <w:r>
        <w:t xml:space="preserve">(3), 215–237.</w:t>
      </w:r>
      <w:r>
        <w:t xml:space="preserve"> </w:t>
      </w:r>
      <w:hyperlink r:id="rId38">
        <w:r>
          <w:rPr>
            <w:rStyle w:val="Hyperlink"/>
          </w:rPr>
          <w:t xml:space="preserve">https://doi.org/10.1179/174582311x13129418299063.</w:t>
        </w:r>
      </w:hyperlink>
    </w:p>
    <w:p>
      <w:pPr>
        <w:pStyle w:val="BodyText"/>
      </w:pPr>
      <w:r>
        <w:t xml:space="preserve">(6) Hoole, D.; Sithambaresan, M.</w:t>
      </w:r>
      <w:r>
        <w:t xml:space="preserve"> </w:t>
      </w:r>
      <w:r>
        <w:t xml:space="preserve">Analytical Chemistry Labs with Kits and</w:t>
      </w:r>
      <w:r>
        <w:t xml:space="preserve"> </w:t>
      </w:r>
      <w:r>
        <w:t xml:space="preserve">CD</w:t>
      </w:r>
      <w:r>
        <w:t xml:space="preserve">-Based Instructions as Teaching Aids for Distance Learning</w:t>
      </w:r>
      <w:r>
        <w:t xml:space="preserve">.</w:t>
      </w:r>
      <w:r>
        <w:t xml:space="preserve"> </w:t>
      </w:r>
      <w:r>
        <w:rPr>
          <w:i/>
        </w:rPr>
        <w:t xml:space="preserve">Journal of Chemical Education</w:t>
      </w:r>
      <w:r>
        <w:t xml:space="preserve"> </w:t>
      </w:r>
      <w:r>
        <w:rPr>
          <w:b/>
        </w:rPr>
        <w:t xml:space="preserve">2003</w:t>
      </w:r>
      <w:r>
        <w:t xml:space="preserve">,</w:t>
      </w:r>
      <w:r>
        <w:t xml:space="preserve"> </w:t>
      </w:r>
      <w:r>
        <w:rPr>
          <w:i/>
        </w:rPr>
        <w:t xml:space="preserve">80</w:t>
      </w:r>
      <w:r>
        <w:t xml:space="preserve"> </w:t>
      </w:r>
      <w:r>
        <w:t xml:space="preserve">(11), 1308.</w:t>
      </w:r>
      <w:r>
        <w:t xml:space="preserve"> </w:t>
      </w:r>
      <w:hyperlink r:id="rId39">
        <w:r>
          <w:rPr>
            <w:rStyle w:val="Hyperlink"/>
          </w:rPr>
          <w:t xml:space="preserve">https://doi.org/10.1021/ed080p1308.</w:t>
        </w:r>
      </w:hyperlink>
    </w:p>
    <w:sectPr/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0">
    <w:nsid w:val="e17f69ba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abstractNum w:abstractNumId="990">
    <w:nsid w:val="53279f50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num w:numId="1">
    <w:abstractNumId w:val="0"/>
  </w:num>
  <w:num w:numId="1000">
    <w:abstractNumId w:val="99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BodyText">
    <w:name w:val="Body Text"/>
    <w:basedOn w:val="Normal"/>
    <w:link w:val="BodyTextChar"/>
    <w:pPr>
      <w:spacing w:before="180" w:after="180"/>
    </w:pPr>
    <w:qFormat/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keepNext/>
      <w:keepLines/>
      <w:spacing w:before="240" w:after="240"/>
      <w:jc w:val="center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next w:val="Bibliography"/>
    <w:qFormat/>
    <w:pPr/>
    <w:rPr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firstLine="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next w:val="FootnoteText"/>
    <w:uiPriority w:val="9"/>
    <w:unhideWhenUsed/>
    <w:qFormat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BodyTextChar"/>
    <w:pPr>
      <w:spacing w:before="0"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BodyTextChar">
    <w:name w:val="Body Text Char"/>
    <w:basedOn w:val="DefaultParagraphFont"/>
    <w:link w:val="BodyText"/>
  </w:style>
  <w:style w:type="character" w:customStyle="1" w:styleId="VerbatimChar">
    <w:name w:val="Verbatim Char"/>
    <w:basedOn w:val="BodyTextChar"/>
    <w:rPr>
      <w:rFonts w:ascii="Consolas" w:hAnsi="Consolas"/>
      <w:sz w:val="22"/>
    </w:rPr>
  </w:style>
  <w:style w:type="character" w:styleId="FootnoteReference">
    <w:name w:val="Footnote Reference"/>
    <w:basedOn w:val="BodyTextChar"/>
    <w:rPr>
      <w:vertAlign w:val="superscript"/>
    </w:rPr>
  </w:style>
  <w:style w:type="character" w:styleId="Hyperlink">
    <w:name w:val="Hyperlink"/>
    <w:basedOn w:val="BodyText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image" Id="rId25" Target="media/rId25.png" /><Relationship Type="http://schemas.openxmlformats.org/officeDocument/2006/relationships/image" Id="rId26" Target="media/rId26.png" /><Relationship Type="http://schemas.openxmlformats.org/officeDocument/2006/relationships/image" Id="rId27" Target="media/rId27.png" /><Relationship Type="http://schemas.openxmlformats.org/officeDocument/2006/relationships/image" Id="rId28" Target="media/rId28.png" /><Relationship Type="http://schemas.openxmlformats.org/officeDocument/2006/relationships/image" Id="rId29" Target="media/rId29.png" /><Relationship Type="http://schemas.openxmlformats.org/officeDocument/2006/relationships/hyperlink" Id="rId36" Target="https://doi.org/10.1016/j.electacta.2016.05.209." TargetMode="External" /><Relationship Type="http://schemas.openxmlformats.org/officeDocument/2006/relationships/hyperlink" Id="rId37" Target="https://doi.org/10.1021/acs.iecr.5b00642." TargetMode="External" /><Relationship Type="http://schemas.openxmlformats.org/officeDocument/2006/relationships/hyperlink" Id="rId39" Target="https://doi.org/10.1021/ed080p1308." TargetMode="External" /><Relationship Type="http://schemas.openxmlformats.org/officeDocument/2006/relationships/hyperlink" Id="rId38" Target="https://doi.org/10.1179/174582311x13129418299063." TargetMode="External" /></Relationships>
</file>

<file path=word/_rels/footnotes.xml.rels><?xml version="1.0" encoding="UTF-8"?>
<Relationships xmlns="http://schemas.openxmlformats.org/package/2006/relationships"><Relationship Type="http://schemas.openxmlformats.org/officeDocument/2006/relationships/hyperlink" Id="rId36" Target="https://doi.org/10.1016/j.electacta.2016.05.209." TargetMode="External" /><Relationship Type="http://schemas.openxmlformats.org/officeDocument/2006/relationships/hyperlink" Id="rId37" Target="https://doi.org/10.1021/acs.iecr.5b00642." TargetMode="External" /><Relationship Type="http://schemas.openxmlformats.org/officeDocument/2006/relationships/hyperlink" Id="rId39" Target="https://doi.org/10.1021/ed080p1308." TargetMode="External" /><Relationship Type="http://schemas.openxmlformats.org/officeDocument/2006/relationships/hyperlink" Id="rId38" Target="https://doi.org/10.1179/174582311x13129418299063.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Cu(II)Sulfate Synthesis From MgSO4 For Home Chemistry Laboratories</dc:title>
  <dc:creator>Victor M Rodriguez</dc:creator>
  <dcterms:created xsi:type="dcterms:W3CDTF">2022-02-24T17:53:32Z</dcterms:created>
  <dcterms:modified xsi:type="dcterms:W3CDTF">2022-02-24T17:53:32Z</dcterms:modified>
</cp:coreProperties>
</file>